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ind w:left="3800"/>
        <w:spacing w:after="0" w:line="237" w:lineRule="auto"/>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MARCH 31,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______________________to ______________________</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0-7647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HAWKINS CHEMICAL,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MINNESOTA</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of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41-0771293</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280" w:space="420"/>
            <w:col w:w="6519"/>
          </w:cols>
          <w:pgMar w:left="240" w:top="649" w:right="1440" w:bottom="1440" w:gutter="0" w:footer="0" w:header="0"/>
          <w:type w:val="continuous"/>
        </w:sectPr>
      </w:pPr>
    </w:p>
    <w:p>
      <w:pPr>
        <w:spacing w:after="0" w:line="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3100 East Hennepin Avenue, Minneapolis, Minnesota 55413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(612)331-6910</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060"/>
        <w:spacing w:after="0"/>
        <w:tabs>
          <w:tab w:leader="none" w:pos="3780" w:val="left"/>
          <w:tab w:leader="none" w:pos="45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338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tab/>
        <w:t>----------</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1440" w:gutter="0" w:footer="0" w:header="0"/>
          <w:type w:val="continuous"/>
        </w:sectPr>
      </w:pP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May 12, 1997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11,603,895</w:t>
      </w:r>
    </w:p>
    <w:p>
      <w:pPr>
        <w:sectPr>
          <w:pgSz w:w="11900" w:h="16838" w:orient="portrait"/>
          <w:cols w:equalWidth="0" w:num="2">
            <w:col w:w="4660" w:space="720"/>
            <w:col w:w="4839"/>
          </w:cols>
          <w:pgMar w:left="240" w:top="649" w:right="1440"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HAWKINS CHEMICAL, INC. AND SUBSIDIARIES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PART</w:t>
        <w:tab/>
        <w:t>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2099" w:hanging="210"/>
        <w:spacing w:after="0" w:line="268" w:lineRule="auto"/>
        <w:rPr>
          <w:sz w:val="20"/>
          <w:szCs w:val="20"/>
          <w:color w:val="auto"/>
        </w:rPr>
      </w:pPr>
      <w:r>
        <w:rPr>
          <w:rFonts w:ascii="Courier New" w:cs="Courier New" w:eastAsia="Courier New" w:hAnsi="Courier New"/>
          <w:sz w:val="16"/>
          <w:szCs w:val="16"/>
          <w:color w:val="auto"/>
        </w:rPr>
        <w:t>Consolidated Condensed Balance Sheets - March 31, 1997 and September 29, 1996 . . . . . . . . . . . . . . . . . . . . . . .3</w:t>
      </w:r>
    </w:p>
    <w:p>
      <w:pPr>
        <w:ind w:left="1060"/>
        <w:spacing w:after="0" w:line="233" w:lineRule="auto"/>
        <w:rPr>
          <w:sz w:val="20"/>
          <w:szCs w:val="20"/>
          <w:color w:val="auto"/>
        </w:rPr>
      </w:pPr>
      <w:r>
        <w:rPr>
          <w:rFonts w:ascii="Courier New" w:cs="Courier New" w:eastAsia="Courier New" w:hAnsi="Courier New"/>
          <w:sz w:val="18"/>
          <w:szCs w:val="18"/>
          <w:color w:val="auto"/>
        </w:rPr>
        <w:t>Consolidated Condensed Statements of Income - Three Months and</w:t>
      </w:r>
    </w:p>
    <w:p>
      <w:pPr>
        <w:ind w:left="1280"/>
        <w:spacing w:after="0"/>
        <w:rPr>
          <w:sz w:val="20"/>
          <w:szCs w:val="20"/>
          <w:color w:val="auto"/>
        </w:rPr>
      </w:pPr>
      <w:r>
        <w:rPr>
          <w:rFonts w:ascii="Courier New" w:cs="Courier New" w:eastAsia="Courier New" w:hAnsi="Courier New"/>
          <w:sz w:val="18"/>
          <w:szCs w:val="18"/>
          <w:color w:val="auto"/>
        </w:rPr>
        <w:t>Six Months Ended March 31, 1997 and 1996 . . . . . . . . . . . .4</w:t>
      </w:r>
    </w:p>
    <w:p>
      <w:pPr>
        <w:ind w:left="1060"/>
        <w:spacing w:after="0" w:line="237" w:lineRule="auto"/>
        <w:rPr>
          <w:sz w:val="20"/>
          <w:szCs w:val="20"/>
          <w:color w:val="auto"/>
        </w:rPr>
      </w:pPr>
      <w:r>
        <w:rPr>
          <w:rFonts w:ascii="Courier New" w:cs="Courier New" w:eastAsia="Courier New" w:hAnsi="Courier New"/>
          <w:sz w:val="18"/>
          <w:szCs w:val="18"/>
          <w:color w:val="auto"/>
        </w:rPr>
        <w:t>Consolidated Condensed Statements of Cash Flows - Six Months</w:t>
      </w:r>
    </w:p>
    <w:p>
      <w:pPr>
        <w:ind w:left="1280"/>
        <w:spacing w:after="0"/>
        <w:rPr>
          <w:sz w:val="20"/>
          <w:szCs w:val="20"/>
          <w:color w:val="auto"/>
        </w:rPr>
      </w:pPr>
      <w:r>
        <w:rPr>
          <w:rFonts w:ascii="Courier New" w:cs="Courier New" w:eastAsia="Courier New" w:hAnsi="Courier New"/>
          <w:sz w:val="18"/>
          <w:szCs w:val="18"/>
          <w:color w:val="auto"/>
        </w:rPr>
        <w:t>Ended March 31, 1997 and 1996. . . . . . . . . . . . . . . . . .5</w:t>
      </w:r>
    </w:p>
    <w:p>
      <w:pPr>
        <w:ind w:left="1060"/>
        <w:spacing w:after="0" w:line="237" w:lineRule="auto"/>
        <w:rPr>
          <w:sz w:val="20"/>
          <w:szCs w:val="20"/>
          <w:color w:val="auto"/>
        </w:rPr>
      </w:pPr>
      <w:r>
        <w:rPr>
          <w:rFonts w:ascii="Courier New" w:cs="Courier New" w:eastAsia="Courier New" w:hAnsi="Courier New"/>
          <w:sz w:val="18"/>
          <w:szCs w:val="18"/>
          <w:color w:val="auto"/>
        </w:rPr>
        <w:t>Notes to Consolidated Condensed Financial Statements . . . . . . .6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w:t>
      </w:r>
    </w:p>
    <w:p>
      <w:pPr>
        <w:ind w:left="1280"/>
        <w:spacing w:after="0" w:line="238" w:lineRule="auto"/>
        <w:rPr>
          <w:sz w:val="20"/>
          <w:szCs w:val="20"/>
          <w:color w:val="auto"/>
        </w:rPr>
      </w:pPr>
      <w:r>
        <w:rPr>
          <w:rFonts w:ascii="Courier New" w:cs="Courier New" w:eastAsia="Courier New" w:hAnsi="Courier New"/>
          <w:sz w:val="18"/>
          <w:szCs w:val="18"/>
          <w:color w:val="auto"/>
        </w:rPr>
        <w:t>and Results of Operations. . . . . . . . . . . . . . . . . . .7-8</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 . . . . . . . . . . . . . . . . . . . . . . . .9</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Securities Holders. . . . . . .9</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 . . . . . . . . . . . . . . . . 10</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Exhibit Index. . . . . . . . . . . . . . . . . . . . . . . . . . 11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Financial Data Schedule. . . . . . . . . . . . . . . . . . . . . 12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2640"/>
        <w:spacing w:after="0"/>
        <w:tabs>
          <w:tab w:leader="none" w:pos="35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222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 1997</w:t>
            </w:r>
          </w:p>
        </w:tc>
        <w:tc>
          <w:tcPr>
            <w:tcW w:w="2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September 29, 1996</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(Derived from Audited</w:t>
            </w:r>
          </w:p>
        </w:tc>
      </w:tr>
      <w:tr>
        <w:trPr>
          <w:trHeight w:val="203"/>
        </w:trPr>
        <w:tc>
          <w:tcPr>
            <w:tcW w:w="6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 statements)</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$ 8,854,450</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$ 8,932,125</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Investments (fair value approximates cost).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10,738,555</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10,504,603</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receivable-net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9,649,623</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9,740,285</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receivable.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171,986</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170,988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 . . .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6,388,817</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8,584,034</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1,438,022</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924,457</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37,241,453</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38,856,492</w:t>
            </w:r>
          </w:p>
        </w:tc>
      </w:tr>
      <w:tr>
        <w:trPr>
          <w:trHeight w:val="405"/>
        </w:trPr>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w w:val="97"/>
              </w:rPr>
              <w:t>Property, plant and equipment-net. . . . . . . . . . . . . .</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13,744,000</w:t>
            </w:r>
          </w:p>
        </w:tc>
        <w:tc>
          <w:tcPr>
            <w:tcW w:w="2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13,187,678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Note receivable-non current.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1,660,603</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1,797,707</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 . . . .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2,658,112</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2,645,479</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 . . . .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$55,304,168</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$56,487,356</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9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$ 5,310,271</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$ 6,709,434</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portion of long-term debt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59,928</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56,008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Dividends payable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997,274</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884,135</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liabilities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3,042,736</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4,823,394</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9,410,209</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12,472,971</w:t>
            </w:r>
          </w:p>
        </w:tc>
      </w:tr>
      <w:tr>
        <w:trPr>
          <w:trHeight w:val="405"/>
        </w:trPr>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w w:val="97"/>
              </w:rPr>
              <w:t>Long term debt . . . . . . . . . . . . . . . . . . . . . . .</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512,525</w:t>
            </w:r>
          </w:p>
        </w:tc>
        <w:tc>
          <w:tcPr>
            <w:tcW w:w="2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572,453</w:t>
            </w:r>
          </w:p>
        </w:tc>
      </w:tr>
      <w:tr>
        <w:trPr>
          <w:trHeight w:val="405"/>
        </w:trPr>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w w:val="97"/>
              </w:rPr>
              <w:t>Deferred income taxes. . . . . . . . . . . . . . . . . . . .</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430,300</w:t>
            </w:r>
          </w:p>
        </w:tc>
        <w:tc>
          <w:tcPr>
            <w:tcW w:w="2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426,800</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9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par value $.05 per share; issued</w:t>
            </w:r>
          </w:p>
        </w:tc>
        <w:tc>
          <w:tcPr>
            <w:tcW w:w="19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outstanding, 11,603,895 shares and</w:t>
            </w:r>
          </w:p>
        </w:tc>
        <w:tc>
          <w:tcPr>
            <w:tcW w:w="19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11,051,690 shares respectively.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580,195</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552,585</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42,517,455</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38,679,630</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1,853,484</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3,782,917</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shareholders' equity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44,951,134</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43,015,132</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 . . . . . . . . . . . . . . . . . . . . . . .</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$55,304,168</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$56,487,356</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760"/>
          </w:cols>
          <w:pgMar w:left="240" w:top="717" w:right="899" w:bottom="1440" w:gutter="0" w:footer="0" w:header="0"/>
        </w:sectPr>
      </w:pPr>
    </w:p>
    <w:bookmarkStart w:id="3" w:name="page4"/>
    <w:bookmarkEnd w:id="3"/>
    <w:p>
      <w:pPr>
        <w:jc w:val="center"/>
        <w:ind w:right="2640"/>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2640"/>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tbl>
      <w:tblPr>
        <w:tblLayout w:type="fixed"/>
        <w:tblInd w:w="0" w:type="dxa"/>
        <w:tblCellMar>
          <w:top w:w="0" w:type="dxa"/>
          <w:left w:w="0" w:type="dxa"/>
          <w:bottom w:w="0" w:type="dxa"/>
          <w:right w:w="0" w:type="dxa"/>
        </w:tblCellMar>
      </w:tblPr>
      <w:tr>
        <w:trPr>
          <w:trHeight w:val="203"/>
        </w:trPr>
        <w:tc>
          <w:tcPr>
            <w:tcW w:w="4960" w:type="dxa"/>
            <w:vAlign w:val="bottom"/>
          </w:tcPr>
          <w:p>
            <w:pPr>
              <w:ind w:left="3480"/>
              <w:spacing w:after="0"/>
              <w:rPr>
                <w:sz w:val="20"/>
                <w:szCs w:val="20"/>
                <w:color w:val="auto"/>
              </w:rPr>
            </w:pPr>
            <w:r>
              <w:rPr>
                <w:rFonts w:ascii="Courier New" w:cs="Courier New" w:eastAsia="Courier New" w:hAnsi="Courier New"/>
                <w:sz w:val="18"/>
                <w:szCs w:val="18"/>
                <w:color w:val="auto"/>
              </w:rPr>
              <w:t>(Unaudited)</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10"/>
        </w:trPr>
        <w:tc>
          <w:tcPr>
            <w:tcW w:w="4960" w:type="dxa"/>
            <w:vAlign w:val="bottom"/>
          </w:tcPr>
          <w:p>
            <w:pPr>
              <w:spacing w:after="0"/>
              <w:rPr>
                <w:sz w:val="24"/>
                <w:szCs w:val="24"/>
                <w:color w:val="auto"/>
              </w:rPr>
            </w:pPr>
          </w:p>
        </w:tc>
        <w:tc>
          <w:tcPr>
            <w:tcW w:w="32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Three Months Ended March 31</w:t>
            </w:r>
          </w:p>
        </w:tc>
        <w:tc>
          <w:tcPr>
            <w:tcW w:w="3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Six Months Ended March 31</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$20,673,498</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$18,439,067</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$40,609,556</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$35,862,051</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16,247,088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14,585,730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32,018,170</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28,245,041</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2,237,922</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2,083,759</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4,350,122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4,045,670</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18,485,010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16,669,489</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36,368,292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32,290,711</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2,188,488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1,769,578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4,241,264</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3,571,340</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(deductions):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260,431</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231,995</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522,612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490,495</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(11,819)</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(13,686)</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(23,662)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(26,509)</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Miscellaneous</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5,374</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41,817</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88,262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70,890</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income (deductions)</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253,986</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260,126</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587,212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534,876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2,442,474</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2,029,704</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4,828,476</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4,106,216</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964,700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811,900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1,895,200</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1,646,700</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$ 1,477,774</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$ 1,217,804</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$ 2,933,276</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$ 2,459,516</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 outstanding</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11,603,895</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11,603,895</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11,603,895</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11,603,895</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4"/>
                <w:szCs w:val="24"/>
                <w:color w:val="auto"/>
              </w:rPr>
            </w:pPr>
          </w:p>
        </w:tc>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$0.13</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$0.25</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1180"/>
          </w:cols>
          <w:pgMar w:left="240" w:top="717" w:right="479"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 MARCH 31</w:t>
            </w:r>
          </w:p>
        </w:tc>
      </w:tr>
      <w:tr>
        <w:trPr>
          <w:trHeight w:val="203"/>
        </w:trPr>
        <w:tc>
          <w:tcPr>
            <w:tcW w:w="6480" w:type="dxa"/>
            <w:vAlign w:val="bottom"/>
          </w:tcPr>
          <w:p>
            <w:pPr>
              <w:spacing w:after="0"/>
              <w:rPr>
                <w:sz w:val="17"/>
                <w:szCs w:val="17"/>
                <w:color w:val="auto"/>
              </w:rPr>
            </w:pPr>
          </w:p>
        </w:tc>
        <w:tc>
          <w:tcPr>
            <w:tcW w:w="3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249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 . . . . . . . . . . . . . . . . . . . . . .</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2,933,276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2,459,516</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Depreciation and amortization . . . . . . . . . . . . . .</w:t>
            </w:r>
          </w:p>
        </w:tc>
        <w:tc>
          <w:tcPr>
            <w:tcW w:w="3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770,480</w:t>
            </w:r>
          </w:p>
        </w:tc>
        <w:tc>
          <w:tcPr>
            <w:tcW w:w="5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679,734</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income taxes . . . . . . . . . . . . . . . . . .</w:t>
            </w:r>
          </w:p>
        </w:tc>
        <w:tc>
          <w:tcPr>
            <w:tcW w:w="3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38,500</w:t>
            </w:r>
          </w:p>
        </w:tc>
        <w:tc>
          <w:tcPr>
            <w:tcW w:w="5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 . . . . . . . . . . . . . . . . . . . . .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(45,032)</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(155,453)</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Changes in certain current assets and liabilities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(1,442,507)</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(1,091,722)</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operating activities. . . . . . .</w:t>
            </w:r>
          </w:p>
        </w:tc>
        <w:tc>
          <w:tcPr>
            <w:tcW w:w="3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2,254,717</w:t>
            </w:r>
          </w:p>
        </w:tc>
        <w:tc>
          <w:tcPr>
            <w:tcW w:w="5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1,906,075</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w w:val="97"/>
              </w:rPr>
              <w:t>CASH FLOWS FROM INVESTING ACTIVITIES: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Additions to property, plant and equipment. . . .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(1,294,403)</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(1,779,211)</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 of investments . . . . . . . . . . . . .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(233,952)</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(2,304,868)</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received on sale of land and building. . . . . . . .</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108,188</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used in investing activities. . . . .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(1,528,355)</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(3,975,891)</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w w:val="97"/>
              </w:rPr>
              <w:t>CASH FLOWS FROM FINANCING ACTIVITIES: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dividends paid . . . . . . . . . . . . . . .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(884,135)</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(736,804)</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Debt repayment. . . . . . . . . . . . . . . . . .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(56,008)</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(52,344)</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Payments received on note receivable. . . . . . . . . . .</w:t>
            </w:r>
          </w:p>
        </w:tc>
        <w:tc>
          <w:tcPr>
            <w:tcW w:w="3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136,106</w:t>
            </w:r>
          </w:p>
        </w:tc>
        <w:tc>
          <w:tcPr>
            <w:tcW w:w="5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24,046</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used in financing activities. . . . . . . .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(804,037)</w:t>
            </w:r>
          </w:p>
        </w:tc>
        <w:tc>
          <w:tcPr>
            <w:tcW w:w="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(765,102)</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INCREASE (DECREASE) IN CASH AND CASH EQUIVALENTS . . . . . .</w:t>
            </w:r>
          </w:p>
        </w:tc>
        <w:tc>
          <w:tcPr>
            <w:tcW w:w="38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(77,675)</w:t>
            </w: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(2,834,918)</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AND CASH EQUIVALENTS, BEGINNING OF YEAR . . . . . . . .</w:t>
            </w:r>
          </w:p>
        </w:tc>
        <w:tc>
          <w:tcPr>
            <w:tcW w:w="380" w:type="dxa"/>
            <w:vAlign w:val="bottom"/>
          </w:tcPr>
          <w:p>
            <w:pPr>
              <w:spacing w:after="0"/>
              <w:rPr>
                <w:sz w:val="24"/>
                <w:szCs w:val="24"/>
                <w:color w:val="auto"/>
              </w:rPr>
            </w:pP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8,932,125</w:t>
            </w:r>
          </w:p>
        </w:tc>
        <w:tc>
          <w:tcPr>
            <w:tcW w:w="5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9,906,107</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AND CASH EQUIVALENTS, END OF PERIOD . . . . . . . . . .</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8,854,450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7,071,189</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w w:val="97"/>
              </w:rPr>
              <w:t>SUPPLEMENTAL DISCLOSURES OF CASH FLOW</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80" w:type="dxa"/>
            <w:vAlign w:val="bottom"/>
          </w:tcPr>
          <w:p>
            <w:pPr>
              <w:jc w:val="right"/>
              <w:ind w:right="4812"/>
              <w:spacing w:after="0" w:line="203" w:lineRule="exact"/>
              <w:rPr>
                <w:sz w:val="20"/>
                <w:szCs w:val="20"/>
                <w:color w:val="auto"/>
              </w:rPr>
            </w:pPr>
            <w:r>
              <w:rPr>
                <w:rFonts w:ascii="Courier New" w:cs="Courier New" w:eastAsia="Courier New" w:hAnsi="Courier New"/>
                <w:sz w:val="18"/>
                <w:szCs w:val="18"/>
                <w:color w:val="auto"/>
              </w:rPr>
              <w:t>INFORMATION:</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Cash paid for interest. . . . . . . . . . . . . . . . . .</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49,011</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53,562</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paid for income taxes. . . . . . . . . . . . . . . .</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1,968,000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2,102,326</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2220"/>
        <w:spacing w:after="0"/>
        <w:rPr>
          <w:sz w:val="20"/>
          <w:szCs w:val="20"/>
          <w:color w:val="auto"/>
        </w:rPr>
      </w:pPr>
      <w:r>
        <w:rPr>
          <w:rFonts w:ascii="Courier New" w:cs="Courier New" w:eastAsia="Courier New" w:hAnsi="Courier New"/>
          <w:sz w:val="18"/>
          <w:szCs w:val="18"/>
          <w:color w:val="auto"/>
        </w:rPr>
        <w:t>HAWKINS CHEMICAL, INC. AND SUBSIDIARIES</w:t>
      </w:r>
    </w:p>
    <w:p>
      <w:pPr>
        <w:ind w:left="1480"/>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0" w:lineRule="exact"/>
        <w:rPr>
          <w:sz w:val="20"/>
          <w:szCs w:val="20"/>
          <w:color w:val="auto"/>
        </w:rPr>
      </w:pPr>
    </w:p>
    <w:p>
      <w:pPr>
        <w:spacing w:after="0" w:line="210" w:lineRule="exact"/>
        <w:rPr>
          <w:sz w:val="20"/>
          <w:szCs w:val="20"/>
          <w:color w:val="auto"/>
        </w:rPr>
      </w:pPr>
    </w:p>
    <w:p>
      <w:pPr>
        <w:ind w:right="209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29, 1996,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w:t>
      </w:r>
    </w:p>
    <w:p>
      <w:pPr>
        <w:spacing w:after="0" w:line="21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accounting policies followed by the Company are set forth in Note 1 to the Company's financial statements in the 1996 Hawkins Chemical, Inc. Annual Report which is incorporated by reference to Form 10-K filed with the Commission on December 30, 1996.</w:t>
      </w:r>
    </w:p>
    <w:p>
      <w:pPr>
        <w:spacing w:after="0" w:line="207" w:lineRule="exact"/>
        <w:rPr>
          <w:sz w:val="20"/>
          <w:szCs w:val="20"/>
          <w:color w:val="auto"/>
        </w:rPr>
      </w:pPr>
    </w:p>
    <w:p>
      <w:pPr>
        <w:ind w:right="2099" w:firstLine="8"/>
        <w:spacing w:after="0" w:line="290"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March 31, 1997 are not necessarily indicative of the results that may be expected for the full year.</w:t>
      </w:r>
    </w:p>
    <w:p>
      <w:pPr>
        <w:spacing w:after="0" w:line="169" w:lineRule="exact"/>
        <w:rPr>
          <w:rFonts w:ascii="Courier New" w:cs="Courier New" w:eastAsia="Courier New" w:hAnsi="Courier New"/>
          <w:sz w:val="16"/>
          <w:szCs w:val="16"/>
          <w:color w:val="auto"/>
        </w:rPr>
      </w:pPr>
    </w:p>
    <w:p>
      <w:pPr>
        <w:ind w:right="2419" w:firstLine="8"/>
        <w:spacing w:after="0" w:line="273"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$1,306,100 at March 31, 1997. Inventory consists principally of finished goods. Inventory quantities fluctuate during the year. No material amounts of interim liquidation of inventory quantities have occurred that are not expected to be replaced by year-end.</w:t>
      </w:r>
    </w:p>
    <w:p>
      <w:pPr>
        <w:spacing w:after="0" w:line="184" w:lineRule="exact"/>
        <w:rPr>
          <w:rFonts w:ascii="Courier New" w:cs="Courier New" w:eastAsia="Courier New" w:hAnsi="Courier New"/>
          <w:sz w:val="16"/>
          <w:szCs w:val="16"/>
          <w:color w:val="auto"/>
        </w:rPr>
      </w:pPr>
    </w:p>
    <w:p>
      <w:pPr>
        <w:ind w:right="2099" w:firstLine="8"/>
        <w:spacing w:after="0" w:line="23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are based upon the weighted average number of shares outstanding after giving retroactive effect to a 5% stock dividend declared February 12, 1997 to shareholders of record at the close of business on March 28, 1997.</w:t>
      </w:r>
    </w:p>
    <w:p>
      <w:pPr>
        <w:spacing w:after="0" w:line="207" w:lineRule="exact"/>
        <w:rPr>
          <w:rFonts w:ascii="Courier New" w:cs="Courier New" w:eastAsia="Courier New" w:hAnsi="Courier New"/>
          <w:sz w:val="18"/>
          <w:szCs w:val="18"/>
          <w:color w:val="auto"/>
        </w:rPr>
      </w:pPr>
    </w:p>
    <w:p>
      <w:pPr>
        <w:ind w:right="2099" w:firstLine="8"/>
        <w:spacing w:after="0" w:line="271"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1997, the Company reached an agreement to sell the inventory and operations of The Lynde Company. The Company expects to finalize the sale during the third quarter. Sales for Lynde were $708,000 and $899,000 for the six-month period ending March 31, 1997 and 1996, respectively, and their inventory at March 31, 1997 was approximately $1.2 million. Lynde had a net loss after taxes of $36,600 and $8,900 for the six-month period ending March 31, 1997 and 1996, respectively. The sale, if completed as contemplated, is not expected to have a material impact on operating results.</w:t>
      </w:r>
    </w:p>
    <w:p>
      <w:pPr>
        <w:spacing w:after="0" w:line="185" w:lineRule="exact"/>
        <w:rPr>
          <w:rFonts w:ascii="Courier New" w:cs="Courier New" w:eastAsia="Courier New" w:hAnsi="Courier New"/>
          <w:sz w:val="16"/>
          <w:szCs w:val="16"/>
          <w:color w:val="auto"/>
        </w:rPr>
      </w:pPr>
    </w:p>
    <w:p>
      <w:pPr>
        <w:ind w:right="2199" w:firstLine="8"/>
        <w:spacing w:after="0" w:line="271"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Financial Accounting Standards Board issued Statement of Financial Accounting Standards (SFAS) No. 128, "Earnings per Share." This statement specifies the computation, presentation, and disclosure requirements for earnings per share. This Statement is effective for financial statements issued for periods ending after December 15, 1997, including interim periods. The Company does not believe the adoption of SFAS No. 128 will have a material impact on the financial statements.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ind w:left="1900" w:right="3579" w:hanging="1895"/>
        <w:spacing w:after="0" w:line="290" w:lineRule="auto"/>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Net sales increased $2,234,431 (12.1%) in the second quarter of this fiscal year as compared to the same quarter a year ago, and increased $4,747,505 (13.2%) in the first six months of fiscal 1997 as compared to the same period in fiscal 1996. The increases were primarily due to volume increases in most of the Company's divisions and subsidiaries.</w:t>
      </w:r>
    </w:p>
    <w:p>
      <w:pPr>
        <w:spacing w:after="0" w:line="209"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Gross margin, as a percentage of net sales, for the second quarter of this fiscal year was 21.4% compared to 20.9% for the same quarter one year ago, and 21.2% for the first six months of both fiscal years 1997 and 1996. The second quarter increase was mainly due to maintaining the same dollar profit margin as the cost and selling price of a single, large-volume product were decreasing, and to increased sales on higher profit margin items. The demand for this product does not fluctuate materially as the cost and selling price increase or decrease. By maintaining stable dollar margins, the gross margin percentage will generally increase when the cost of the product is decreasing. The Company has generally been able to and expects to continue to adjust its selling prices as the cost of materials and other expenses change, thereby maintaining relatively stable dollar gross margins.</w:t>
      </w:r>
    </w:p>
    <w:p>
      <w:pPr>
        <w:spacing w:after="0" w:line="39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percentage of net sales, for the second quarter of fiscal 1997 were 10.8% compared to 11.3% for the same quarter one year ago, and 10.7% for the first six months of fiscal 1997 as compared to 11.3% for the first six months of fiscal 1996. Stated as a percentage of the same period one year ago, the second quarter increase was 7.4%, or $154,163, and the six month increase was 7.5%, or $304,452. These increases were mainly due to increased employee compensation and benefits, which make up the majority of the selling, general and administrative expenditures. Of the remaining expenses in this category, no single item is more than 7% of the total. Most of these expenses fluctuate only slightly with sales.</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Income from operations increased $418,910, or 23.7%, in the second quarter and $669,924, or 18.8%, in the first six months of fiscal 1997 as compared to the same periods one year ago. These increases are primarily attributable to the net sales increase.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Interest income increased $28,436 in the second quarter of fiscal 1997 as compared to the same quarter one year ago and increased $32,117 for the first six months of this fiscal year as compared to the same period one year ago. These increases are due to an increase in the amount of cash available for investments and to a higher rate of return earned on cash equivalents and investments. Interest expense decreased slightly due mainly to the decline in long term debt.</w:t>
      </w:r>
    </w:p>
    <w:p>
      <w:pPr>
        <w:spacing w:after="0" w:line="211"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 March 1997, the Company reached an agreement to sell the inventory and operations of The Lynde Company. The Company expects to finalize the sale during the third quarter. Sales for Lynde were $708,000 and $899,000 for the six month period ending March 31, 1997 and 1996, respectively, and their inventory at March 31, 1997 was approximately $1.2 million. Lynde had a net loss after taxes of $36,600 and $8,900 for the six month period ending March 31, 1997 and 1996, respectively. The sale, if completed as contemplated, is not expected to have a material impact on operating results.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ind w:right="2199"/>
        <w:spacing w:after="0" w:line="237" w:lineRule="auto"/>
        <w:rPr>
          <w:sz w:val="20"/>
          <w:szCs w:val="20"/>
          <w:color w:val="auto"/>
        </w:rPr>
      </w:pPr>
      <w:r>
        <w:rPr>
          <w:rFonts w:ascii="Courier New" w:cs="Courier New" w:eastAsia="Courier New" w:hAnsi="Courier New"/>
          <w:sz w:val="18"/>
          <w:szCs w:val="18"/>
          <w:color w:val="auto"/>
        </w:rPr>
        <w:t>For the six-month period ended March 31, 1997, cash flows from operations were $2,254,717. This amount was $348,642 higher than cash provided by operations during the same period one year ago, due mainly to the changes in certain current assets and liability accounts discussed below. During the six-month period ended March 31, 1997, the Company invested $1,294,403 in property and equipment additions and added $233,952 to investments.</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Accounts receivable, inventories and accounts payable decreased during the first six months of fiscal 1997. These decreases are typical for the first six months of our fiscal year. Other current assets increased due to payments of prepaid expenses that will be charged to the remaining quarters of this fiscal year and to insurance proceeds receivable. Other current liabilities decreased as a result of the payment of benefit plan accruals that existed at fiscal year end. The Company did not issue any securities during the six-month period ended March 31, 1997.</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212"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cost which approximates fair value. All cash equivalents are highly liquid and are available upon demand. There are some penalties associated with the early liquidation of the Company's investment and annuity contracts.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Other than as discussed above, management is not aware of any matters that have materially affected the first six months of fiscal 1997, but are not expected to materially affect future periods, nor is management aware of other matters not affecting this period that are expected to materially affect future periods.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540" w:right="2199"/>
        <w:spacing w:after="0" w:line="238" w:lineRule="auto"/>
        <w:rPr>
          <w:sz w:val="20"/>
          <w:szCs w:val="20"/>
          <w:color w:val="auto"/>
        </w:rPr>
      </w:pPr>
      <w:r>
        <w:rPr>
          <w:rFonts w:ascii="Courier New" w:cs="Courier New" w:eastAsia="Courier New" w:hAnsi="Courier New"/>
          <w:sz w:val="18"/>
          <w:szCs w:val="18"/>
          <w:color w:val="auto"/>
        </w:rPr>
        <w:t>LYNDE COMPANY WAREHOUSE FIRE. On March 1, 1995, the Company and its subsidiary The Lynde Company were named as defendants in an action entitled DONNA M. COOKSEY, ET AL. V. HAWKINS CHEMICAL, INC. AND THE LYNDE COMPANY. This proceeding is pending in state district court in Hennepin County, Minnesota. On March 28, 1997, the court issued its decision on the plaintiffs' motion for class certification. The court denied class certification as to all issues except the issue of whether the Company is liable for the fire. Issues as to whether a particular person was exposed to anything hazardous, whether the alleged exposure caused any injuries, and whether any damages resulted were not certified by the court and must be the subject of a separate suit or claim by each person seeking damages. The court also rejected the plaintiffs' motion to set aside the approximately 470 individual settlements which Hawkins previously entered into with potential claimants. A trial on the issue of liability has been set for October 20, 1997.</w:t>
      </w:r>
    </w:p>
    <w:p>
      <w:pPr>
        <w:spacing w:after="0" w:line="208" w:lineRule="exact"/>
        <w:rPr>
          <w:sz w:val="20"/>
          <w:szCs w:val="20"/>
          <w:color w:val="auto"/>
        </w:rPr>
      </w:pPr>
    </w:p>
    <w:p>
      <w:pPr>
        <w:ind w:left="540" w:right="2199"/>
        <w:spacing w:after="0" w:line="238" w:lineRule="auto"/>
        <w:rPr>
          <w:sz w:val="20"/>
          <w:szCs w:val="20"/>
          <w:color w:val="auto"/>
        </w:rPr>
      </w:pPr>
      <w:r>
        <w:rPr>
          <w:rFonts w:ascii="Courier New" w:cs="Courier New" w:eastAsia="Courier New" w:hAnsi="Courier New"/>
          <w:sz w:val="18"/>
          <w:szCs w:val="18"/>
          <w:color w:val="auto"/>
        </w:rPr>
        <w:t>Earlier, by order dated February 8, 1997, the Court granted the plaintiffs' motion to plead a claim for punitive damages on the ground the Company did not have a sprinkler system installed at the time of the fire. This decision means that the plaintiffs may ask the jury to award punitive damages if the plaintiffs can prove by clear and convincing evidence that the Company acted in deliberate disregard of the rights and safety of others. The Company, with its consultant, was in the process of designing a sprinkler system and hiring a contractor to install the system at the time of the fire, in accordance with a schedule approved by the Minneapolis Fire Department. Accordingly, while the court has allowed the plaintiffs to plead a claim for punitive damages, The Company believes there is no factual basis to support such an award. The Company anticipates asking the court, at the appropriate time, to dismiss the punitive damage claim as a matter of law.</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 to a vote of Security Holders.</w:t>
      </w:r>
    </w:p>
    <w:p>
      <w:pPr>
        <w:spacing w:after="0" w:line="207" w:lineRule="exact"/>
        <w:rPr>
          <w:sz w:val="20"/>
          <w:szCs w:val="20"/>
          <w:color w:val="auto"/>
        </w:rPr>
      </w:pPr>
    </w:p>
    <w:p>
      <w:pPr>
        <w:ind w:left="1060" w:right="23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meeting of the shareholders of the Company was held on February 12, 1997.</w:t>
      </w:r>
    </w:p>
    <w:p>
      <w:pPr>
        <w:spacing w:after="0" w:line="208" w:lineRule="exact"/>
        <w:rPr>
          <w:sz w:val="20"/>
          <w:szCs w:val="20"/>
          <w:color w:val="auto"/>
        </w:rPr>
      </w:pPr>
    </w:p>
    <w:p>
      <w:pPr>
        <w:ind w:left="1060" w:right="2319" w:hanging="525"/>
        <w:spacing w:after="0" w:line="290"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tabulation of the results of votes cast on the matters noted upon at the annual meeting of the shareholders: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242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For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Against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Withheld</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Abstain</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Non-Votes</w:t>
            </w:r>
          </w:p>
        </w:tc>
      </w:tr>
      <w:tr>
        <w:trPr>
          <w:trHeight w:val="203"/>
        </w:trPr>
        <w:tc>
          <w:tcPr>
            <w:tcW w:w="242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420" w:type="dxa"/>
            <w:vAlign w:val="bottom"/>
          </w:tcPr>
          <w:p>
            <w:pPr>
              <w:spacing w:after="0"/>
              <w:rPr>
                <w:sz w:val="20"/>
                <w:szCs w:val="20"/>
                <w:color w:val="auto"/>
              </w:rPr>
            </w:pPr>
            <w:r>
              <w:rPr>
                <w:rFonts w:ascii="Courier New" w:cs="Courier New" w:eastAsia="Courier New" w:hAnsi="Courier New"/>
                <w:sz w:val="18"/>
                <w:szCs w:val="18"/>
                <w:color w:val="auto"/>
              </w:rPr>
              <w:t>Howard J. Hawkins</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6"/>
              </w:rPr>
              <w:t>9,022,452</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37,247</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Dean L. Hahn</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9,023,672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36,027</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Carl J. Ahlgren</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8,955,771</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103,928</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Howard M. Hawkins</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9,022,452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37,247</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Norman P. Anderson</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8,948,387</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111,312</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L. Shipp</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8,706,690</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353,009</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S. McKeon</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9,023,672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36,027</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Hawkins</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9,023,292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36,407</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 Albert Diez Hanser</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7,582,987</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1,476,712</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Duane Jergenson</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9,023,672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36,027</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0</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Approval of Deloitte &amp; Touche LLP as Independent Auditors:</w:t>
            </w:r>
          </w:p>
        </w:tc>
        <w:tc>
          <w:tcPr>
            <w:tcW w:w="1060" w:type="dxa"/>
            <w:vAlign w:val="bottom"/>
          </w:tcPr>
          <w:p>
            <w:pPr>
              <w:spacing w:after="0"/>
              <w:rPr>
                <w:sz w:val="17"/>
                <w:szCs w:val="17"/>
                <w:color w:val="auto"/>
              </w:rPr>
            </w:pPr>
          </w:p>
        </w:tc>
      </w:tr>
      <w:tr>
        <w:trPr>
          <w:trHeight w:val="405"/>
        </w:trPr>
        <w:tc>
          <w:tcPr>
            <w:tcW w:w="2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21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For</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Against</w:t>
            </w:r>
          </w:p>
        </w:tc>
        <w:tc>
          <w:tcPr>
            <w:tcW w:w="24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Abstain</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Non-Votes</w:t>
            </w:r>
          </w:p>
        </w:tc>
      </w:tr>
      <w:tr>
        <w:trPr>
          <w:trHeight w:val="203"/>
        </w:trPr>
        <w:tc>
          <w:tcPr>
            <w:tcW w:w="21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8,712,103</w:t>
            </w:r>
          </w:p>
        </w:tc>
        <w:tc>
          <w:tcPr>
            <w:tcW w:w="16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311,964</w:t>
            </w:r>
          </w:p>
        </w:tc>
        <w:tc>
          <w:tcPr>
            <w:tcW w:w="24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35,632</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spacing w:after="0"/>
              <w:rPr>
                <w:sz w:val="24"/>
                <w:szCs w:val="24"/>
                <w:color w:val="auto"/>
              </w:rPr>
            </w:pPr>
          </w:p>
        </w:tc>
      </w:tr>
    </w:tbl>
    <w:p>
      <w:pPr>
        <w:sectPr>
          <w:pgSz w:w="11900" w:h="16838" w:orient="portrait"/>
          <w:cols w:equalWidth="0" w:num="1">
            <w:col w:w="10219"/>
          </w:cols>
          <w:pgMar w:left="240" w:top="717" w:right="1440" w:bottom="159" w:gutter="0" w:footer="0" w:header="0"/>
        </w:sectPr>
      </w:pPr>
    </w:p>
    <w:bookmarkStart w:id="9" w:name="page10"/>
    <w:bookmarkEnd w:id="9"/>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left="54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pacing w:after="0" w:line="36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22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15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6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5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3.1</w:t>
            </w:r>
          </w:p>
        </w:tc>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Amended and Second</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 Articles of Incorporation</w:t>
            </w:r>
          </w:p>
        </w:tc>
      </w:tr>
      <w:tr>
        <w:trPr>
          <w:trHeight w:val="203"/>
        </w:trPr>
        <w:tc>
          <w:tcPr>
            <w:tcW w:w="1580" w:type="dxa"/>
            <w:vAlign w:val="bottom"/>
          </w:tcPr>
          <w:p>
            <w:pPr>
              <w:spacing w:after="0"/>
              <w:rPr>
                <w:sz w:val="17"/>
                <w:szCs w:val="17"/>
                <w:color w:val="auto"/>
              </w:rPr>
            </w:pPr>
          </w:p>
        </w:tc>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as amended through</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February 28, 1989 (Incorporated by</w:t>
            </w:r>
          </w:p>
        </w:tc>
      </w:tr>
      <w:tr>
        <w:trPr>
          <w:trHeight w:val="203"/>
        </w:trPr>
        <w:tc>
          <w:tcPr>
            <w:tcW w:w="1580" w:type="dxa"/>
            <w:vAlign w:val="bottom"/>
          </w:tcPr>
          <w:p>
            <w:pPr>
              <w:spacing w:after="0"/>
              <w:rPr>
                <w:sz w:val="17"/>
                <w:szCs w:val="17"/>
                <w:color w:val="auto"/>
              </w:rPr>
            </w:pPr>
          </w:p>
        </w:tc>
        <w:tc>
          <w:tcPr>
            <w:tcW w:w="6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reference to Exhibit 3D to the Registrant's Quarterly</w:t>
            </w:r>
          </w:p>
        </w:tc>
      </w:tr>
      <w:tr>
        <w:trPr>
          <w:trHeight w:val="203"/>
        </w:trPr>
        <w:tc>
          <w:tcPr>
            <w:tcW w:w="1580" w:type="dxa"/>
            <w:vAlign w:val="bottom"/>
          </w:tcPr>
          <w:p>
            <w:pPr>
              <w:spacing w:after="0"/>
              <w:rPr>
                <w:sz w:val="17"/>
                <w:szCs w:val="17"/>
                <w:color w:val="auto"/>
              </w:rPr>
            </w:pPr>
          </w:p>
        </w:tc>
        <w:tc>
          <w:tcPr>
            <w:tcW w:w="6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Report on Form 10-Q for the quarter ended March 31,</w:t>
            </w:r>
          </w:p>
        </w:tc>
      </w:tr>
      <w:tr>
        <w:trPr>
          <w:trHeight w:val="203"/>
        </w:trPr>
        <w:tc>
          <w:tcPr>
            <w:tcW w:w="1580" w:type="dxa"/>
            <w:vAlign w:val="bottom"/>
          </w:tcPr>
          <w:p>
            <w:pPr>
              <w:spacing w:after="0"/>
              <w:rPr>
                <w:sz w:val="17"/>
                <w:szCs w:val="17"/>
                <w:color w:val="auto"/>
              </w:rPr>
            </w:pPr>
          </w:p>
        </w:tc>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1989).</w:t>
            </w:r>
          </w:p>
        </w:tc>
        <w:tc>
          <w:tcPr>
            <w:tcW w:w="3840" w:type="dxa"/>
            <w:vAlign w:val="bottom"/>
          </w:tcPr>
          <w:p>
            <w:pPr>
              <w:spacing w:after="0"/>
              <w:rPr>
                <w:sz w:val="17"/>
                <w:szCs w:val="17"/>
                <w:color w:val="auto"/>
              </w:rPr>
            </w:pPr>
          </w:p>
        </w:tc>
      </w:tr>
      <w:tr>
        <w:trPr>
          <w:trHeight w:val="405"/>
        </w:trPr>
        <w:tc>
          <w:tcPr>
            <w:tcW w:w="15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3.2</w:t>
            </w:r>
          </w:p>
        </w:tc>
        <w:tc>
          <w:tcPr>
            <w:tcW w:w="2380" w:type="dxa"/>
            <w:vAlign w:val="bottom"/>
          </w:tcPr>
          <w:p>
            <w:pPr>
              <w:ind w:left="420"/>
              <w:spacing w:after="0"/>
              <w:rPr>
                <w:sz w:val="20"/>
                <w:szCs w:val="20"/>
                <w:color w:val="auto"/>
              </w:rPr>
            </w:pPr>
            <w:r>
              <w:rPr>
                <w:rFonts w:ascii="Courier New" w:cs="Courier New" w:eastAsia="Courier New" w:hAnsi="Courier New"/>
                <w:sz w:val="18"/>
                <w:szCs w:val="18"/>
                <w:color w:val="auto"/>
                <w:w w:val="99"/>
              </w:rPr>
              <w:t>Second Amended and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Superseding By-Laws as amended</w:t>
            </w:r>
          </w:p>
        </w:tc>
      </w:tr>
      <w:tr>
        <w:trPr>
          <w:trHeight w:val="203"/>
        </w:trPr>
        <w:tc>
          <w:tcPr>
            <w:tcW w:w="1580" w:type="dxa"/>
            <w:vAlign w:val="bottom"/>
          </w:tcPr>
          <w:p>
            <w:pPr>
              <w:spacing w:after="0"/>
              <w:rPr>
                <w:sz w:val="17"/>
                <w:szCs w:val="17"/>
                <w:color w:val="auto"/>
              </w:rPr>
            </w:pPr>
          </w:p>
        </w:tc>
        <w:tc>
          <w:tcPr>
            <w:tcW w:w="6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through February 15, 1995 (incorporated by reference to</w:t>
            </w:r>
          </w:p>
        </w:tc>
      </w:tr>
      <w:tr>
        <w:trPr>
          <w:trHeight w:val="203"/>
        </w:trPr>
        <w:tc>
          <w:tcPr>
            <w:tcW w:w="1580" w:type="dxa"/>
            <w:vAlign w:val="bottom"/>
          </w:tcPr>
          <w:p>
            <w:pPr>
              <w:spacing w:after="0"/>
              <w:rPr>
                <w:sz w:val="17"/>
                <w:szCs w:val="17"/>
                <w:color w:val="auto"/>
              </w:rPr>
            </w:pPr>
          </w:p>
        </w:tc>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Exhibit 3.2 to the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Registrant's Annual Report on Form</w:t>
            </w:r>
          </w:p>
        </w:tc>
      </w:tr>
      <w:tr>
        <w:trPr>
          <w:trHeight w:val="203"/>
        </w:trPr>
        <w:tc>
          <w:tcPr>
            <w:tcW w:w="1580" w:type="dxa"/>
            <w:vAlign w:val="bottom"/>
          </w:tcPr>
          <w:p>
            <w:pPr>
              <w:spacing w:after="0"/>
              <w:rPr>
                <w:sz w:val="17"/>
                <w:szCs w:val="17"/>
                <w:color w:val="auto"/>
              </w:rPr>
            </w:pPr>
          </w:p>
        </w:tc>
        <w:tc>
          <w:tcPr>
            <w:tcW w:w="6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10-K for the year ended October 1, 1995).</w:t>
            </w:r>
          </w:p>
        </w:tc>
      </w:tr>
    </w:tbl>
    <w:p>
      <w:pPr>
        <w:spacing w:after="0" w:line="201" w:lineRule="exact"/>
        <w:rPr>
          <w:sz w:val="20"/>
          <w:szCs w:val="20"/>
          <w:color w:val="auto"/>
        </w:rPr>
      </w:pPr>
    </w:p>
    <w:p>
      <w:pPr>
        <w:ind w:left="2640" w:hanging="1579"/>
        <w:spacing w:after="0"/>
        <w:tabs>
          <w:tab w:leader="none" w:pos="2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Exhibits 3.1 and 3.2 above.</w:t>
      </w:r>
    </w:p>
    <w:p>
      <w:pPr>
        <w:spacing w:after="0" w:line="201" w:lineRule="exact"/>
        <w:rPr>
          <w:sz w:val="20"/>
          <w:szCs w:val="20"/>
          <w:color w:val="auto"/>
        </w:rPr>
      </w:pPr>
    </w:p>
    <w:p>
      <w:pPr>
        <w:ind w:left="2640" w:hanging="1579"/>
        <w:spacing w:after="0"/>
        <w:tabs>
          <w:tab w:leader="none" w:pos="2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fiscal quarter ended</w:t>
      </w:r>
    </w:p>
    <w:p>
      <w:pPr>
        <w:spacing w:after="0" w:line="238" w:lineRule="auto"/>
        <w:rPr>
          <w:sz w:val="20"/>
          <w:szCs w:val="20"/>
          <w:color w:val="auto"/>
        </w:rPr>
      </w:pPr>
      <w:r>
        <w:rPr>
          <w:rFonts w:ascii="Courier New" w:cs="Courier New" w:eastAsia="Courier New" w:hAnsi="Courier New"/>
          <w:sz w:val="18"/>
          <w:szCs w:val="18"/>
          <w:color w:val="auto"/>
        </w:rPr>
        <w:t>MARCH 31, 1997.</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/s/Howard M. Hawkins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Howard M. Hawkins, Treasurer</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(Chief Financial and Accounting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12, 1997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410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Description of Exhibit</w:t>
            </w:r>
          </w:p>
        </w:tc>
        <w:tc>
          <w:tcPr>
            <w:tcW w:w="2480" w:type="dxa"/>
            <w:vAlign w:val="bottom"/>
          </w:tcPr>
          <w:p>
            <w:pPr>
              <w:ind w:left="1640"/>
              <w:spacing w:after="0"/>
              <w:rPr>
                <w:sz w:val="20"/>
                <w:szCs w:val="20"/>
                <w:color w:val="auto"/>
              </w:rPr>
            </w:pPr>
            <w:r>
              <w:rPr>
                <w:rFonts w:ascii="Courier New" w:cs="Courier New" w:eastAsia="Courier New" w:hAnsi="Courier New"/>
                <w:sz w:val="18"/>
                <w:szCs w:val="18"/>
                <w:color w:val="auto"/>
                <w:w w:val="94"/>
              </w:rPr>
              <w:t>Page No.</w:t>
            </w:r>
          </w:p>
        </w:tc>
      </w:tr>
      <w:tr>
        <w:trPr>
          <w:trHeight w:val="203"/>
        </w:trPr>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6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w:t>
            </w:r>
          </w:p>
        </w:tc>
        <w:tc>
          <w:tcPr>
            <w:tcW w:w="6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Amended and Second Restated Articles of</w:t>
            </w:r>
          </w:p>
        </w:tc>
      </w:tr>
      <w:tr>
        <w:trPr>
          <w:trHeight w:val="203"/>
        </w:trPr>
        <w:tc>
          <w:tcPr>
            <w:tcW w:w="132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Incorporation</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amended through February 28, 1989</w:t>
            </w:r>
          </w:p>
        </w:tc>
      </w:tr>
      <w:tr>
        <w:trPr>
          <w:trHeight w:val="203"/>
        </w:trPr>
        <w:tc>
          <w:tcPr>
            <w:tcW w:w="132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(Incorporated</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reference to Exhibit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3D to the</w:t>
            </w:r>
          </w:p>
        </w:tc>
      </w:tr>
      <w:tr>
        <w:trPr>
          <w:trHeight w:val="203"/>
        </w:trPr>
        <w:tc>
          <w:tcPr>
            <w:tcW w:w="1320" w:type="dxa"/>
            <w:vAlign w:val="bottom"/>
          </w:tcPr>
          <w:p>
            <w:pPr>
              <w:spacing w:after="0"/>
              <w:rPr>
                <w:sz w:val="17"/>
                <w:szCs w:val="17"/>
                <w:color w:val="auto"/>
              </w:rPr>
            </w:pPr>
          </w:p>
        </w:tc>
        <w:tc>
          <w:tcPr>
            <w:tcW w:w="4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Registrant's Quarterly Report on Form</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10-Q for the</w:t>
            </w:r>
          </w:p>
        </w:tc>
      </w:tr>
      <w:tr>
        <w:trPr>
          <w:trHeight w:val="203"/>
        </w:trPr>
        <w:tc>
          <w:tcPr>
            <w:tcW w:w="132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quarter ended</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31, 1989).</w:t>
            </w:r>
          </w:p>
        </w:tc>
        <w:tc>
          <w:tcPr>
            <w:tcW w:w="2480" w:type="dxa"/>
            <w:vAlign w:val="bottom"/>
          </w:tcPr>
          <w:p>
            <w:pPr>
              <w:spacing w:after="0"/>
              <w:rPr>
                <w:sz w:val="17"/>
                <w:szCs w:val="17"/>
                <w:color w:val="auto"/>
              </w:rPr>
            </w:pPr>
          </w:p>
        </w:tc>
      </w:tr>
    </w:tbl>
    <w:p>
      <w:pPr>
        <w:spacing w:after="0" w:line="207" w:lineRule="exact"/>
        <w:rPr>
          <w:sz w:val="20"/>
          <w:szCs w:val="20"/>
          <w:color w:val="auto"/>
        </w:rPr>
      </w:pPr>
    </w:p>
    <w:p>
      <w:pPr>
        <w:ind w:left="1800" w:right="3259" w:hanging="1052"/>
        <w:spacing w:after="0" w:line="237" w:lineRule="auto"/>
        <w:tabs>
          <w:tab w:leader="none" w:pos="17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Second Amended and Superseding By-Laws as amended through February 15, 1995 (incorporated by reference to Exhibit 3.2 to the Registrant's Annual Report on Form 10-K for the year ended October 1, 1995).</w:t>
      </w:r>
    </w:p>
    <w:p>
      <w:pPr>
        <w:spacing w:after="0" w:line="203" w:lineRule="exact"/>
        <w:rPr>
          <w:sz w:val="20"/>
          <w:szCs w:val="20"/>
          <w:color w:val="auto"/>
        </w:rPr>
      </w:pPr>
    </w:p>
    <w:p>
      <w:pPr>
        <w:ind w:left="1800" w:hanging="1055"/>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Exhibits 3.1 and 3.2 above.</w:t>
      </w:r>
    </w:p>
    <w:p>
      <w:pPr>
        <w:spacing w:after="0" w:line="201" w:lineRule="exact"/>
        <w:rPr>
          <w:sz w:val="20"/>
          <w:szCs w:val="20"/>
          <w:color w:val="auto"/>
        </w:rPr>
      </w:pPr>
    </w:p>
    <w:p>
      <w:pPr>
        <w:ind w:left="740"/>
        <w:spacing w:after="0"/>
        <w:tabs>
          <w:tab w:leader="none" w:pos="1780" w:val="left"/>
          <w:tab w:leader="none" w:pos="768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r>
        <w:rPr>
          <w:sz w:val="20"/>
          <w:szCs w:val="20"/>
          <w:color w:val="auto"/>
        </w:rPr>
        <w:tab/>
      </w:r>
      <w:r>
        <w:rPr>
          <w:rFonts w:ascii="Courier New" w:cs="Courier New" w:eastAsia="Courier New" w:hAnsi="Courier New"/>
          <w:sz w:val="16"/>
          <w:szCs w:val="16"/>
          <w:color w:val="auto"/>
        </w:rPr>
        <w:t>12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SEP-28-1997</w:t>
      </w:r>
    </w:p>
    <w:p>
      <w:pPr>
        <w:ind w:left="2940"/>
        <w:spacing w:after="0"/>
        <w:rPr>
          <w:sz w:val="20"/>
          <w:szCs w:val="20"/>
          <w:color w:val="auto"/>
        </w:rPr>
      </w:pPr>
      <w:r>
        <w:rPr>
          <w:rFonts w:ascii="Courier New" w:cs="Courier New" w:eastAsia="Courier New" w:hAnsi="Courier New"/>
          <w:sz w:val="18"/>
          <w:szCs w:val="18"/>
          <w:color w:val="auto"/>
        </w:rPr>
        <w:t>SEP-30-1996</w:t>
      </w:r>
    </w:p>
    <w:p>
      <w:pPr>
        <w:ind w:left="3160"/>
        <w:spacing w:after="0" w:line="237" w:lineRule="auto"/>
        <w:rPr>
          <w:sz w:val="20"/>
          <w:szCs w:val="20"/>
          <w:color w:val="auto"/>
        </w:rPr>
      </w:pPr>
      <w:r>
        <w:rPr>
          <w:rFonts w:ascii="Courier New" w:cs="Courier New" w:eastAsia="Courier New" w:hAnsi="Courier New"/>
          <w:sz w:val="18"/>
          <w:szCs w:val="18"/>
          <w:color w:val="auto"/>
        </w:rPr>
        <w:t>MAR-31-1997</w:t>
      </w:r>
    </w:p>
    <w:p>
      <w:pPr>
        <w:ind w:left="4000"/>
        <w:spacing w:after="0" w:line="238" w:lineRule="auto"/>
        <w:rPr>
          <w:sz w:val="20"/>
          <w:szCs w:val="20"/>
          <w:color w:val="auto"/>
        </w:rPr>
      </w:pPr>
      <w:r>
        <w:rPr>
          <w:rFonts w:ascii="Courier New" w:cs="Courier New" w:eastAsia="Courier New" w:hAnsi="Courier New"/>
          <w:sz w:val="18"/>
          <w:szCs w:val="18"/>
          <w:color w:val="auto"/>
        </w:rPr>
        <w:t>8,854,450</w:t>
      </w:r>
    </w:p>
    <w:p>
      <w:pPr>
        <w:ind w:left="3260"/>
        <w:spacing w:after="0"/>
        <w:rPr>
          <w:sz w:val="20"/>
          <w:szCs w:val="20"/>
          <w:color w:val="auto"/>
        </w:rPr>
      </w:pPr>
      <w:r>
        <w:rPr>
          <w:rFonts w:ascii="Courier New" w:cs="Courier New" w:eastAsia="Courier New" w:hAnsi="Courier New"/>
          <w:sz w:val="18"/>
          <w:szCs w:val="18"/>
          <w:color w:val="auto"/>
        </w:rPr>
        <w:t>10,738,555</w:t>
      </w:r>
    </w:p>
    <w:p>
      <w:pPr>
        <w:ind w:left="3260"/>
        <w:spacing w:after="0" w:line="237" w:lineRule="auto"/>
        <w:rPr>
          <w:sz w:val="20"/>
          <w:szCs w:val="20"/>
          <w:color w:val="auto"/>
        </w:rPr>
      </w:pPr>
      <w:r>
        <w:rPr>
          <w:rFonts w:ascii="Courier New" w:cs="Courier New" w:eastAsia="Courier New" w:hAnsi="Courier New"/>
          <w:sz w:val="18"/>
          <w:szCs w:val="18"/>
          <w:color w:val="auto"/>
        </w:rPr>
        <w:t>9,649,623</w:t>
      </w:r>
    </w:p>
    <w:p>
      <w:pPr>
        <w:ind w:left="420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6,388,817</w:t>
      </w:r>
    </w:p>
    <w:p>
      <w:pPr>
        <w:ind w:left="2840"/>
        <w:spacing w:after="0"/>
        <w:rPr>
          <w:sz w:val="20"/>
          <w:szCs w:val="20"/>
          <w:color w:val="auto"/>
        </w:rPr>
      </w:pPr>
      <w:r>
        <w:rPr>
          <w:rFonts w:ascii="Courier New" w:cs="Courier New" w:eastAsia="Courier New" w:hAnsi="Courier New"/>
          <w:sz w:val="18"/>
          <w:szCs w:val="18"/>
          <w:color w:val="auto"/>
        </w:rPr>
        <w:t>37,241,453</w:t>
      </w:r>
    </w:p>
    <w:p>
      <w:pPr>
        <w:ind w:left="3900"/>
        <w:spacing w:after="0" w:line="237" w:lineRule="auto"/>
        <w:rPr>
          <w:sz w:val="20"/>
          <w:szCs w:val="20"/>
          <w:color w:val="auto"/>
        </w:rPr>
      </w:pPr>
      <w:r>
        <w:rPr>
          <w:rFonts w:ascii="Courier New" w:cs="Courier New" w:eastAsia="Courier New" w:hAnsi="Courier New"/>
          <w:sz w:val="18"/>
          <w:szCs w:val="18"/>
          <w:color w:val="auto"/>
        </w:rPr>
        <w:t>13,744,000</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55,304,168</w:t>
      </w:r>
    </w:p>
    <w:p>
      <w:pPr>
        <w:ind w:left="2420"/>
        <w:spacing w:after="0" w:line="237" w:lineRule="auto"/>
        <w:rPr>
          <w:sz w:val="20"/>
          <w:szCs w:val="20"/>
          <w:color w:val="auto"/>
        </w:rPr>
      </w:pPr>
      <w:r>
        <w:rPr>
          <w:rFonts w:ascii="Courier New" w:cs="Courier New" w:eastAsia="Courier New" w:hAnsi="Courier New"/>
          <w:sz w:val="18"/>
          <w:szCs w:val="18"/>
          <w:color w:val="auto"/>
        </w:rPr>
        <w:t>9,410,209</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2620"/>
        <w:spacing w:after="0" w:line="237" w:lineRule="auto"/>
        <w:rPr>
          <w:sz w:val="20"/>
          <w:szCs w:val="20"/>
          <w:color w:val="auto"/>
        </w:rPr>
      </w:pPr>
      <w:r>
        <w:rPr>
          <w:rFonts w:ascii="Courier New" w:cs="Courier New" w:eastAsia="Courier New" w:hAnsi="Courier New"/>
          <w:sz w:val="18"/>
          <w:szCs w:val="18"/>
          <w:color w:val="auto"/>
        </w:rPr>
        <w:t>580,195</w:t>
      </w:r>
    </w:p>
    <w:p>
      <w:pPr>
        <w:ind w:left="4320"/>
        <w:spacing w:after="0"/>
        <w:rPr>
          <w:sz w:val="20"/>
          <w:szCs w:val="20"/>
          <w:color w:val="auto"/>
        </w:rPr>
      </w:pPr>
      <w:r>
        <w:rPr>
          <w:rFonts w:ascii="Courier New" w:cs="Courier New" w:eastAsia="Courier New" w:hAnsi="Courier New"/>
          <w:sz w:val="18"/>
          <w:szCs w:val="18"/>
          <w:color w:val="auto"/>
        </w:rPr>
        <w:t>0</w:t>
      </w:r>
    </w:p>
    <w:p>
      <w:pPr>
        <w:ind w:left="4620"/>
        <w:spacing w:after="0" w:line="237" w:lineRule="auto"/>
        <w:rPr>
          <w:sz w:val="20"/>
          <w:szCs w:val="20"/>
          <w:color w:val="auto"/>
        </w:rPr>
      </w:pPr>
      <w:r>
        <w:rPr>
          <w:rFonts w:ascii="Courier New" w:cs="Courier New" w:eastAsia="Courier New" w:hAnsi="Courier New"/>
          <w:sz w:val="18"/>
          <w:szCs w:val="18"/>
          <w:color w:val="auto"/>
        </w:rPr>
        <w:t>0</w:t>
      </w:r>
    </w:p>
    <w:p>
      <w:pPr>
        <w:ind w:left="3460"/>
        <w:spacing w:after="0" w:line="238" w:lineRule="auto"/>
        <w:rPr>
          <w:sz w:val="20"/>
          <w:szCs w:val="20"/>
          <w:color w:val="auto"/>
        </w:rPr>
      </w:pPr>
      <w:r>
        <w:rPr>
          <w:rFonts w:ascii="Courier New" w:cs="Courier New" w:eastAsia="Courier New" w:hAnsi="Courier New"/>
          <w:sz w:val="18"/>
          <w:szCs w:val="18"/>
          <w:color w:val="auto"/>
        </w:rPr>
        <w:t>44,370,939</w:t>
      </w:r>
    </w:p>
    <w:p>
      <w:pPr>
        <w:ind w:left="1580"/>
        <w:spacing w:after="0"/>
        <w:rPr>
          <w:sz w:val="20"/>
          <w:szCs w:val="20"/>
          <w:color w:val="auto"/>
        </w:rPr>
      </w:pPr>
      <w:r>
        <w:rPr>
          <w:rFonts w:ascii="Courier New" w:cs="Courier New" w:eastAsia="Courier New" w:hAnsi="Courier New"/>
          <w:sz w:val="18"/>
          <w:szCs w:val="18"/>
          <w:color w:val="auto"/>
        </w:rPr>
        <w:t>55,304,168</w:t>
      </w:r>
    </w:p>
    <w:p>
      <w:pPr>
        <w:ind w:left="3780"/>
        <w:spacing w:after="0" w:line="237" w:lineRule="auto"/>
        <w:rPr>
          <w:sz w:val="20"/>
          <w:szCs w:val="20"/>
          <w:color w:val="auto"/>
        </w:rPr>
      </w:pPr>
      <w:r>
        <w:rPr>
          <w:rFonts w:ascii="Courier New" w:cs="Courier New" w:eastAsia="Courier New" w:hAnsi="Courier New"/>
          <w:sz w:val="18"/>
          <w:szCs w:val="18"/>
          <w:color w:val="auto"/>
        </w:rPr>
        <w:t>40,609,556</w:t>
      </w:r>
    </w:p>
    <w:p>
      <w:pPr>
        <w:ind w:left="2840"/>
        <w:spacing w:after="0"/>
        <w:rPr>
          <w:sz w:val="20"/>
          <w:szCs w:val="20"/>
          <w:color w:val="auto"/>
        </w:rPr>
      </w:pPr>
      <w:r>
        <w:rPr>
          <w:rFonts w:ascii="Courier New" w:cs="Courier New" w:eastAsia="Courier New" w:hAnsi="Courier New"/>
          <w:sz w:val="18"/>
          <w:szCs w:val="18"/>
          <w:color w:val="auto"/>
        </w:rPr>
        <w:t>40,609,556</w:t>
      </w:r>
    </w:p>
    <w:p>
      <w:pPr>
        <w:jc w:val="right"/>
        <w:ind w:right="5059"/>
        <w:spacing w:after="0" w:line="237" w:lineRule="auto"/>
        <w:rPr>
          <w:sz w:val="20"/>
          <w:szCs w:val="20"/>
          <w:color w:val="auto"/>
        </w:rPr>
      </w:pPr>
      <w:r>
        <w:rPr>
          <w:rFonts w:ascii="Courier New" w:cs="Courier New" w:eastAsia="Courier New" w:hAnsi="Courier New"/>
          <w:sz w:val="18"/>
          <w:szCs w:val="18"/>
          <w:color w:val="auto"/>
        </w:rPr>
        <w:t>32,018,170</w:t>
      </w:r>
    </w:p>
    <w:p>
      <w:pPr>
        <w:ind w:left="3160"/>
        <w:spacing w:after="0"/>
        <w:rPr>
          <w:sz w:val="20"/>
          <w:szCs w:val="20"/>
          <w:color w:val="auto"/>
        </w:rPr>
      </w:pPr>
      <w:r>
        <w:rPr>
          <w:rFonts w:ascii="Courier New" w:cs="Courier New" w:eastAsia="Courier New" w:hAnsi="Courier New"/>
          <w:sz w:val="18"/>
          <w:szCs w:val="18"/>
          <w:color w:val="auto"/>
        </w:rPr>
        <w:t>36,368,292</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23,662</w:t>
      </w:r>
    </w:p>
    <w:p>
      <w:pPr>
        <w:ind w:left="3040"/>
        <w:spacing w:after="0" w:line="238" w:lineRule="auto"/>
        <w:rPr>
          <w:sz w:val="20"/>
          <w:szCs w:val="20"/>
          <w:color w:val="auto"/>
        </w:rPr>
      </w:pPr>
      <w:r>
        <w:rPr>
          <w:rFonts w:ascii="Courier New" w:cs="Courier New" w:eastAsia="Courier New" w:hAnsi="Courier New"/>
          <w:sz w:val="18"/>
          <w:szCs w:val="18"/>
          <w:color w:val="auto"/>
        </w:rPr>
        <w:t>4,828,476</w:t>
      </w:r>
    </w:p>
    <w:p>
      <w:pPr>
        <w:ind w:left="3360"/>
        <w:spacing w:after="0"/>
        <w:rPr>
          <w:sz w:val="20"/>
          <w:szCs w:val="20"/>
          <w:color w:val="auto"/>
        </w:rPr>
      </w:pPr>
      <w:r>
        <w:rPr>
          <w:rFonts w:ascii="Courier New" w:cs="Courier New" w:eastAsia="Courier New" w:hAnsi="Courier New"/>
          <w:sz w:val="18"/>
          <w:szCs w:val="18"/>
          <w:color w:val="auto"/>
        </w:rPr>
        <w:t>1,895,200</w:t>
      </w:r>
    </w:p>
    <w:p>
      <w:pPr>
        <w:ind w:left="2620"/>
        <w:spacing w:after="0" w:line="237" w:lineRule="auto"/>
        <w:rPr>
          <w:sz w:val="20"/>
          <w:szCs w:val="20"/>
          <w:color w:val="auto"/>
        </w:rPr>
      </w:pPr>
      <w:r>
        <w:rPr>
          <w:rFonts w:ascii="Courier New" w:cs="Courier New" w:eastAsia="Courier New" w:hAnsi="Courier New"/>
          <w:sz w:val="18"/>
          <w:szCs w:val="18"/>
          <w:color w:val="auto"/>
        </w:rPr>
        <w:t>2,933,276</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2,933,276</w:t>
      </w:r>
    </w:p>
    <w:p>
      <w:pPr>
        <w:ind w:left="3900"/>
        <w:spacing w:after="0" w:line="238" w:lineRule="auto"/>
        <w:rPr>
          <w:sz w:val="20"/>
          <w:szCs w:val="20"/>
          <w:color w:val="auto"/>
        </w:rPr>
      </w:pPr>
      <w:r>
        <w:rPr>
          <w:rFonts w:ascii="Courier New" w:cs="Courier New" w:eastAsia="Courier New" w:hAnsi="Courier New"/>
          <w:sz w:val="18"/>
          <w:szCs w:val="18"/>
          <w:color w:val="auto"/>
        </w:rPr>
        <w:t>.25</w:t>
      </w:r>
    </w:p>
    <w:p>
      <w:pPr>
        <w:ind w:left="410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1"/>
      <w:numFmt w:val="lowerLetter"/>
      <w:start w:val="1"/>
    </w:lvl>
    <w:lvl w:ilvl="1">
      <w:lvlJc w:val="left"/>
      <w:lvlText w:val="%2"/>
      <w:numFmt w:val="decimal"/>
      <w:start w:val="27"/>
    </w:lvl>
  </w:abstractNum>
  <w:abstractNum w:abstractNumId="9">
    <w:nsid w:val="216231B"/>
    <w:multiLevelType w:val="hybridMultilevel"/>
    <w:lvl w:ilvl="0">
      <w:lvlJc w:val="left"/>
      <w:lvlText w:val="(%1)"/>
      <w:numFmt w:val="lowerLetter"/>
      <w:start w:val="2"/>
    </w:lvl>
    <w:lvl w:ilvl="1">
      <w:lvlJc w:val="left"/>
      <w:lvlText w:val="%2"/>
      <w:numFmt w:val="decimal"/>
      <w:start w:val="1"/>
    </w:lvl>
  </w:abstractNum>
  <w:abstractNum w:abstractNumId="10">
    <w:nsid w:val="1F16E9E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2019-12-13T01:50:56Z</dcterms:created>
  <dcterms:modified xsi:type="dcterms:W3CDTF">2019-12-13T01:50:56Z</dcterms:modified>
</cp:coreProperties>
</file>