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29"/>
                <w:szCs w:val="29"/>
                <w:b w:val="1"/>
                <w:bCs w:val="1"/>
                <w:color w:val="auto"/>
                <w:w w:val="97"/>
              </w:rPr>
              <w:t>UNITED STATES</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w w:val="99"/>
              </w:rPr>
              <w:t>WASHINGTON, D.C. 20549</w:t>
            </w: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Borders>
              <w:bottom w:val="single" w:sz="8" w:color="auto"/>
            </w:tcBorders>
          </w:tcPr>
          <w:p>
            <w:pPr>
              <w:jc w:val="center"/>
              <w:ind w:left="554"/>
              <w:spacing w:after="0" w:line="331" w:lineRule="exact"/>
              <w:rPr>
                <w:sz w:val="20"/>
                <w:szCs w:val="20"/>
                <w:color w:val="auto"/>
              </w:rPr>
            </w:pPr>
            <w:r>
              <w:rPr>
                <w:rFonts w:ascii="Arial" w:cs="Arial" w:eastAsia="Arial" w:hAnsi="Arial"/>
                <w:sz w:val="29"/>
                <w:szCs w:val="29"/>
                <w:b w:val="1"/>
                <w:bCs w:val="1"/>
                <w:color w:val="auto"/>
                <w:w w:val="98"/>
              </w:rPr>
              <w:t>FORM 10-Q</w:t>
            </w:r>
          </w:p>
        </w:tc>
        <w:tc>
          <w:tcPr>
            <w:tcW w:w="68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57"/>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68"/>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w w:val="99"/>
              </w:rPr>
              <w:t>For the quarterly period ended January 1, 2023</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69"/>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19"/>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18"/>
                <w:szCs w:val="18"/>
                <w:b w:val="1"/>
                <w:bCs w:val="1"/>
                <w:color w:val="auto"/>
              </w:rPr>
              <w:t>Commission file number 0-7647</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80" w:type="dxa"/>
            <w:vAlign w:val="bottom"/>
          </w:tcPr>
          <w:p>
            <w:pPr>
              <w:jc w:val="center"/>
              <w:ind w:left="554"/>
              <w:spacing w:after="0"/>
              <w:rPr>
                <w:sz w:val="20"/>
                <w:szCs w:val="20"/>
                <w:color w:val="auto"/>
              </w:rPr>
            </w:pPr>
            <w:r>
              <w:rPr>
                <w:rFonts w:ascii="Arial" w:cs="Arial" w:eastAsia="Arial" w:hAnsi="Arial"/>
                <w:sz w:val="32"/>
                <w:szCs w:val="32"/>
                <w:b w:val="1"/>
                <w:bCs w:val="1"/>
                <w:color w:val="auto"/>
              </w:rPr>
              <w:t>HAWKINS, INC.</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6"/>
        </w:trPr>
        <w:tc>
          <w:tcPr>
            <w:tcW w:w="1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jc w:val="center"/>
              <w:ind w:left="53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6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350"/>
        </w:trPr>
        <w:tc>
          <w:tcPr>
            <w:tcW w:w="11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jc w:val="center"/>
              <w:ind w:right="3154"/>
              <w:spacing w:after="0"/>
              <w:rPr>
                <w:sz w:val="20"/>
                <w:szCs w:val="20"/>
                <w:color w:val="auto"/>
              </w:rPr>
            </w:pPr>
            <w:r>
              <w:rPr>
                <w:rFonts w:ascii="Arial" w:cs="Arial" w:eastAsia="Arial" w:hAnsi="Arial"/>
                <w:sz w:val="18"/>
                <w:szCs w:val="18"/>
                <w:b w:val="1"/>
                <w:bCs w:val="1"/>
                <w:color w:val="auto"/>
              </w:rPr>
              <w:t>Minnesota</w:t>
            </w:r>
          </w:p>
        </w:tc>
        <w:tc>
          <w:tcPr>
            <w:tcW w:w="3540" w:type="dxa"/>
            <w:vAlign w:val="bottom"/>
            <w:tcBorders>
              <w:bottom w:val="single" w:sz="8" w:color="auto"/>
            </w:tcBorders>
            <w:gridSpan w:val="2"/>
          </w:tcPr>
          <w:p>
            <w:pPr>
              <w:jc w:val="center"/>
              <w:ind w:right="178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1140" w:type="dxa"/>
            <w:vAlign w:val="bottom"/>
          </w:tcPr>
          <w:p>
            <w:pPr>
              <w:spacing w:after="0"/>
              <w:rPr>
                <w:sz w:val="12"/>
                <w:szCs w:val="12"/>
                <w:color w:val="auto"/>
              </w:rPr>
            </w:pPr>
          </w:p>
        </w:tc>
        <w:tc>
          <w:tcPr>
            <w:tcW w:w="6520" w:type="dxa"/>
            <w:vAlign w:val="bottom"/>
            <w:gridSpan w:val="2"/>
          </w:tcPr>
          <w:p>
            <w:pPr>
              <w:jc w:val="center"/>
              <w:ind w:right="315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540" w:type="dxa"/>
            <w:vAlign w:val="bottom"/>
            <w:gridSpan w:val="2"/>
          </w:tcPr>
          <w:p>
            <w:pPr>
              <w:jc w:val="center"/>
              <w:ind w:right="178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1140" w:type="dxa"/>
            <w:vAlign w:val="bottom"/>
          </w:tcPr>
          <w:p>
            <w:pPr>
              <w:spacing w:after="0"/>
              <w:rPr>
                <w:sz w:val="16"/>
                <w:szCs w:val="16"/>
                <w:color w:val="auto"/>
              </w:rPr>
            </w:pPr>
          </w:p>
        </w:tc>
        <w:tc>
          <w:tcPr>
            <w:tcW w:w="6520" w:type="dxa"/>
            <w:vAlign w:val="bottom"/>
            <w:gridSpan w:val="2"/>
          </w:tcPr>
          <w:p>
            <w:pPr>
              <w:jc w:val="center"/>
              <w:ind w:right="3154"/>
              <w:spacing w:after="0"/>
              <w:rPr>
                <w:sz w:val="20"/>
                <w:szCs w:val="20"/>
                <w:color w:val="auto"/>
              </w:rPr>
            </w:pPr>
            <w:r>
              <w:rPr>
                <w:rFonts w:ascii="Arial" w:cs="Arial" w:eastAsia="Arial" w:hAnsi="Arial"/>
                <w:sz w:val="14"/>
                <w:szCs w:val="14"/>
                <w:b w:val="1"/>
                <w:bCs w:val="1"/>
                <w:color w:val="auto"/>
              </w:rPr>
              <w:t>incorporation or organization)</w:t>
            </w:r>
          </w:p>
        </w:tc>
        <w:tc>
          <w:tcPr>
            <w:tcW w:w="354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rPr>
              <w:t>Identification No.)</w:t>
            </w:r>
          </w:p>
        </w:tc>
      </w:tr>
      <w:tr>
        <w:trPr>
          <w:trHeight w:val="390"/>
        </w:trPr>
        <w:tc>
          <w:tcPr>
            <w:tcW w:w="1140" w:type="dxa"/>
            <w:vAlign w:val="bottom"/>
          </w:tcPr>
          <w:p>
            <w:pPr>
              <w:spacing w:after="0"/>
              <w:rPr>
                <w:sz w:val="24"/>
                <w:szCs w:val="24"/>
                <w:color w:val="auto"/>
              </w:rPr>
            </w:pPr>
          </w:p>
        </w:tc>
        <w:tc>
          <w:tcPr>
            <w:tcW w:w="6520" w:type="dxa"/>
            <w:vAlign w:val="bottom"/>
            <w:gridSpan w:val="2"/>
          </w:tcPr>
          <w:p>
            <w:pPr>
              <w:jc w:val="center"/>
              <w:ind w:right="1874"/>
              <w:spacing w:after="0"/>
              <w:rPr>
                <w:sz w:val="20"/>
                <w:szCs w:val="20"/>
                <w:color w:val="auto"/>
              </w:rPr>
            </w:pPr>
            <w:r>
              <w:rPr>
                <w:rFonts w:ascii="Arial" w:cs="Arial" w:eastAsia="Arial" w:hAnsi="Arial"/>
                <w:sz w:val="18"/>
                <w:szCs w:val="18"/>
                <w:b w:val="1"/>
                <w:bCs w:val="1"/>
                <w:color w:val="auto"/>
                <w:w w:val="99"/>
              </w:rPr>
              <w:t>2381 Rosegate, Roseville, Minnesota</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6520" w:type="dxa"/>
            <w:vAlign w:val="bottom"/>
            <w:gridSpan w:val="2"/>
          </w:tcPr>
          <w:p>
            <w:pPr>
              <w:jc w:val="center"/>
              <w:ind w:right="1854"/>
              <w:spacing w:after="0"/>
              <w:rPr>
                <w:sz w:val="20"/>
                <w:szCs w:val="20"/>
                <w:color w:val="auto"/>
              </w:rPr>
            </w:pPr>
            <w:r>
              <w:rPr>
                <w:rFonts w:ascii="Arial" w:cs="Arial" w:eastAsia="Arial" w:hAnsi="Arial"/>
                <w:sz w:val="14"/>
                <w:szCs w:val="14"/>
                <w:b w:val="1"/>
                <w:bCs w:val="1"/>
                <w:color w:val="auto"/>
              </w:rPr>
              <w:t>(Address of principal executive offices)</w:t>
            </w:r>
          </w:p>
        </w:tc>
        <w:tc>
          <w:tcPr>
            <w:tcW w:w="354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rPr>
              <w:t>(Zip code)</w:t>
            </w:r>
          </w:p>
        </w:tc>
      </w:tr>
      <w:tr>
        <w:trPr>
          <w:trHeight w:val="431"/>
        </w:trPr>
        <w:tc>
          <w:tcPr>
            <w:tcW w:w="1140" w:type="dxa"/>
            <w:vAlign w:val="bottom"/>
          </w:tcPr>
          <w:p>
            <w:pPr>
              <w:spacing w:after="0"/>
              <w:rPr>
                <w:sz w:val="24"/>
                <w:szCs w:val="24"/>
                <w:color w:val="auto"/>
              </w:rPr>
            </w:pPr>
          </w:p>
        </w:tc>
        <w:tc>
          <w:tcPr>
            <w:tcW w:w="6520" w:type="dxa"/>
            <w:vAlign w:val="bottom"/>
            <w:gridSpan w:val="2"/>
          </w:tcPr>
          <w:p>
            <w:pPr>
              <w:jc w:val="center"/>
              <w:ind w:left="2308"/>
              <w:spacing w:after="0"/>
              <w:rPr>
                <w:sz w:val="20"/>
                <w:szCs w:val="20"/>
                <w:color w:val="auto"/>
              </w:rPr>
            </w:pPr>
            <w:r>
              <w:rPr>
                <w:rFonts w:ascii="Arial" w:cs="Arial" w:eastAsia="Arial" w:hAnsi="Arial"/>
                <w:sz w:val="18"/>
                <w:szCs w:val="18"/>
                <w:b w:val="1"/>
                <w:bCs w:val="1"/>
                <w:color w:val="auto"/>
              </w:rPr>
              <w:t>(612) 331-6910</w:t>
            </w: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78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68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bl>
    <w:p>
      <w:pPr>
        <w:spacing w:after="0" w:line="3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248" w:lineRule="exact"/>
        <w:rPr>
          <w:sz w:val="24"/>
          <w:szCs w:val="24"/>
          <w:color w:val="auto"/>
        </w:rPr>
      </w:pPr>
    </w:p>
    <w:p>
      <w:pPr>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2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5"/>
                <w:szCs w:val="15"/>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Shares Outstanding at January 27, 2023</w:t>
            </w:r>
          </w:p>
        </w:tc>
        <w:tc>
          <w:tcPr>
            <w:tcW w:w="126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Common Stock, par value $.01 per share</w:t>
            </w:r>
          </w:p>
        </w:tc>
        <w:tc>
          <w:tcPr>
            <w:tcW w:w="4820" w:type="dxa"/>
            <w:vAlign w:val="bottom"/>
          </w:tcPr>
          <w:p>
            <w:pPr>
              <w:jc w:val="right"/>
              <w:ind w:right="1879"/>
              <w:spacing w:after="0"/>
              <w:rPr>
                <w:sz w:val="20"/>
                <w:szCs w:val="20"/>
                <w:color w:val="auto"/>
              </w:rPr>
            </w:pPr>
            <w:r>
              <w:rPr>
                <w:rFonts w:ascii="Arial" w:cs="Arial" w:eastAsia="Arial" w:hAnsi="Arial"/>
                <w:sz w:val="18"/>
                <w:szCs w:val="18"/>
                <w:color w:val="auto"/>
              </w:rPr>
              <w:t>21,052,277</w:t>
            </w:r>
          </w:p>
        </w:tc>
        <w:tc>
          <w:tcPr>
            <w:tcW w:w="1260" w:type="dxa"/>
            <w:vAlign w:val="bottom"/>
          </w:tcPr>
          <w:p>
            <w:pPr>
              <w:spacing w:after="0"/>
              <w:rPr>
                <w:sz w:val="19"/>
                <w:szCs w:val="19"/>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55"/>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24"/>
          </w:tcPr>
          <w:p>
            <w:pPr>
              <w:spacing w:after="0"/>
              <w:rPr>
                <w:sz w:val="20"/>
                <w:szCs w:val="20"/>
                <w:color w:val="auto"/>
              </w:rPr>
            </w:pPr>
            <w:r>
              <w:rPr>
                <w:rFonts w:ascii="Arial" w:cs="Arial" w:eastAsia="Arial" w:hAnsi="Arial"/>
                <w:sz w:val="18"/>
                <w:szCs w:val="18"/>
                <w:b w:val="1"/>
                <w:bCs w:val="1"/>
                <w:color w:val="0000FF"/>
              </w:rPr>
              <w:t>FINANCIAL INFORMATION</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Statements (unaudited):</w:t>
            </w:r>
          </w:p>
        </w:tc>
        <w:tc>
          <w:tcPr>
            <w:tcW w:w="548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120" w:type="dxa"/>
            <w:vAlign w:val="bottom"/>
          </w:tcPr>
          <w:p>
            <w:pPr>
              <w:spacing w:after="0"/>
              <w:rPr>
                <w:sz w:val="22"/>
                <w:szCs w:val="22"/>
                <w:color w:val="auto"/>
              </w:rPr>
            </w:pPr>
          </w:p>
        </w:tc>
        <w:tc>
          <w:tcPr>
            <w:tcW w:w="6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Balance Sheets –January 1, 2023 and April 3,2022</w:t>
            </w:r>
          </w:p>
        </w:tc>
        <w:tc>
          <w:tcPr>
            <w:tcW w:w="2040" w:type="dxa"/>
            <w:vAlign w:val="bottom"/>
            <w:gridSpan w:val="7"/>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84"/>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Income – Three and Nine Months Ended January 1,</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135"/>
        </w:trPr>
        <w:tc>
          <w:tcPr>
            <w:tcW w:w="1120" w:type="dxa"/>
            <w:vAlign w:val="bottom"/>
          </w:tcPr>
          <w:p>
            <w:pPr>
              <w:spacing w:after="0"/>
              <w:rPr>
                <w:sz w:val="11"/>
                <w:szCs w:val="11"/>
                <w:color w:val="auto"/>
              </w:rPr>
            </w:pPr>
          </w:p>
        </w:tc>
        <w:tc>
          <w:tcPr>
            <w:tcW w:w="7160" w:type="dxa"/>
            <w:vAlign w:val="bottom"/>
            <w:tcBorders>
              <w:top w:val="single" w:sz="8" w:color="0000FF"/>
            </w:tcBorders>
            <w:gridSpan w:val="19"/>
          </w:tcPr>
          <w:p>
            <w:pPr>
              <w:spacing w:after="0" w:line="136" w:lineRule="exact"/>
              <w:rPr>
                <w:sz w:val="20"/>
                <w:szCs w:val="20"/>
                <w:color w:val="auto"/>
              </w:rPr>
            </w:pPr>
            <w:r>
              <w:rPr>
                <w:rFonts w:ascii="Arial" w:cs="Arial" w:eastAsia="Arial" w:hAnsi="Arial"/>
                <w:sz w:val="15"/>
                <w:szCs w:val="15"/>
                <w:color w:val="0000FF"/>
              </w:rPr>
              <w:t>2023 and December 26, 2021</w:t>
            </w: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Comprehensive Income – Three and Nine Months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155"/>
        </w:trPr>
        <w:tc>
          <w:tcPr>
            <w:tcW w:w="1120" w:type="dxa"/>
            <w:vAlign w:val="bottom"/>
          </w:tcPr>
          <w:p>
            <w:pPr>
              <w:spacing w:after="0"/>
              <w:rPr>
                <w:sz w:val="13"/>
                <w:szCs w:val="13"/>
                <w:color w:val="auto"/>
              </w:rPr>
            </w:pPr>
          </w:p>
        </w:tc>
        <w:tc>
          <w:tcPr>
            <w:tcW w:w="722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Ended January 1, 2023 and December 26, 2021</w:t>
            </w:r>
          </w:p>
        </w:tc>
        <w:tc>
          <w:tcPr>
            <w:tcW w:w="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Shareholder’s Equity – Three and Nine Months Ended</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155"/>
        </w:trPr>
        <w:tc>
          <w:tcPr>
            <w:tcW w:w="11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January 1, 2023 and December 26, 2021</w:t>
            </w:r>
          </w:p>
        </w:tc>
        <w:tc>
          <w:tcPr>
            <w:tcW w:w="4280" w:type="dxa"/>
            <w:vAlign w:val="bottom"/>
            <w:tcBorders>
              <w:top w:val="single" w:sz="8" w:color="0000FF"/>
            </w:tcBorders>
            <w:gridSpan w:val="11"/>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180" w:type="dxa"/>
            <w:vAlign w:val="bottom"/>
            <w:gridSpan w:val="24"/>
          </w:tcPr>
          <w:p>
            <w:pPr>
              <w:spacing w:after="0"/>
              <w:rPr>
                <w:sz w:val="20"/>
                <w:szCs w:val="20"/>
                <w:color w:val="auto"/>
              </w:rPr>
            </w:pPr>
            <w:r>
              <w:rPr>
                <w:rFonts w:ascii="Arial" w:cs="Arial" w:eastAsia="Arial" w:hAnsi="Arial"/>
                <w:sz w:val="18"/>
                <w:szCs w:val="18"/>
                <w:color w:val="0000FF"/>
              </w:rPr>
              <w:t>Condensed Consolidated Statements of Cash Flows – Nine Months Ended January 1, 2023</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155"/>
        </w:trPr>
        <w:tc>
          <w:tcPr>
            <w:tcW w:w="11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and December 26, 2021</w:t>
            </w:r>
          </w:p>
        </w:tc>
        <w:tc>
          <w:tcPr>
            <w:tcW w:w="5340" w:type="dxa"/>
            <w:vAlign w:val="bottom"/>
            <w:tcBorders>
              <w:top w:val="single" w:sz="8" w:color="0000FF"/>
            </w:tcBorders>
            <w:gridSpan w:val="15"/>
          </w:tcPr>
          <w:p>
            <w:pPr>
              <w:spacing w:after="0"/>
              <w:rPr>
                <w:sz w:val="13"/>
                <w:szCs w:val="13"/>
                <w:color w:val="auto"/>
              </w:rPr>
            </w:pPr>
          </w:p>
        </w:tc>
        <w:tc>
          <w:tcPr>
            <w:tcW w:w="8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700" w:type="dxa"/>
            <w:vAlign w:val="bottom"/>
            <w:gridSpan w:val="10"/>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13</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tcBorders>
              <w:top w:val="single" w:sz="8" w:color="0000FF"/>
            </w:tcBorders>
            <w:gridSpan w:val="3"/>
          </w:tcPr>
          <w:p>
            <w:pPr>
              <w:spacing w:after="0"/>
              <w:rPr>
                <w:sz w:val="22"/>
                <w:szCs w:val="22"/>
                <w:color w:val="auto"/>
              </w:rPr>
            </w:pPr>
          </w:p>
        </w:tc>
        <w:tc>
          <w:tcPr>
            <w:tcW w:w="1100" w:type="dxa"/>
            <w:vAlign w:val="bottom"/>
            <w:gridSpan w:val="6"/>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Controls and Procedures</w:t>
            </w:r>
          </w:p>
        </w:tc>
        <w:tc>
          <w:tcPr>
            <w:tcW w:w="618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9"/>
              </w:rPr>
              <w:t>OTHER INFORMATION</w:t>
            </w:r>
          </w:p>
        </w:tc>
        <w:tc>
          <w:tcPr>
            <w:tcW w:w="6220" w:type="dxa"/>
            <w:vAlign w:val="bottom"/>
            <w:gridSpan w:val="18"/>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Legal Proceedings</w:t>
            </w:r>
          </w:p>
        </w:tc>
        <w:tc>
          <w:tcPr>
            <w:tcW w:w="6680" w:type="dxa"/>
            <w:vAlign w:val="bottom"/>
            <w:gridSpan w:val="20"/>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15</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320" w:type="dxa"/>
            <w:vAlign w:val="bottom"/>
            <w:gridSpan w:val="8"/>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5620" w:type="dxa"/>
            <w:vAlign w:val="bottom"/>
            <w:gridSpan w:val="14"/>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Mine Safety Disclosures</w:t>
            </w:r>
          </w:p>
        </w:tc>
        <w:tc>
          <w:tcPr>
            <w:tcW w:w="6240" w:type="dxa"/>
            <w:vAlign w:val="bottom"/>
            <w:gridSpan w:val="19"/>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15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22"/>
                <w:szCs w:val="22"/>
                <w:color w:val="auto"/>
              </w:rPr>
            </w:pPr>
          </w:p>
        </w:tc>
        <w:tc>
          <w:tcPr>
            <w:tcW w:w="6780" w:type="dxa"/>
            <w:vAlign w:val="bottom"/>
            <w:gridSpan w:val="21"/>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6" w:right="1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w:t>
            </w:r>
          </w:p>
        </w:tc>
        <w:tc>
          <w:tcPr>
            <w:tcW w:w="28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April 3,</w:t>
            </w:r>
          </w:p>
        </w:tc>
      </w:tr>
      <w:tr>
        <w:trPr>
          <w:trHeight w:val="215"/>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125,471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122,826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333,781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304,055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178,375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161,846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Right-of-use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10,606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74,946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80,193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plan asset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r>
      <w:tr>
        <w:trPr>
          <w:trHeight w:val="209"/>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r>
      <w:tr>
        <w:trPr>
          <w:trHeight w:val="210"/>
        </w:trPr>
        <w:tc>
          <w:tcPr>
            <w:tcW w:w="822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594,004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19,034</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lease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115,644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PENSION WITHDRAWAL LIABILITY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4,276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COMPENSATION LIABILITY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8,402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r>
      <w:tr>
        <w:trPr>
          <w:trHeight w:val="207"/>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252,844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264,727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authorized: 60,000,000 shares of $0.01 par value; 20,850,454 and 20,889,777 shares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January 1, 2023 and April 3, 2022, respectively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46,717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254,384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r>
      <w:tr>
        <w:trPr>
          <w:trHeight w:val="210"/>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302,601</w:t>
            </w:r>
          </w:p>
        </w:tc>
      </w:tr>
      <w:tr>
        <w:trPr>
          <w:trHeight w:val="210"/>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594,004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567,328</w:t>
            </w:r>
          </w:p>
        </w:tc>
      </w:tr>
      <w:tr>
        <w:trPr>
          <w:trHeight w:val="23"/>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r>
      <w:tr>
        <w:trPr>
          <w:trHeight w:val="145"/>
        </w:trPr>
        <w:tc>
          <w:tcPr>
            <w:tcW w:w="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December 26,</w:t>
            </w:r>
          </w:p>
        </w:tc>
        <w:tc>
          <w:tcPr>
            <w:tcW w:w="220" w:type="dxa"/>
            <w:vAlign w:val="bottom"/>
          </w:tcPr>
          <w:p>
            <w:pPr>
              <w:spacing w:after="0"/>
              <w:rPr>
                <w:sz w:val="12"/>
                <w:szCs w:val="12"/>
                <w:color w:val="auto"/>
              </w:rPr>
            </w:pPr>
          </w:p>
        </w:tc>
        <w:tc>
          <w:tcPr>
            <w:tcW w:w="12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180" w:type="dxa"/>
            <w:vAlign w:val="bottom"/>
          </w:tcPr>
          <w:p>
            <w:pPr>
              <w:jc w:val="right"/>
              <w:ind w:right="112"/>
              <w:spacing w:after="0" w:line="145" w:lineRule="exact"/>
              <w:rPr>
                <w:sz w:val="20"/>
                <w:szCs w:val="20"/>
                <w:color w:val="auto"/>
              </w:rPr>
            </w:pPr>
            <w:r>
              <w:rPr>
                <w:rFonts w:ascii="Arial" w:cs="Arial" w:eastAsia="Arial" w:hAnsi="Arial"/>
                <w:sz w:val="14"/>
                <w:szCs w:val="14"/>
                <w:b w:val="1"/>
                <w:bCs w:val="1"/>
                <w:color w:val="auto"/>
              </w:rPr>
              <w:t>December 26,</w:t>
            </w:r>
          </w:p>
        </w:tc>
      </w:tr>
      <w:tr>
        <w:trPr>
          <w:trHeight w:val="189"/>
        </w:trPr>
        <w:tc>
          <w:tcPr>
            <w:tcW w:w="40" w:type="dxa"/>
            <w:vAlign w:val="bottom"/>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551,568</w:t>
            </w:r>
          </w:p>
        </w:tc>
      </w:tr>
      <w:tr>
        <w:trPr>
          <w:trHeight w:val="229"/>
        </w:trPr>
        <w:tc>
          <w:tcPr>
            <w:tcW w:w="40" w:type="dxa"/>
            <w:vAlign w:val="bottom"/>
          </w:tcPr>
          <w:p>
            <w:pPr>
              <w:spacing w:after="0"/>
              <w:rPr>
                <w:sz w:val="19"/>
                <w:szCs w:val="19"/>
                <w:color w:val="auto"/>
              </w:rPr>
            </w:pPr>
          </w:p>
        </w:tc>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(441,367)</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110,201</w:t>
            </w:r>
          </w:p>
        </w:tc>
      </w:tr>
      <w:tr>
        <w:trPr>
          <w:trHeight w:val="229"/>
        </w:trPr>
        <w:tc>
          <w:tcPr>
            <w:tcW w:w="40" w:type="dxa"/>
            <w:vAlign w:val="bottom"/>
          </w:tcPr>
          <w:p>
            <w:pPr>
              <w:spacing w:after="0"/>
              <w:rPr>
                <w:sz w:val="19"/>
                <w:szCs w:val="19"/>
                <w:color w:val="auto"/>
              </w:rPr>
            </w:pPr>
          </w:p>
        </w:tc>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(54,216)</w:t>
            </w:r>
          </w:p>
        </w:tc>
      </w:tr>
      <w:tr>
        <w:trPr>
          <w:trHeight w:val="223"/>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55,985</w:t>
            </w:r>
          </w:p>
        </w:tc>
      </w:tr>
      <w:tr>
        <w:trPr>
          <w:trHeight w:val="229"/>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55,538</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(14,573)</w:t>
            </w:r>
          </w:p>
        </w:tc>
      </w:tr>
      <w:tr>
        <w:trPr>
          <w:trHeight w:val="223"/>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40,965</w:t>
            </w:r>
          </w:p>
        </w:tc>
      </w:tr>
      <w:tr>
        <w:trPr>
          <w:trHeight w:val="20"/>
        </w:trPr>
        <w:tc>
          <w:tcPr>
            <w:tcW w:w="40" w:type="dxa"/>
            <w:vAlign w:val="bottom"/>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20,818,347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20,885,232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20,847,285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20,968,692</w:t>
            </w: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21,054,603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21,004,849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21,142,515</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40" w:type="dxa"/>
            <w:vAlign w:val="bottom"/>
          </w:tcPr>
          <w:p>
            <w:pPr>
              <w:spacing w:after="0"/>
              <w:rPr>
                <w:sz w:val="23"/>
                <w:szCs w:val="23"/>
                <w:color w:val="auto"/>
              </w:rPr>
            </w:pPr>
          </w:p>
        </w:tc>
        <w:tc>
          <w:tcPr>
            <w:tcW w:w="5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0.3825</w:t>
            </w:r>
          </w:p>
        </w:tc>
      </w:tr>
    </w:tbl>
    <w:p>
      <w:pPr>
        <w:spacing w:after="0" w:line="25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86" w:right="7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26,</w:t>
            </w:r>
          </w:p>
        </w:tc>
        <w:tc>
          <w:tcPr>
            <w:tcW w:w="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2"/>
                <w:szCs w:val="12"/>
                <w:color w:val="auto"/>
              </w:rPr>
            </w:pPr>
          </w:p>
        </w:tc>
        <w:tc>
          <w:tcPr>
            <w:tcW w:w="116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December 26,</w:t>
            </w:r>
          </w:p>
        </w:tc>
      </w:tr>
      <w:tr>
        <w:trPr>
          <w:trHeight w:val="189"/>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40,965</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gain on interest rate swap</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40,965</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4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9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22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16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April 3,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20,889,777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302,601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($0.14 per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6"/>
                <w:szCs w:val="16"/>
                <w:color w:val="auto"/>
              </w:rPr>
              <w:t>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102,860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080" w:type="dxa"/>
            <w:vAlign w:val="bottom"/>
          </w:tcPr>
          <w:p>
            <w:pPr>
              <w:jc w:val="right"/>
              <w:spacing w:after="0"/>
              <w:rPr>
                <w:sz w:val="20"/>
                <w:szCs w:val="20"/>
                <w:color w:val="auto"/>
              </w:rPr>
            </w:pPr>
            <w:r>
              <w:rPr>
                <w:rFonts w:ascii="Arial" w:cs="Arial" w:eastAsia="Arial" w:hAnsi="Arial"/>
                <w:sz w:val="16"/>
                <w:szCs w:val="16"/>
                <w:color w:val="auto"/>
              </w:rPr>
              <w:t>32,768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19,695</w:t>
            </w: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BALANCE — July 3, 2022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20,807,338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271,121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313,277</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Cash dividends declared and paid ($0.14 per</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net of tax</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34"/>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October 2,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20,817,625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331,414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($0.14 per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6"/>
                <w:szCs w:val="16"/>
                <w:color w:val="auto"/>
              </w:rPr>
              <w:t>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080" w:type="dxa"/>
            <w:vAlign w:val="bottom"/>
          </w:tcPr>
          <w:p>
            <w:pPr>
              <w:jc w:val="right"/>
              <w:spacing w:after="0"/>
              <w:rPr>
                <w:sz w:val="20"/>
                <w:szCs w:val="20"/>
                <w:color w:val="auto"/>
              </w:rPr>
            </w:pPr>
            <w:r>
              <w:rPr>
                <w:rFonts w:ascii="Arial" w:cs="Arial" w:eastAsia="Arial" w:hAnsi="Arial"/>
                <w:sz w:val="16"/>
                <w:szCs w:val="16"/>
                <w:color w:val="auto"/>
              </w:rPr>
              <w:t>32,829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10,733</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January 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20,850,454</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341,160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60" w:type="dxa"/>
            <w:vAlign w:val="bottom"/>
          </w:tcPr>
          <w:p>
            <w:pPr>
              <w:spacing w:after="0"/>
              <w:rPr>
                <w:sz w:val="10"/>
                <w:szCs w:val="10"/>
                <w:color w:val="auto"/>
              </w:rPr>
            </w:pPr>
          </w:p>
        </w:tc>
        <w:tc>
          <w:tcPr>
            <w:tcW w:w="224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0"/>
                <w:szCs w:val="10"/>
                <w:color w:val="auto"/>
              </w:rPr>
            </w:pPr>
          </w:p>
        </w:tc>
        <w:tc>
          <w:tcPr>
            <w:tcW w:w="9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Comprehensive</w:t>
            </w:r>
          </w:p>
        </w:tc>
        <w:tc>
          <w:tcPr>
            <w:tcW w:w="11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March 28,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265,246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($0.1225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6"/>
                <w:szCs w:val="16"/>
                <w:color w:val="auto"/>
              </w:rPr>
              <w:t>per 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123,002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jc w:val="right"/>
              <w:spacing w:after="0"/>
              <w:rPr>
                <w:sz w:val="20"/>
                <w:szCs w:val="20"/>
                <w:color w:val="auto"/>
              </w:rPr>
            </w:pPr>
            <w:r>
              <w:rPr>
                <w:rFonts w:ascii="Arial" w:cs="Arial" w:eastAsia="Arial" w:hAnsi="Arial"/>
                <w:sz w:val="16"/>
                <w:szCs w:val="16"/>
                <w:color w:val="auto"/>
              </w:rPr>
              <w:t>(100,954)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Arial" w:cs="Arial" w:eastAsia="Arial" w:hAnsi="Arial"/>
                <w:sz w:val="16"/>
                <w:szCs w:val="16"/>
                <w:color w:val="auto"/>
              </w:rPr>
              <w:t>BALANCE — June 27, 2021</w:t>
            </w:r>
          </w:p>
        </w:tc>
        <w:tc>
          <w:tcPr>
            <w:tcW w:w="1080" w:type="dxa"/>
            <w:vAlign w:val="bottom"/>
          </w:tcPr>
          <w:p>
            <w:pPr>
              <w:jc w:val="right"/>
              <w:spacing w:after="0"/>
              <w:rPr>
                <w:sz w:val="20"/>
                <w:szCs w:val="20"/>
                <w:color w:val="auto"/>
              </w:rPr>
            </w:pPr>
            <w:r>
              <w:rPr>
                <w:rFonts w:ascii="Arial" w:cs="Arial" w:eastAsia="Arial" w:hAnsi="Arial"/>
                <w:sz w:val="16"/>
                <w:szCs w:val="16"/>
                <w:color w:val="auto"/>
              </w:rPr>
              <w:t>20,946,404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47,069</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227,926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275,205</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Cash dividends declared and paid ($0.13 per</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080" w:type="dxa"/>
            <w:vAlign w:val="bottom"/>
          </w:tcPr>
          <w:p>
            <w:pPr>
              <w:jc w:val="right"/>
              <w:spacing w:after="0"/>
              <w:rPr>
                <w:sz w:val="20"/>
                <w:szCs w:val="20"/>
                <w:color w:val="auto"/>
              </w:rPr>
            </w:pPr>
            <w:r>
              <w:rPr>
                <w:rFonts w:ascii="Arial" w:cs="Arial" w:eastAsia="Arial" w:hAnsi="Arial"/>
                <w:sz w:val="16"/>
                <w:szCs w:val="16"/>
                <w:color w:val="auto"/>
              </w:rPr>
              <w:t>40,300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26,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20,888,923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284,313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360"/>
              <w:spacing w:after="0" w:line="168" w:lineRule="exact"/>
              <w:rPr>
                <w:sz w:val="20"/>
                <w:szCs w:val="20"/>
                <w:color w:val="auto"/>
              </w:rPr>
            </w:pPr>
            <w:r>
              <w:rPr>
                <w:rFonts w:ascii="Arial" w:cs="Arial" w:eastAsia="Arial" w:hAnsi="Arial"/>
                <w:sz w:val="16"/>
                <w:szCs w:val="16"/>
                <w:color w:val="auto"/>
              </w:rPr>
              <w:t>Cash dividends declared and paid ($0.13 per</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rPr>
                <w:sz w:val="20"/>
                <w:szCs w:val="20"/>
                <w:color w:val="auto"/>
              </w:rPr>
            </w:pPr>
            <w:r>
              <w:rPr>
                <w:rFonts w:ascii="Arial" w:cs="Arial" w:eastAsia="Arial" w:hAnsi="Arial"/>
                <w:sz w:val="16"/>
                <w:szCs w:val="16"/>
                <w:color w:val="auto"/>
              </w:rPr>
              <w:t>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3"/>
        </w:trPr>
        <w:tc>
          <w:tcPr>
            <w:tcW w:w="386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jc w:val="right"/>
              <w:spacing w:after="0"/>
              <w:rPr>
                <w:sz w:val="20"/>
                <w:szCs w:val="20"/>
                <w:color w:val="auto"/>
              </w:rPr>
            </w:pPr>
            <w:r>
              <w:rPr>
                <w:rFonts w:ascii="Arial" w:cs="Arial" w:eastAsia="Arial" w:hAnsi="Arial"/>
                <w:sz w:val="16"/>
                <w:szCs w:val="16"/>
                <w:color w:val="auto"/>
              </w:rPr>
              <w:t>(30,538)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BALANCE — December 26, 2021</w:t>
            </w:r>
          </w:p>
        </w:tc>
        <w:tc>
          <w:tcPr>
            <w:tcW w:w="1080" w:type="dxa"/>
            <w:vAlign w:val="bottom"/>
          </w:tcPr>
          <w:p>
            <w:pPr>
              <w:jc w:val="right"/>
              <w:spacing w:after="0"/>
              <w:rPr>
                <w:sz w:val="20"/>
                <w:szCs w:val="20"/>
                <w:color w:val="auto"/>
              </w:rPr>
            </w:pPr>
            <w:r>
              <w:rPr>
                <w:rFonts w:ascii="Arial" w:cs="Arial" w:eastAsia="Arial" w:hAnsi="Arial"/>
                <w:sz w:val="16"/>
                <w:szCs w:val="16"/>
                <w:color w:val="auto"/>
              </w:rPr>
              <w:t>20,858,385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44,723</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246,762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291,694</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643"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January 1,</w:t>
            </w:r>
          </w:p>
        </w:tc>
        <w:tc>
          <w:tcPr>
            <w:tcW w:w="160" w:type="dxa"/>
            <w:vAlign w:val="bottom"/>
          </w:tcPr>
          <w:p>
            <w:pPr>
              <w:spacing w:after="0"/>
              <w:rPr>
                <w:sz w:val="13"/>
                <w:szCs w:val="13"/>
                <w:color w:val="auto"/>
              </w:rPr>
            </w:pPr>
          </w:p>
        </w:tc>
        <w:tc>
          <w:tcPr>
            <w:tcW w:w="13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December 26,</w:t>
            </w:r>
          </w:p>
        </w:tc>
      </w:tr>
      <w:tr>
        <w:trPr>
          <w:trHeight w:val="215"/>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48,428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40,965</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17,859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Loss (Gain) on deferred compensation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(10,847)</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6,094</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r>
      <w:tr>
        <w:trPr>
          <w:trHeight w:val="212"/>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(2,575)</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6"/>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(31,955)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(18,045)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(8,101)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Payments on revolving loan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loan borrowings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r>
      <w:tr>
        <w:trPr>
          <w:trHeight w:val="206"/>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20,440</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14,847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15,208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January 1, 2023 are not necessarily indicative of the results that may be expected for the full year.</w:t>
      </w:r>
    </w:p>
    <w:p>
      <w:pPr>
        <w:spacing w:after="0" w:line="9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References to fiscal 2022 refer to the fiscal year ended April 3, 2022 and references to fiscal 2023 refer to the fiscal year ending April 2, 2023.</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71" w:lineRule="exact"/>
        <w:rPr>
          <w:sz w:val="20"/>
          <w:szCs w:val="20"/>
          <w:color w:val="auto"/>
        </w:rPr>
      </w:pPr>
    </w:p>
    <w:p>
      <w:pPr>
        <w:ind w:right="20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 previously filed with the SEC. There has been no significant change in our accounting policies since the end of fiscal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Acquisition of NAPCO Chemical Company, Inc.: </w:t>
      </w:r>
      <w:r>
        <w:rPr>
          <w:rFonts w:ascii="Arial" w:cs="Arial" w:eastAsia="Arial" w:hAnsi="Arial"/>
          <w:sz w:val="18"/>
          <w:szCs w:val="18"/>
          <w:color w:val="auto"/>
        </w:rPr>
        <w:t>In the fourth quarter of fiscal 2022, we acquired substantially all the assets of NAPCO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Company, Inc. ("NAPCO") for $19.0 million, under the terms of an asset purchase agreement with NAPCO and certain other parties thereto, to further the geographic reach of our Water Treatment segment. NAPCO manufactured and distributed water treatment chemicals from three locations in Texas.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Acquisition of Water and Waste Specialties, Inc.: </w:t>
      </w:r>
      <w:r>
        <w:rPr>
          <w:rFonts w:ascii="Arial" w:cs="Arial" w:eastAsia="Arial" w:hAnsi="Arial"/>
          <w:sz w:val="18"/>
          <w:szCs w:val="18"/>
          <w:color w:val="auto"/>
        </w:rPr>
        <w:t>In the third quarter of fiscal 2022, we acquired substantially all the assets of Water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 Specialties, Inc. for $1.4 million, under the terms of a purchase agreement with Water and Waste Specialties and its shareholders. Water and Waste Specialties was a water treatment chemical distribution company operating primarily in Alabama.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 of Southeast Water Systems LLC: </w:t>
      </w:r>
      <w:r>
        <w:rPr>
          <w:rFonts w:ascii="Arial" w:cs="Arial" w:eastAsia="Arial" w:hAnsi="Arial"/>
          <w:sz w:val="18"/>
          <w:szCs w:val="18"/>
          <w:color w:val="auto"/>
        </w:rPr>
        <w:t>In the second quarter of fiscal 2022, we acquired substantially all the assets of Southeast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Water Systems LLC, under the terms of an asset purchase agreement with Southeast Water Systems and its shareholders. We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million at closing for the acquisition and may pay up to an additional $1.0 million over the next three years based on achieving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goals. Southeast Water Systems supplied and installed water treatment chemical equipment to its customers located primarily in Alabama,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Georgia and the Florida panhandle. The results of operations since the acquisition date, and the assets, including the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this acquisition, are included in our Water Treatment segment. Costs associated with this transaction were not material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three and nine months ended January 1, 2023 and December 26,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Three months ended January 1, 2023</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23,833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27,013</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219,218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Three months ended December 26,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134,896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b w:val="1"/>
                <w:bCs w:val="1"/>
                <w:color w:val="auto"/>
                <w:w w:val="99"/>
              </w:rPr>
              <w:t>Nine months ended January 1, 2023</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Industrial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Pr>
          <w:p>
            <w:pPr>
              <w:spacing w:after="0"/>
              <w:rPr>
                <w:sz w:val="14"/>
                <w:szCs w:val="14"/>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Treatment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Nutrition</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286,818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530,562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83,599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353,085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Nine months ended December 26, 2021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4"/>
                <w:szCs w:val="14"/>
                <w:color w:val="auto"/>
              </w:rPr>
            </w:pPr>
          </w:p>
        </w:tc>
        <w:tc>
          <w:tcPr>
            <w:tcW w:w="128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2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90,086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external customer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551,568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660" w:right="140" w:hanging="328"/>
        <w:spacing w:after="0" w:line="252"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ind w:left="660" w:hanging="328"/>
        <w:spacing w:after="0" w:line="255"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non-manufactured distributed specialty products in our Health and Nutrition segment, which may be sold out of one of our facilities or direct shipped to our customers.</w:t>
      </w:r>
    </w:p>
    <w:p>
      <w:pPr>
        <w:ind w:left="660" w:hanging="328"/>
        <w:spacing w:after="0" w:line="260"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bulk products in our Industrial and Water Treatment segments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5380" w:type="dxa"/>
            <w:vAlign w:val="bottom"/>
          </w:tcPr>
          <w:p>
            <w:pPr>
              <w:spacing w:after="0"/>
              <w:rPr>
                <w:sz w:val="22"/>
                <w:szCs w:val="22"/>
                <w:color w:val="auto"/>
              </w:rPr>
            </w:pPr>
          </w:p>
        </w:tc>
        <w:tc>
          <w:tcPr>
            <w:tcW w:w="308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75"/>
        </w:trPr>
        <w:tc>
          <w:tcPr>
            <w:tcW w:w="5380" w:type="dxa"/>
            <w:vAlign w:val="bottom"/>
          </w:tcPr>
          <w:p>
            <w:pPr>
              <w:spacing w:after="0"/>
              <w:rPr>
                <w:sz w:val="15"/>
                <w:szCs w:val="15"/>
                <w:color w:val="auto"/>
              </w:rPr>
            </w:pPr>
          </w:p>
        </w:tc>
        <w:tc>
          <w:tcPr>
            <w:tcW w:w="1540" w:type="dxa"/>
            <w:vAlign w:val="bottom"/>
            <w:tcBorders>
              <w:top w:val="single" w:sz="8" w:color="auto"/>
            </w:tcBorders>
            <w:gridSpan w:val="2"/>
          </w:tcPr>
          <w:p>
            <w:pPr>
              <w:ind w:left="220"/>
              <w:spacing w:after="0" w:line="176" w:lineRule="exact"/>
              <w:rPr>
                <w:sz w:val="20"/>
                <w:szCs w:val="20"/>
                <w:color w:val="auto"/>
              </w:rPr>
            </w:pPr>
            <w:r>
              <w:rPr>
                <w:rFonts w:ascii="Arial" w:cs="Arial" w:eastAsia="Arial" w:hAnsi="Arial"/>
                <w:sz w:val="18"/>
                <w:szCs w:val="18"/>
                <w:b w:val="1"/>
                <w:bCs w:val="1"/>
                <w:color w:val="auto"/>
              </w:rPr>
              <w:t>January 01,</w:t>
            </w:r>
          </w:p>
        </w:tc>
        <w:tc>
          <w:tcPr>
            <w:tcW w:w="1440" w:type="dxa"/>
            <w:vAlign w:val="bottom"/>
            <w:tcBorders>
              <w:top w:val="single" w:sz="8" w:color="auto"/>
            </w:tcBorders>
          </w:tcPr>
          <w:p>
            <w:pPr>
              <w:jc w:val="right"/>
              <w:ind w:right="50"/>
              <w:spacing w:after="0" w:line="176" w:lineRule="exact"/>
              <w:rPr>
                <w:sz w:val="20"/>
                <w:szCs w:val="20"/>
                <w:color w:val="auto"/>
              </w:rPr>
            </w:pPr>
            <w:r>
              <w:rPr>
                <w:rFonts w:ascii="Arial" w:cs="Arial" w:eastAsia="Arial" w:hAnsi="Arial"/>
                <w:sz w:val="18"/>
                <w:szCs w:val="18"/>
                <w:b w:val="1"/>
                <w:bCs w:val="1"/>
                <w:color w:val="auto"/>
              </w:rPr>
              <w:t>December 26,</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180"/>
              <w:spacing w:after="0" w:line="176" w:lineRule="exact"/>
              <w:rPr>
                <w:sz w:val="20"/>
                <w:szCs w:val="20"/>
                <w:color w:val="auto"/>
              </w:rPr>
            </w:pPr>
            <w:r>
              <w:rPr>
                <w:rFonts w:ascii="Arial" w:cs="Arial" w:eastAsia="Arial" w:hAnsi="Arial"/>
                <w:sz w:val="18"/>
                <w:szCs w:val="18"/>
                <w:b w:val="1"/>
                <w:bCs w:val="1"/>
                <w:color w:val="auto"/>
              </w:rPr>
              <w:t>January 01,</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December 26,</w:t>
            </w:r>
          </w:p>
        </w:tc>
      </w:tr>
      <w:tr>
        <w:trPr>
          <w:trHeight w:val="241"/>
        </w:trPr>
        <w:tc>
          <w:tcPr>
            <w:tcW w:w="5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20,818,347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20,885,232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20,847,285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20,968,692</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157,564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173,823</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20,974,264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21,054,603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21,004,849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21,142,515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9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1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January 1, 2023 and April 3,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1, 2023</w:t>
            </w:r>
          </w:p>
        </w:tc>
        <w:tc>
          <w:tcPr>
            <w:tcW w:w="30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 2022</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700" w:type="dxa"/>
            <w:vAlign w:val="bottom"/>
          </w:tcPr>
          <w:p>
            <w:pPr>
              <w:ind w:left="1600"/>
              <w:spacing w:after="0"/>
              <w:rPr>
                <w:sz w:val="20"/>
                <w:szCs w:val="20"/>
                <w:color w:val="auto"/>
              </w:rPr>
            </w:pPr>
            <w:r>
              <w:rPr>
                <w:rFonts w:ascii="Arial" w:cs="Arial" w:eastAsia="Arial" w:hAnsi="Arial"/>
                <w:sz w:val="18"/>
                <w:szCs w:val="18"/>
                <w:color w:val="auto"/>
              </w:rPr>
              <w:t>Level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7,038</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27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Level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9"/>
                <w:szCs w:val="19"/>
                <w:color w:val="auto"/>
              </w:rPr>
            </w:pPr>
          </w:p>
        </w:tc>
      </w:tr>
      <w:tr>
        <w:trPr>
          <w:trHeight w:val="56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jc w:val="right"/>
              <w:ind w:right="12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7840" w:type="dxa"/>
            <w:vAlign w:val="bottom"/>
          </w:tcPr>
          <w:p>
            <w:pPr>
              <w:spacing w:after="0"/>
              <w:rPr>
                <w:sz w:val="20"/>
                <w:szCs w:val="20"/>
                <w:color w:val="auto"/>
              </w:rPr>
            </w:pPr>
            <w:r>
              <w:rPr>
                <w:rFonts w:ascii="Arial" w:cs="Arial" w:eastAsia="Arial" w:hAnsi="Arial"/>
                <w:sz w:val="18"/>
                <w:szCs w:val="18"/>
                <w:color w:val="auto"/>
              </w:rPr>
              <w:t>Inventories at January 1, 2023 and April 3, 2022 consisted of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1,</w:t>
            </w:r>
          </w:p>
        </w:tc>
        <w:tc>
          <w:tcPr>
            <w:tcW w:w="30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April 3,</w:t>
            </w:r>
          </w:p>
        </w:tc>
      </w:tr>
      <w:tr>
        <w:trPr>
          <w:trHeight w:val="24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$104.7 million at January 1, 2023 and $83.7 million at April 3, 2022.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39"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carrying amount of goodwill was $77.4 million as of January 1, 2023 and April 3, 2022, of which $44.9 million was related to our Health and Nutrition segment, $26.0 million was related to our Water Treatment segment, and $6.5 million was related to our Industrial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January 1, 2023 and April 3, 2022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January 1, 2023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April 3, 2022</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840" w:type="dxa"/>
            <w:vAlign w:val="bottom"/>
            <w:gridSpan w:val="2"/>
          </w:tcPr>
          <w:p>
            <w:pPr>
              <w:jc w:val="right"/>
              <w:ind w:right="230"/>
              <w:spacing w:after="0" w:line="148"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72,516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109,644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(32,399)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7"/>
          </w:tcPr>
          <w:p>
            <w:pPr>
              <w:spacing w:after="0"/>
              <w:rPr>
                <w:sz w:val="20"/>
                <w:szCs w:val="20"/>
                <w:color w:val="auto"/>
              </w:rPr>
            </w:pPr>
            <w:r>
              <w:rPr>
                <w:rFonts w:ascii="Arial" w:cs="Arial" w:eastAsia="Arial" w:hAnsi="Arial"/>
                <w:sz w:val="18"/>
                <w:szCs w:val="18"/>
                <w:color w:val="auto"/>
              </w:rPr>
              <w:t>Debt at January 1, 2023 and April 3, 2022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Arial" w:cs="Arial" w:eastAsia="Arial" w:hAnsi="Arial"/>
                <w:sz w:val="18"/>
                <w:szCs w:val="18"/>
                <w:b w:val="1"/>
                <w:bCs w:val="1"/>
                <w:color w:val="auto"/>
              </w:rPr>
              <w:t>January 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4"/>
              </w:rPr>
              <w:t>2023</w:t>
            </w: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131,000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130,623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125,557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120,710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115,644</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of our credit agreement as of January 1,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31, 2019 are closed to examination by the Internal Revenue Service, and with few exceptions, state and local income tax jurisdictions. Our effective income tax rate was 26% for both the nine months ended January 1, 2023 and the nine months ended December 26, 2021. The effective tax rate is impacted by projected levels of annual taxable income, permanent items, and state taxes.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10 – Leases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January 1, 2023,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original lease terms of 1 year to 22 years, some of which include options to extend the lease for up to 10 years.</w:t>
      </w:r>
    </w:p>
    <w:p>
      <w:pPr>
        <w:spacing w:after="0" w:line="8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As of January 1, 2023, our operating lease components with initial or remaining terms in excess of one year were classified on the condensed consolidated balance sheet within right of use assets, short-term lease liability and long-term lease liability.</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Expense for leases less than 12 months was not material for the three and nine months ended January 1, 2023 and December 26, 2021. Total lease expense was $0.8 million for the three months ended January 1, 2023 and $ 0.7 million for the three months ended December 26, 2021, and was $2.4 million for the nine months ended January 1, 2023 and $2.1 million for the nine months ended December 26,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January 1, 2023</w:t>
            </w: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April 3, 2022</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4260" w:type="dxa"/>
            <w:vAlign w:val="bottom"/>
            <w:gridSpan w:val="2"/>
          </w:tcPr>
          <w:p>
            <w:pPr>
              <w:jc w:val="right"/>
              <w:ind w:right="419"/>
              <w:spacing w:after="0"/>
              <w:rPr>
                <w:sz w:val="20"/>
                <w:szCs w:val="20"/>
                <w:color w:val="auto"/>
              </w:rPr>
            </w:pPr>
            <w:r>
              <w:rPr>
                <w:rFonts w:ascii="Arial" w:cs="Arial" w:eastAsia="Arial" w:hAnsi="Arial"/>
                <w:sz w:val="18"/>
                <w:szCs w:val="18"/>
                <w:color w:val="auto"/>
              </w:rPr>
              <w:t>8.02</w:t>
            </w: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42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2.8 %</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554"/>
        </w:trPr>
        <w:tc>
          <w:tcPr>
            <w:tcW w:w="5420" w:type="dxa"/>
            <w:vAlign w:val="bottom"/>
          </w:tcPr>
          <w:p>
            <w:pPr>
              <w:spacing w:after="0"/>
              <w:rPr>
                <w:sz w:val="20"/>
                <w:szCs w:val="20"/>
                <w:color w:val="auto"/>
              </w:rPr>
            </w:pPr>
            <w:r>
              <w:rPr>
                <w:rFonts w:ascii="Arial" w:cs="Arial" w:eastAsia="Arial" w:hAnsi="Arial"/>
                <w:sz w:val="18"/>
                <w:szCs w:val="18"/>
                <w:color w:val="auto"/>
              </w:rPr>
              <w:t>Maturities of lease liabilities as of January 1, 2023 were as follows:</w:t>
            </w:r>
          </w:p>
        </w:tc>
        <w:tc>
          <w:tcPr>
            <w:tcW w:w="1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fiscal 2023</w:t>
            </w:r>
          </w:p>
        </w:tc>
        <w:tc>
          <w:tcPr>
            <w:tcW w:w="17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7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10</w:t>
            </w:r>
          </w:p>
        </w:tc>
        <w:tc>
          <w:tcPr>
            <w:tcW w:w="2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2023 and fiscal 2022.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76,863 shares in the aggregate for fiscal 2023.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January 1,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3"/>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88,524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recorded compensation expense for both the three months ended January 1, 2023 and December 26, 2021 related to performance share units and restricted stock of $0.8 million. We recorded compensation expense for both the nine months ended January 1, 2023 and December 26, 2021 related to performance share units and restricted stock of $ 2.0 million. Substantially all of the compensation expense was recorded in selling, general and administrative expenses in the condensed consolidated statements of income.</w:t>
      </w:r>
    </w:p>
    <w:p>
      <w:pPr>
        <w:spacing w:after="0" w:line="7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non-employee directors receive restricted stock for their Board services.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awards are generally expensed over a one-year vesting period, based on the market value on the date of grant. As of January 1, 2023, there were 12,565 shares of restricted stock with an average grant date fair value of $38.98 outstanding under this program. Compensation expense for the three and nine months ended January 1, 2023 related to restricted stock awards to the Board was $0.1 million and $0.3 million, respectively. Compensation expense for the three and nine months ended December 26, 2021 related to restricted stock awards to the Board was $0.1 million and $0.2 million,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1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On August 4, 2022, our Board increased the number of shares authorized to be purchased from 1.6 million to 2.6 million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January 1, 2023, no shares were repurchased, and during the nine months ended January 1, 2023, we repurchased 181,657 shares at an aggregate purchase price of $6.6 million. During the three months ended</w:t>
      </w:r>
    </w:p>
    <w:p>
      <w:pPr>
        <w:spacing w:after="0" w:line="3"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December 26, 2021, we repurchased 30,538 shares at an aggregate purchase price of $ 1.1 million, and during the nine months ended December 26, 2021, we repurchased 240,501 shares at an aggregate purchase price of $8.5 million. As of January 1, 2023, 1,129,348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remained available to be repurchased under the share repurchase program.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39" w:lineRule="exact"/>
        <w:rPr>
          <w:sz w:val="20"/>
          <w:szCs w:val="20"/>
          <w:color w:val="auto"/>
        </w:rPr>
      </w:pPr>
    </w:p>
    <w:p>
      <w:pPr>
        <w:ind w:right="1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1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April 3, 2022</w:t>
        </w:r>
        <w:r>
          <w:rPr>
            <w:rFonts w:ascii="Arial" w:cs="Arial" w:eastAsia="Arial" w:hAnsi="Arial"/>
            <w:sz w:val="18"/>
            <w:szCs w:val="18"/>
            <w:color w:val="000000"/>
          </w:rPr>
          <w:t>.</w:t>
        </w:r>
      </w:hyperlink>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January 1, 2023:</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114,436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68,549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36,233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219,218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December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187,050</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33,940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January 1, 2023: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353,085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233,527</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120,341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706,953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129,394</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59,727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69,667</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Nine months ended December 26,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551,568</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110,201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54,216</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55,985</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January 1, 2023.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jc w:val="both"/>
        <w:ind w:right="12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nine months ended January 1, 2023 as compared to the similar period ended December 26, 2021.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April 3, 2022</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fourth quarter of fiscal 2022, we acquired substantially all the assets of NAPCO Chemical Company, Inc. and its affiliates ("NAPCO") under the terms of an asset purchase agreement among us, NAPCO and certain other parties thereto. NAPCO manufactured and distributed water treatment chemicals from three locations in Texas. The results of operations since the acquisition date are included in our Water Treatment segment.</w:t>
      </w:r>
    </w:p>
    <w:p>
      <w:pPr>
        <w:spacing w:after="0" w:line="24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third quarter of fiscal 2022, we acquired substantially all the assets of Water and Waste Specialties, LLC, under the terms of an asset purchase agreement with Water and Waste Specialties and its shareholders. Water and Waste Specialties was a water treatment chemical distribution company operating primarily in Alabama. The results of operations since the acquisition date are included in our Water Treatment segment.</w:t>
      </w:r>
    </w:p>
    <w:p>
      <w:pPr>
        <w:spacing w:after="0" w:line="22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the second quarter of fiscal 2022, we acquired substantially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operations since the acquisition date are included in our Water Treatment segment.</w:t>
      </w:r>
    </w:p>
    <w:p>
      <w:pPr>
        <w:spacing w:after="0" w:line="22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aggregate annual revenue of the three businesses acquired in fiscal 2022 totaled approximately $17 million, as determined using the applicable twelve-month period preceding each respective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August 4, 2022, our Board increased the number of shares authorized to be repurchased under our share repurchase program from 1.6 million to 2.6 million. As of January 1, 2023, 1,129,348 shares remain available to be repurchased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ectPr>
          <w:pgSz w:w="11900" w:h="16838" w:orient="portrait"/>
          <w:cols w:equalWidth="0" w:num="1">
            <w:col w:w="11200"/>
          </w:cols>
          <w:pgMar w:left="320" w:top="584"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gridSpan w:val="2"/>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January 1, 2023</w:t>
            </w:r>
          </w:p>
        </w:tc>
        <w:tc>
          <w:tcPr>
            <w:tcW w:w="1620" w:type="dxa"/>
            <w:vAlign w:val="bottom"/>
            <w:tcBorders>
              <w:top w:val="single" w:sz="8" w:color="auto"/>
            </w:tcBorders>
            <w:shd w:val="clear" w:color="auto" w:fill="CCEEFF"/>
          </w:tcPr>
          <w:p>
            <w:pPr>
              <w:jc w:val="right"/>
              <w:ind w:right="130"/>
              <w:spacing w:after="0" w:line="173" w:lineRule="exact"/>
              <w:rPr>
                <w:sz w:val="20"/>
                <w:szCs w:val="20"/>
                <w:color w:val="auto"/>
              </w:rPr>
            </w:pPr>
            <w:r>
              <w:rPr>
                <w:rFonts w:ascii="Arial" w:cs="Arial" w:eastAsia="Arial" w:hAnsi="Arial"/>
                <w:sz w:val="18"/>
                <w:szCs w:val="18"/>
                <w:b w:val="1"/>
                <w:bCs w:val="1"/>
                <w:color w:val="auto"/>
              </w:rPr>
              <w:t>December 26,</w:t>
            </w:r>
          </w:p>
        </w:tc>
        <w:tc>
          <w:tcPr>
            <w:tcW w:w="1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January 1, 2023</w:t>
            </w:r>
          </w:p>
        </w:tc>
        <w:tc>
          <w:tcPr>
            <w:tcW w:w="1640" w:type="dxa"/>
            <w:vAlign w:val="bottom"/>
            <w:tcBorders>
              <w:top w:val="single" w:sz="8" w:color="auto"/>
            </w:tcBorders>
            <w:shd w:val="clear" w:color="auto" w:fill="CCEEFF"/>
          </w:tcPr>
          <w:p>
            <w:pPr>
              <w:jc w:val="right"/>
              <w:ind w:right="150"/>
              <w:spacing w:after="0" w:line="173" w:lineRule="exact"/>
              <w:rPr>
                <w:sz w:val="20"/>
                <w:szCs w:val="20"/>
                <w:color w:val="auto"/>
              </w:rPr>
            </w:pPr>
            <w:r>
              <w:rPr>
                <w:rFonts w:ascii="Arial" w:cs="Arial" w:eastAsia="Arial" w:hAnsi="Arial"/>
                <w:sz w:val="18"/>
                <w:szCs w:val="18"/>
                <w:b w:val="1"/>
                <w:bCs w:val="1"/>
                <w:color w:val="auto"/>
              </w:rPr>
              <w:t>December 26,</w:t>
            </w:r>
          </w:p>
        </w:tc>
        <w:tc>
          <w:tcPr>
            <w:tcW w:w="0" w:type="dxa"/>
            <w:vAlign w:val="bottom"/>
          </w:tcPr>
          <w:p>
            <w:pPr>
              <w:spacing w:after="0"/>
              <w:rPr>
                <w:sz w:val="1"/>
                <w:szCs w:val="1"/>
                <w:color w:val="auto"/>
              </w:rPr>
            </w:pPr>
          </w:p>
        </w:tc>
      </w:tr>
      <w:tr>
        <w:trPr>
          <w:trHeight w:val="239"/>
        </w:trPr>
        <w:tc>
          <w:tcPr>
            <w:tcW w:w="4360" w:type="dxa"/>
            <w:vAlign w:val="bottom"/>
            <w:shd w:val="clear" w:color="auto" w:fill="CCEEFF"/>
          </w:tcPr>
          <w:p>
            <w:pPr>
              <w:spacing w:after="0"/>
              <w:rPr>
                <w:sz w:val="20"/>
                <w:szCs w:val="20"/>
                <w:color w:val="auto"/>
              </w:rPr>
            </w:pPr>
          </w:p>
        </w:tc>
        <w:tc>
          <w:tcPr>
            <w:tcW w:w="1720" w:type="dxa"/>
            <w:vAlign w:val="bottom"/>
            <w:gridSpan w:val="2"/>
            <w:vMerge w:val="continue"/>
            <w:shd w:val="clear" w:color="auto" w:fill="CCEEFF"/>
          </w:tcPr>
          <w:p>
            <w:pPr>
              <w:spacing w:after="0"/>
              <w:rPr>
                <w:sz w:val="20"/>
                <w:szCs w:val="20"/>
                <w:color w:val="auto"/>
              </w:rPr>
            </w:pP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20"/>
                <w:szCs w:val="20"/>
                <w:color w:val="auto"/>
              </w:rPr>
            </w:pPr>
          </w:p>
        </w:tc>
        <w:tc>
          <w:tcPr>
            <w:tcW w:w="1780" w:type="dxa"/>
            <w:vAlign w:val="bottom"/>
            <w:gridSpan w:val="2"/>
            <w:vMerge w:val="continue"/>
            <w:shd w:val="clear" w:color="auto" w:fill="CCEEFF"/>
          </w:tcPr>
          <w:p>
            <w:pPr>
              <w:spacing w:after="0"/>
              <w:rPr>
                <w:sz w:val="20"/>
                <w:szCs w:val="20"/>
                <w:color w:val="auto"/>
              </w:rPr>
            </w:pP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1, 2023 Compared to Three Months Ended December 26,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Sales were $219.2 million for the three months ended January 1, 2023, an increase of $32.1 million, or 17%, from sales of $187.1 million in the same period a year ago, driven primarily by increased selling prices.</w:t>
      </w:r>
    </w:p>
    <w:p>
      <w:pPr>
        <w:spacing w:after="0" w:line="20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$13.8 million or 14%, to $114.4 million for the three months ended January 1, 2023,</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of $100.6 million in the same period a year ago. Sales of bulk commodity products in the Industrial segment were approximately 18% of sales dollars in the three months ended January 1, 2023 and 16% in the same period of the prior year. The increase in sales was driven by increased selling prices on many of our products driven by higher costs on many of our raw materials.</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$18.7 million, or 38%, to $68.5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2023, from sales of $49.8 million in the same period a year ago. Sales of bulk commodity products in the Water Treatment segment were approximately 10% of sales dollars in the three months ended January 1, 2023 and 9% in the same period a year ago. Sales increased as a result of increased selling prices on many of our products driven by higher costs on many of our raw materials, added sales from acquired businesses and increased sales of our products.</w:t>
      </w:r>
    </w:p>
    <w:p>
      <w:pPr>
        <w:spacing w:after="0" w:line="204"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$0.5 million, or 1%, to $36.2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2023, from sales of $36.7 million in the same period a year ago. Increased sales of our manufactured products were more than offset by a decrease in sales of our specialty distributed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Gross profit increased $2.4 million, or 7%, to $36.3 million, or 17% of sales, for the three months ended January 1, 2023, from $33.9 million, or 18% of sales, in the same period a year ago. During the three months ended January 1, 2023, the LIFO reserve increased, and gross profit decreased, by $3.7 million due primarily to rising raw material costs. In the same quarter a year ago, the LIFO reserve increased, and gross profit decreased, by $2.9 million. Gross profit increased due to increased revenue, partially offset by the unfavorable year-over-year impact of the increased LIFO reserve.</w:t>
      </w:r>
    </w:p>
    <w:p>
      <w:pPr>
        <w:spacing w:after="0" w:line="21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$ 0.7 million, or 5%, to $16.0 million, or 14%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January 1, 2023, from $15.3 million, or 15% of sales, in the same period a year ago. During the three months ended January 1, 2023, the LIFO reserve increased, and gross profit decreased, by $2.0 million, primarily due to rising raw material costs. In the same quarter a year ago, the LIFO reserve increased, and gross profit decreased, by $2.2 million. Gross profit increased as a result of increased sales as well as improved unit margins on many of our products.</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$2.2 million, or 20%, to $13.3 million, or 19%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January 1, 2023, from $11.1 million, or 22% of sales, in the same period a year ago. During the three months ended January 1, 2023, the LIFO reserve increased, and gross profit decreased, by $1.7 million due primarily to rising raw material costs. In the same quarter a year ago, the LIFO reserve increased, and gross profit decreased, by $0.6 million. Gross profit increased as a result of increased sales, partially offset by the unfavorable year-over-year impact of the increased LIFO reserve.</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$0.5 million, or 7.0%, to $7.0 million, or 19%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January 1, 2023, from $7.5 million, or 21% of sales, in the same period a year ago. Gross profit decreased as a result of decreased sales.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Selling, general and administrative (“SG&amp;A”) expenses increased $1.3 million to $21.0 million, or 10% of sales, for the three months ended January 1, 2023, from $19.7 million, or 11% of sales, in the same period a year ago. Expenses increased primarily due to the added costs from the acquired business in our Water Treatment segment.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Operating income increased $1.0 million, or 7%, to $15.3 million, or 7% of sales, for the three months ended January 1, 2023, from $14.3 million, or 8% of sales, in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ectPr>
          <w:pgSz w:w="11900" w:h="16838" w:orient="portrait"/>
          <w:cols w:equalWidth="0" w:num="1">
            <w:col w:w="11240"/>
          </w:cols>
          <w:pgMar w:left="320" w:top="346" w:right="339" w:bottom="0" w:gutter="0" w:footer="0" w:header="0"/>
        </w:sectPr>
      </w:pPr>
    </w:p>
    <w:bookmarkStart w:id="16" w:name="page17"/>
    <w:bookmarkEnd w:id="16"/>
    <w:p>
      <w:pPr>
        <w:ind w:right="120"/>
        <w:spacing w:after="0" w:line="261" w:lineRule="auto"/>
        <w:rPr>
          <w:sz w:val="20"/>
          <w:szCs w:val="20"/>
          <w:color w:val="auto"/>
        </w:rPr>
      </w:pPr>
      <w:r>
        <w:rPr>
          <w:rFonts w:ascii="Arial" w:cs="Arial" w:eastAsia="Arial" w:hAnsi="Arial"/>
          <w:sz w:val="18"/>
          <w:szCs w:val="18"/>
          <w:color w:val="auto"/>
        </w:rPr>
        <w:t>Interest expense was $1.5 million for the three months ended January 1, 2023 and $0.3 million the same period a year ago. The increase was due to an increase in borrowing interest rates as well as an increase in outstanding borrowings due to increased working capital needs.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57"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color w:val="auto"/>
        </w:rPr>
        <w:t>Other income was $0.5 million for the three months ended January 1, 2023 and $0.1 million in the same period a year ago. The income represents gains recorded on investments held for our non-qualified deferred compensation plan. The amounts recorded as a gain were offset by similar amounts recorded as a decrease to compensation expense within SG&amp;A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Our effective income tax rate was 24% for the three months ended January 1, 2023 and 27% the three months ended December 26, 2021. The effective tax rate decreased from the prior year due to favorable tax provision adjustments recorded in the third quarter of fiscal 2023. The effective tax rate is impacted by projected levels of annual taxable income, permanent items, and state taxes. Our effective tax rate for the full year is currently expected to be approximately 26 to 27%.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1, 2023 Compared to Nine Months Ended December 26,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Sales were $707.0 million for the nine months ended January 1, 2023, an increase of $155.4 million, or 28%, from sales of $551.6 million in the same period a year ago, driven primarily by increased selling prices.</w:t>
      </w:r>
    </w:p>
    <w:p>
      <w:pPr>
        <w:spacing w:after="0" w:line="207"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$83.5 million, or 31%, to $353.1 million for the nine months ended January 1, 2023,</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of $269.6 million in the same period a year ago. Sales of bulk commodity products in the Industrial segment were approximately 17% of sales dollars in the nine months ended January 1, 2023 and 15% in the same period of the prior year. Sales increased as a result of increased selling prices on many of our products driven by higher costs on many of our raw materials.</w:t>
      </w:r>
    </w:p>
    <w:p>
      <w:pPr>
        <w:spacing w:after="0" w:line="2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$65.4 million, or 39%, to $233.5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2023, from sales of $168.1 million in the same period a year ago. Sales of bulk commodity products in the Water Treatment segment were approximately 9% of sales dollars in both the nine months ended January 1, 2023 and the same period of the prior year. Sales increased as a result of increased selling prices on many of our products driven by higher costs on many of our raw materials, added sales from acquired businesses and increased sales of our products.</w:t>
      </w:r>
    </w:p>
    <w:p>
      <w:pPr>
        <w:spacing w:after="0" w:line="20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$6.4 million, or 6%, to $120.3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2023, from sales of $113.9 million in the same period a year ago. Increased sales of our manufactured products more than offset a decrease in sales of our specialty distributed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Gross profit increased $ 19.2 million or 17%, to $129.4 million, or 18% of sales, for the nine months ended January 1, 2023, from $110.2 million, or 20% of sales, in the same period a year ago. During the nine months ended January 1, 2023, the LIFO reserve increased, and gross profit decreased, by $12.7 million, due primarily to rising raw material costs. In the same period a year ago, the LIFO reserve increased, and gross profit decreased, by $7.6 million. Gross profit increased due to increased revenue, partially offset by the unfavorable year-over-year impact of the increased LIFO reserve.</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$ 11.6 million, or 28%, to $53.7 million, or 15%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January 1, 2023, from $ 42.1 million, or 16% of sales, in the same period a year ago. During the nine months ended January 1, 2023, the LIFO reserve increased, and gross profit decreased, by $8.5 million, due primarily to rising raw material costs. In the same period a year ago, the LIFO reserve increased, and gross profit decreased, by $5.9 million. Gross profit increased as a result of increased sales as well as improved unit margins on many of our products, partially offset by the unfavorable year-over-year impact of the increased LIFO reserve.</w:t>
      </w:r>
    </w:p>
    <w:p>
      <w:pPr>
        <w:spacing w:after="0" w:line="20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Water Treatment Segment</w:t>
      </w:r>
      <w:r>
        <w:rPr>
          <w:rFonts w:ascii="Arial" w:cs="Arial" w:eastAsia="Arial" w:hAnsi="Arial"/>
          <w:sz w:val="18"/>
          <w:szCs w:val="18"/>
          <w:color w:val="auto"/>
        </w:rPr>
        <w:t>. Gross profit for the Water Treatment segment increased $7.8 million, or 17%, to $52.7 million, or 23%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January 1, 2023, from $44.9 million, or 27% of sales, in the same period a year ago. During the nine months ended January 1, 2023, the LIFO reserve increased, and gross profit decreased, by $4.2 million due primarily to rising raw material costs. In the same period a year ago, the LIFO reserve increased and gross profit decreased by $1.7 million. Gross profit increased as a result of increased sales, partially offset by the unfavorable year-over-year impact of the increased LIFO reserve.</w:t>
      </w:r>
    </w:p>
    <w:p>
      <w:pPr>
        <w:spacing w:after="0" w:line="204"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$0.2 million, to $ 23.0 million, or 19%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January 1, 2023, from $ 23.2 million, or 20% of sales, in the same period a year ago. In spite of an increase in overall sales dollars, gross profit decreased as a result of a product mix shift.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SG&amp;A expenses increased $5.5 million to $59.7 million, or 8% of sales, for the nine months ended January 1, 2023, from $54.2 million, or 10% of sales, in the same period a year ago. Expenses increased primarily due to the added costs from the acquired businesses in our</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Water Treatment segment and increased wages, partially offset by and a $1.3 million decrease in compensation expense relating to the non-qualified deferred compensation plan liability which is offset in "Other (Expense) Income" as described below.</w:t>
      </w:r>
    </w:p>
    <w:p>
      <w:pPr>
        <w:sectPr>
          <w:pgSz w:w="11900" w:h="16838" w:orient="portrait"/>
          <w:cols w:equalWidth="0" w:num="1">
            <w:col w:w="11240"/>
          </w:cols>
          <w:pgMar w:left="320" w:top="382" w:right="339" w:bottom="137"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ectPr>
          <w:pgSz w:w="11900" w:h="16838" w:orient="portrait"/>
          <w:cols w:equalWidth="0" w:num="1">
            <w:col w:w="11240"/>
          </w:cols>
          <w:pgMar w:left="320" w:top="382" w:right="339" w:bottom="137" w:gutter="0" w:footer="0" w:header="0"/>
          <w:type w:val="continuous"/>
        </w:sectPr>
      </w:pPr>
    </w:p>
    <w:bookmarkStart w:id="17" w:name="page18"/>
    <w:bookmarkEnd w:id="17"/>
    <w:p>
      <w:pPr>
        <w:ind w:right="100"/>
        <w:spacing w:after="0" w:line="260" w:lineRule="auto"/>
        <w:rPr>
          <w:sz w:val="20"/>
          <w:szCs w:val="20"/>
          <w:color w:val="auto"/>
        </w:rPr>
      </w:pPr>
      <w:r>
        <w:rPr>
          <w:rFonts w:ascii="Arial" w:cs="Arial" w:eastAsia="Arial" w:hAnsi="Arial"/>
          <w:sz w:val="18"/>
          <w:szCs w:val="18"/>
          <w:color w:val="auto"/>
        </w:rPr>
        <w:t>Operating income increased $ 13.7 million, or 24%, to $69.7 million, or 10% of sales, for the nine months ended January 1, 2023, from $56.0 million, or 10% of sales, in the same period a year ago due to the combined impact of the factors discussed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Interest expense was $3.9 million for the nine months ended January 1, 2023 and $1.0 million for the same period a year ago. The increase was due to an increase in borrowing interest rates as well as an increase in outstanding borrowings due to increased working capital needs.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Other expense was $0.7 million for the nine months ended January 1, 2023 compared to other income of $0.5 million in the same period a year ago. The current year expense represents losses recorded on investments held for our non-qualified deferred compensation plan, whereas the income in the prior year represented gains recorded on those investments. The amounts recorded as a gain or loss were offset by similar amounts recorded as a decrease or increase to compensation expense within SG&amp;A expenses</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effective income tax rate was 26% for both the nine months ended January 1, 2023 and in the same period a year ago. The effective tax rate is impacted by projected levels of annual taxable income, permanent items, and state taxes. Our effective tax rate for the full year is currently expected to be approximately 26 to 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Cash was $6.1 million at January 1, 2023, an increase of $2.7 million as compared with the $3.5 million available as of April 3, 2022.</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provided by operating activities was $44.5 million for the nine months ended January 1, 2023, compared to cash provided by operating activities of $38.7 million in the same period a year ago. The year-over-year increase in cash provided by operating activities was primarily driven by increased net income. Due to the nature of our operations, which includes purchases of large quantities of bulk chemicals, timing of purchases can result in significant changes in working capital investment and the resulting operating cash flow.</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used in investing activities was $ 32.0 million for the nine months ended January 1, 2023, compared to $ 18.0 million in the same period a year ago. Capital expenditures were $32.3 million for the nine months ended January 1, 2023, compared to $15.7 million in the same period a year ago. In the first nine months of the current year, we invested nearly $4 million on rail expansion projects at three of our facilities, an additional $ 1.1 million to complete an expansion of our Illinois manufacturing facility, purchased a previously leased facility for $0.9 million, and had larger investments in trucks, safety equipment and new and replacement equipment compared to the first nine months of the prior year.</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provided by financing activities was $9.9 million for the nine months ended January 1, 2023, compared to $0.2 million of cash used in financing activities in the same period a year ago. Included in financing activities in the first nine months of the current year were net debt proceeds of $5.0 million, compared to net debt proceeds of $17.0 million in the first nine months of the prior year. In addition, we repurchased $6.6 million of shares of our common stock in the first nine months of the current fiscal year, compared to $8.5 million of shares repurchased in the same period a year ago.</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nine months ended January 1, 2023, we repurchased 181,657 shares of common stock with an aggregate purchase price of $6.6 million. During the nine months ended December 26, 2021, 240,501 shares were repurchased with an aggregate purchase price of $8.5 million. As of January 1, 2023, 1,129,348 shares remained available to be repurchased under the share repurchase program.</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party to a second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revolving loan under our previous credit agreement with U.S. Bank and provides us with senior secured revolving credit facilities (the “Revolving Loan Facility”) totaling $250 million. The Revolving Loan Facility includes a $10 million letter of credit subfacility and $25 million swingline subfacility. The Revolving Loan Facility has a five-year maturity date, maturing on April 30, 2027.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w:t>
      </w:r>
    </w:p>
    <w:p>
      <w:pPr>
        <w:spacing w:after="0" w:line="234" w:lineRule="auto"/>
        <w:rPr>
          <w:sz w:val="20"/>
          <w:szCs w:val="20"/>
          <w:color w:val="auto"/>
        </w:rPr>
      </w:pPr>
      <w:r>
        <w:rPr>
          <w:rFonts w:ascii="Arial" w:cs="Arial" w:eastAsia="Arial" w:hAnsi="Arial"/>
          <w:sz w:val="18"/>
          <w:szCs w:val="18"/>
          <w:color w:val="auto"/>
        </w:rPr>
        <w:t>applicable margin based upon our leverage ratio: (a) Term SOFR, which includes a credit spread adjustment of 0.10%, for an interest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one, three or six months as selected by us, reset at the end of the selected interest period, or (b) a base rate determined by reference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highest of (1) U. S. Bank’s prime rate, (2) the Federal Funds Effective Rate plus 0.5%, or (3) one-month Term SOFR for U.S. dollars plus</w:t>
      </w:r>
    </w:p>
    <w:p>
      <w:pPr>
        <w:spacing w:after="0" w:line="234" w:lineRule="auto"/>
        <w:rPr>
          <w:sz w:val="20"/>
          <w:szCs w:val="20"/>
          <w:color w:val="auto"/>
        </w:rPr>
      </w:pPr>
      <w:r>
        <w:rPr>
          <w:rFonts w:ascii="Arial" w:cs="Arial" w:eastAsia="Arial" w:hAnsi="Arial"/>
          <w:sz w:val="18"/>
          <w:szCs w:val="18"/>
          <w:color w:val="auto"/>
        </w:rPr>
        <w:t>1.0%. The Term SOFR margin is between 0.85% and 1.35%, depending on our leverage ratio. The base rate margin is between 0.00%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0.35%, depending on our leverage ratio. At January 1, 2023, the effective interest rate on our borrowings was 4.2%.</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ectPr>
          <w:pgSz w:w="11900" w:h="16838" w:orient="portrait"/>
          <w:cols w:equalWidth="0" w:num="1">
            <w:col w:w="11240"/>
          </w:cols>
          <w:pgMar w:left="320" w:top="140" w:right="339" w:bottom="65" w:gutter="0" w:footer="0" w:header="0"/>
        </w:sectPr>
      </w:pPr>
    </w:p>
    <w:bookmarkStart w:id="18" w:name="page19"/>
    <w:bookmarkEnd w:id="18"/>
    <w:p>
      <w:pPr>
        <w:ind w:right="320"/>
        <w:spacing w:after="0" w:line="260"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January 1, 2023, the unamortized balance of these costs was $0.4 million, and is reflected as a reduction of debt on our balance sheet.</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January 1, 2023 and expect to remain in compliance with all covenants for the next 12 months.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00" w:lineRule="exact"/>
        <w:rPr>
          <w:sz w:val="20"/>
          <w:szCs w:val="20"/>
          <w:color w:val="auto"/>
        </w:rPr>
      </w:pP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April 3, 2022</w:t>
        </w:r>
        <w:r>
          <w:rPr>
            <w:rFonts w:ascii="Arial" w:cs="Arial" w:eastAsia="Arial" w:hAnsi="Arial"/>
            <w:sz w:val="18"/>
            <w:szCs w:val="18"/>
            <w:color w:val="000000"/>
          </w:rPr>
          <w:t>.</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39"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1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year ended April 3, 2022</w:t>
        </w:r>
        <w:r>
          <w:rPr>
            <w:rFonts w:ascii="Arial" w:cs="Arial" w:eastAsia="Arial" w:hAnsi="Arial"/>
            <w:sz w:val="18"/>
            <w:szCs w:val="18"/>
            <w:color w:val="000000"/>
          </w:rPr>
          <w:t>. We caution you not to place undue reliance on these forward-looking statements, which reflect our management’s</w:t>
        </w:r>
      </w:hyperlink>
      <w:r>
        <w:rPr>
          <w:rFonts w:ascii="Arial" w:cs="Arial" w:eastAsia="Arial" w:hAnsi="Arial"/>
          <w:sz w:val="18"/>
          <w:szCs w:val="18"/>
          <w:color w:val="0000FF"/>
        </w:rPr>
        <w:t xml:space="preserve"> </w:t>
      </w:r>
      <w:r>
        <w:rPr>
          <w:rFonts w:ascii="Arial" w:cs="Arial" w:eastAsia="Arial" w:hAnsi="Arial"/>
          <w:sz w:val="18"/>
          <w:szCs w:val="18"/>
          <w:color w:val="000000"/>
        </w:rPr>
        <w:t>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January 1, 2023, a 25-basis point change in interest rates on our unhedged variable-rate debt would potentially increase or decrease our annual interest expense by approximately $0.2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January 1, 2023.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2023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April 3, 2022</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January 1, 2023:</w:t>
      </w:r>
    </w:p>
    <w:tbl>
      <w:tblPr>
        <w:tblLayout w:type="fixed"/>
        <w:tblInd w:w="0"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5"/>
                <w:szCs w:val="15"/>
                <w:color w:val="auto"/>
              </w:rPr>
            </w:pPr>
          </w:p>
        </w:tc>
        <w:tc>
          <w:tcPr>
            <w:tcW w:w="2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2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Shares Purchased</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10/03/2022-10/30/2022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30"/>
        </w:trPr>
        <w:tc>
          <w:tcPr>
            <w:tcW w:w="3000" w:type="dxa"/>
            <w:vAlign w:val="bottom"/>
            <w:gridSpan w:val="3"/>
          </w:tcPr>
          <w:p>
            <w:pPr>
              <w:ind w:left="560"/>
              <w:spacing w:after="0"/>
              <w:rPr>
                <w:sz w:val="20"/>
                <w:szCs w:val="20"/>
                <w:color w:val="auto"/>
              </w:rPr>
            </w:pPr>
            <w:r>
              <w:rPr>
                <w:rFonts w:ascii="Arial" w:cs="Arial" w:eastAsia="Arial" w:hAnsi="Arial"/>
                <w:sz w:val="18"/>
                <w:szCs w:val="18"/>
                <w:color w:val="auto"/>
              </w:rPr>
              <w:t>10/31/2022-11/27/2022</w:t>
            </w:r>
          </w:p>
        </w:tc>
        <w:tc>
          <w:tcPr>
            <w:tcW w:w="10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11/28/2022-01/01/2023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1,129,348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780" w:type="dxa"/>
            <w:vAlign w:val="bottom"/>
            <w:gridSpan w:val="3"/>
          </w:tcPr>
          <w:p>
            <w:pPr>
              <w:ind w:left="220"/>
              <w:spacing w:after="0"/>
              <w:rPr>
                <w:sz w:val="20"/>
                <w:szCs w:val="20"/>
                <w:color w:val="auto"/>
              </w:rPr>
            </w:pPr>
            <w:r>
              <w:rPr>
                <w:rFonts w:ascii="Arial" w:cs="Arial" w:eastAsia="Arial" w:hAnsi="Arial"/>
                <w:sz w:val="18"/>
                <w:szCs w:val="18"/>
                <w:color w:val="auto"/>
              </w:rPr>
              <w:t>DEFAULTS UPON SENIOR SECURITIES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0" w:type="dxa"/>
            <w:vAlign w:val="bottom"/>
            <w:gridSpan w:val="2"/>
          </w:tcPr>
          <w:p>
            <w:pPr>
              <w:spacing w:after="0"/>
              <w:rPr>
                <w:sz w:val="20"/>
                <w:szCs w:val="20"/>
                <w:color w:val="auto"/>
              </w:rPr>
            </w:pPr>
            <w:r>
              <w:rPr>
                <w:rFonts w:ascii="Arial" w:cs="Arial" w:eastAsia="Arial" w:hAnsi="Arial"/>
                <w:sz w:val="18"/>
                <w:szCs w:val="18"/>
                <w:color w:val="auto"/>
              </w:rPr>
              <w:t>None.</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780" w:type="dxa"/>
            <w:vAlign w:val="bottom"/>
            <w:gridSpan w:val="3"/>
          </w:tcPr>
          <w:p>
            <w:pPr>
              <w:ind w:left="220"/>
              <w:spacing w:after="0"/>
              <w:rPr>
                <w:sz w:val="20"/>
                <w:szCs w:val="20"/>
                <w:color w:val="auto"/>
              </w:rPr>
            </w:pPr>
            <w:r>
              <w:rPr>
                <w:rFonts w:ascii="Arial" w:cs="Arial" w:eastAsia="Arial" w:hAnsi="Arial"/>
                <w:sz w:val="18"/>
                <w:szCs w:val="18"/>
                <w:color w:val="auto"/>
              </w:rPr>
              <w:t>MINE SAFETY DISCLOSURES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12"/>
              <w:spacing w:after="0"/>
              <w:rPr>
                <w:sz w:val="20"/>
                <w:szCs w:val="20"/>
                <w:color w:val="auto"/>
              </w:rPr>
            </w:pPr>
            <w:r>
              <w:rPr>
                <w:rFonts w:ascii="Arial" w:cs="Arial" w:eastAsia="Arial" w:hAnsi="Arial"/>
                <w:sz w:val="18"/>
                <w:szCs w:val="18"/>
                <w:color w:val="auto"/>
                <w:w w:val="98"/>
              </w:rPr>
              <w:t>ITEM 6.</w:t>
            </w:r>
          </w:p>
        </w:tc>
        <w:tc>
          <w:tcPr>
            <w:tcW w:w="7920" w:type="dxa"/>
            <w:vAlign w:val="bottom"/>
            <w:gridSpan w:val="7"/>
          </w:tcPr>
          <w:p>
            <w:pPr>
              <w:ind w:left="200"/>
              <w:spacing w:after="0"/>
              <w:rPr>
                <w:sz w:val="20"/>
                <w:szCs w:val="20"/>
                <w:color w:val="auto"/>
              </w:rPr>
            </w:pPr>
            <w:r>
              <w:rPr>
                <w:rFonts w:ascii="Arial" w:cs="Arial" w:eastAsia="Arial" w:hAnsi="Arial"/>
                <w:sz w:val="18"/>
                <w:szCs w:val="18"/>
                <w:color w:val="auto"/>
              </w:rPr>
              <w:t>EXHIBITS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840" w:type="dxa"/>
            <w:vAlign w:val="bottom"/>
          </w:tcPr>
          <w:p>
            <w:pPr>
              <w:jc w:val="right"/>
              <w:ind w:right="52"/>
              <w:spacing w:after="0"/>
              <w:rPr>
                <w:sz w:val="20"/>
                <w:szCs w:val="20"/>
                <w:color w:val="auto"/>
              </w:rPr>
            </w:pPr>
            <w:r>
              <w:rPr>
                <w:rFonts w:ascii="Arial" w:cs="Arial" w:eastAsia="Arial" w:hAnsi="Arial"/>
                <w:sz w:val="14"/>
                <w:szCs w:val="14"/>
                <w:color w:val="auto"/>
              </w:rPr>
              <w:t>Exhibit</w:t>
            </w:r>
          </w:p>
        </w:tc>
        <w:tc>
          <w:tcPr>
            <w:tcW w:w="2700" w:type="dxa"/>
            <w:vAlign w:val="bottom"/>
          </w:tcPr>
          <w:p>
            <w:pPr>
              <w:spacing w:after="0"/>
              <w:rPr>
                <w:sz w:val="16"/>
                <w:szCs w:val="16"/>
                <w:color w:val="auto"/>
              </w:rPr>
            </w:pPr>
          </w:p>
        </w:tc>
        <w:tc>
          <w:tcPr>
            <w:tcW w:w="5220" w:type="dxa"/>
            <w:vAlign w:val="bottom"/>
            <w:gridSpan w:val="6"/>
          </w:tcPr>
          <w:p>
            <w:pPr>
              <w:ind w:left="840"/>
              <w:spacing w:after="0"/>
              <w:rPr>
                <w:sz w:val="20"/>
                <w:szCs w:val="20"/>
                <w:color w:val="auto"/>
              </w:rPr>
            </w:pPr>
            <w:r>
              <w:rPr>
                <w:rFonts w:ascii="Arial" w:cs="Arial" w:eastAsia="Arial" w:hAnsi="Arial"/>
                <w:sz w:val="14"/>
                <w:szCs w:val="14"/>
                <w:color w:val="auto"/>
              </w:rPr>
              <w:t>Description</w:t>
            </w:r>
          </w:p>
        </w:tc>
        <w:tc>
          <w:tcPr>
            <w:tcW w:w="740" w:type="dxa"/>
            <w:vAlign w:val="bottom"/>
          </w:tcPr>
          <w:p>
            <w:pPr>
              <w:spacing w:after="0"/>
              <w:rPr>
                <w:sz w:val="16"/>
                <w:szCs w:val="16"/>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3540" w:type="dxa"/>
            <w:vAlign w:val="bottom"/>
            <w:gridSpan w:val="2"/>
          </w:tcPr>
          <w:p>
            <w:pPr>
              <w:spacing w:after="0"/>
              <w:rPr>
                <w:rFonts w:ascii="Arial" w:cs="Arial" w:eastAsia="Arial" w:hAnsi="Arial"/>
                <w:sz w:val="18"/>
                <w:szCs w:val="18"/>
                <w:color w:val="0000FF"/>
              </w:rPr>
            </w:pPr>
            <w:hyperlink r:id="rId31">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720" w:type="dxa"/>
            <w:vAlign w:val="bottom"/>
            <w:gridSpan w:val="2"/>
          </w:tcPr>
          <w:p>
            <w:pPr>
              <w:spacing w:after="0"/>
              <w:rPr>
                <w:sz w:val="18"/>
                <w:szCs w:val="18"/>
                <w:color w:val="auto"/>
              </w:rPr>
            </w:pPr>
          </w:p>
        </w:tc>
        <w:tc>
          <w:tcPr>
            <w:tcW w:w="3660" w:type="dxa"/>
            <w:vAlign w:val="bottom"/>
            <w:gridSpan w:val="3"/>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920" w:type="dxa"/>
            <w:vAlign w:val="bottom"/>
            <w:gridSpan w:val="7"/>
          </w:tcPr>
          <w:p>
            <w:pPr>
              <w:spacing w:after="0"/>
              <w:rPr>
                <w:rFonts w:ascii="Arial" w:cs="Arial" w:eastAsia="Arial" w:hAnsi="Arial"/>
                <w:sz w:val="18"/>
                <w:szCs w:val="18"/>
                <w:color w:val="0000FF"/>
              </w:rPr>
            </w:pPr>
            <w:hyperlink r:id="rId32">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7920" w:type="dxa"/>
            <w:vAlign w:val="bottom"/>
            <w:gridSpan w:val="7"/>
          </w:tcPr>
          <w:p>
            <w:pPr>
              <w:spacing w:after="0"/>
              <w:rPr>
                <w:sz w:val="20"/>
                <w:szCs w:val="20"/>
                <w:color w:val="auto"/>
              </w:rPr>
            </w:pPr>
            <w:r>
              <w:rPr>
                <w:rFonts w:ascii="Arial" w:cs="Arial" w:eastAsia="Arial" w:hAnsi="Arial"/>
                <w:sz w:val="18"/>
                <w:szCs w:val="18"/>
                <w:color w:val="0000FF"/>
              </w:rPr>
              <w:t>Certification by Chief Executive Officer pursuant to Rule 13a-14(a) of the Exchange Act.</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69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by Chief Financial Officer pursuant to Rule 13a-14(a) of the Exchange Act.</w:t>
            </w:r>
          </w:p>
        </w:tc>
        <w:tc>
          <w:tcPr>
            <w:tcW w:w="940" w:type="dxa"/>
            <w:vAlign w:val="bottom"/>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4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Section 1350 Certification by Chief Executive Officer.</w:t>
            </w:r>
          </w:p>
        </w:tc>
        <w:tc>
          <w:tcPr>
            <w:tcW w:w="2660" w:type="dxa"/>
            <w:vAlign w:val="bottom"/>
            <w:tcBorders>
              <w:top w:val="single" w:sz="8" w:color="0000FF"/>
            </w:tcBorders>
          </w:tcPr>
          <w:p>
            <w:pPr>
              <w:spacing w:after="0"/>
              <w:rPr>
                <w:sz w:val="18"/>
                <w:szCs w:val="18"/>
                <w:color w:val="auto"/>
              </w:rPr>
            </w:pPr>
          </w:p>
        </w:tc>
        <w:tc>
          <w:tcPr>
            <w:tcW w:w="1000" w:type="dxa"/>
            <w:vAlign w:val="bottom"/>
            <w:gridSpan w:val="2"/>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Section 1350 Certification by Chief Financial Officer.</w:t>
            </w:r>
          </w:p>
        </w:tc>
        <w:tc>
          <w:tcPr>
            <w:tcW w:w="3760" w:type="dxa"/>
            <w:vAlign w:val="bottom"/>
            <w:gridSpan w:val="4"/>
          </w:tcPr>
          <w:p>
            <w:pPr>
              <w:spacing w:after="0"/>
              <w:rPr>
                <w:sz w:val="18"/>
                <w:szCs w:val="18"/>
                <w:color w:val="auto"/>
              </w:rPr>
            </w:pP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7920" w:type="dxa"/>
            <w:vAlign w:val="bottom"/>
            <w:gridSpan w:val="7"/>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ended January 1, 2023 filed with the SEC on February 1, 2023 formatted in Inline Extensible</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Business Reporting Language (iXBRL); (i) the Condensed Consolidated Balance Sheets at</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January 1, 2023 and April 3, 2022, (ii) the Condensed Consolidated Statements of Income for the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three and nine months ended January 1, 2023 and December 26, 2021, (iii) the Condensed</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Consolidated Statements of Comprehensive Income for the three and nine months ended</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January 1, 2023 and December 26, 2021, (iv) the Condensed Consolidated Statements of</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7920" w:type="dxa"/>
            <w:vAlign w:val="bottom"/>
            <w:gridSpan w:val="7"/>
          </w:tcPr>
          <w:p>
            <w:pPr>
              <w:spacing w:after="0" w:line="189" w:lineRule="exact"/>
              <w:rPr>
                <w:sz w:val="20"/>
                <w:szCs w:val="20"/>
                <w:color w:val="auto"/>
              </w:rPr>
            </w:pPr>
            <w:r>
              <w:rPr>
                <w:rFonts w:ascii="Arial" w:cs="Arial" w:eastAsia="Arial" w:hAnsi="Arial"/>
                <w:sz w:val="18"/>
                <w:szCs w:val="18"/>
                <w:color w:val="auto"/>
              </w:rPr>
              <w:t>Shareholder's Equity for the three and nine months ended January 1, 2023 and December 26,</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2021, (v) the Condensed Consolidated Statements of Cash Flows for the nine months ended</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January 1, 2023 and December 26, 2021, and (vi) Notes to Condensed Consolidated Financial</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auto"/>
              </w:rPr>
              <w:t>Statements.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9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80" w:lineRule="exact"/>
        <w:rPr>
          <w:sz w:val="20"/>
          <w:szCs w:val="20"/>
          <w:color w:val="auto"/>
        </w:rPr>
      </w:pPr>
    </w:p>
    <w:p>
      <w:pPr>
        <w:ind w:left="580" w:right="26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2, 2021.</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23"/>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0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17"/>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2023</w:t>
      </w:r>
    </w:p>
    <w:p>
      <w:pPr>
        <w:sectPr>
          <w:pgSz w:w="11900" w:h="16838" w:orient="portrait"/>
          <w:cols w:equalWidth="0" w:num="1">
            <w:col w:w="11120"/>
          </w:cols>
          <w:pgMar w:left="320" w:top="886"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2023</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2023</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January 1, 2023,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Patrick H. Hawkins</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Patrick H. Hawkins</w:t>
      </w:r>
    </w:p>
    <w:p>
      <w:pPr>
        <w:spacing w:after="0" w:line="22" w:lineRule="exact"/>
        <w:rPr>
          <w:rFonts w:ascii="Arial" w:cs="Arial" w:eastAsia="Arial" w:hAnsi="Arial"/>
          <w:sz w:val="18"/>
          <w:szCs w:val="18"/>
          <w:color w:val="auto"/>
        </w:rPr>
      </w:pPr>
    </w:p>
    <w:p>
      <w:pPr>
        <w:ind w:left="80" w:right="8180"/>
        <w:spacing w:after="0" w:line="277" w:lineRule="auto"/>
        <w:rPr>
          <w:rFonts w:ascii="Arial" w:cs="Arial" w:eastAsia="Arial" w:hAnsi="Arial"/>
          <w:sz w:val="18"/>
          <w:szCs w:val="18"/>
          <w:color w:val="auto"/>
        </w:rPr>
      </w:pPr>
      <w:r>
        <w:rPr>
          <w:rFonts w:ascii="Arial" w:cs="Arial" w:eastAsia="Arial" w:hAnsi="Arial"/>
          <w:sz w:val="18"/>
          <w:szCs w:val="18"/>
          <w:color w:val="auto"/>
        </w:rPr>
        <w:t>Chief Executive Officer and President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2588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January 1, 2023,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Jeffrey P. Oldenkamp</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Jeffrey P. Oldenkamp</w:t>
      </w:r>
    </w:p>
    <w:p>
      <w:pPr>
        <w:spacing w:after="0" w:line="22" w:lineRule="exact"/>
        <w:rPr>
          <w:rFonts w:ascii="Arial" w:cs="Arial" w:eastAsia="Arial" w:hAnsi="Arial"/>
          <w:sz w:val="18"/>
          <w:szCs w:val="18"/>
          <w:color w:val="auto"/>
        </w:rPr>
      </w:pPr>
    </w:p>
    <w:p>
      <w:pPr>
        <w:ind w:left="80" w:right="7020"/>
        <w:spacing w:after="0" w:line="277"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3257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18" Type="http://schemas.openxmlformats.org/officeDocument/2006/relationships/hyperlink" Target="http://www.sec.gov/ix?doc=/Archives/edgar/data/46250/000004625022000016/hwkn-20220403.htm" TargetMode="External"/><Relationship Id="rId31" Type="http://schemas.openxmlformats.org/officeDocument/2006/relationships/hyperlink" Target="http://www.sec.gov/Archives/edgar/data/46250/000004625021000012/exhibit32.htm" TargetMode="External"/><Relationship Id="rId32"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2023-02-01T15:45:33Z</dcterms:created>
  <dcterms:modified xsi:type="dcterms:W3CDTF">2023-02-01T15:45:33Z</dcterms:modified>
</cp:coreProperties>
</file>