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Louismet Dan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60" w:type="dxa"/>
            <w:vAlign w:val="bottom"/>
            <w:tcBorders>
              <w:top w:val="single" w:sz="8" w:color="0000EE"/>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HAWKINS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HWKN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ROSEVILLE MN</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VP, GC and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6.005</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Joshua L. Colburn,</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19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Richard G. Erstad, Steven C. Kennedy, Joshua L. Colburn, Lexi J. Pitz, and Amra Hoso, with full power of substitution and re-substitution, acting individually, as the undersigned’s true and lawful attorney-in-fact (each of such persons and their substitutes hereafter referred to as an “</w:t>
      </w:r>
      <w:r>
        <w:rPr>
          <w:rFonts w:ascii="Times New Roman" w:cs="Times New Roman" w:eastAsia="Times New Roman" w:hAnsi="Times New Roman"/>
          <w:sz w:val="24"/>
          <w:szCs w:val="24"/>
          <w:i w:val="1"/>
          <w:iCs w:val="1"/>
          <w:color w:val="auto"/>
        </w:rPr>
        <w:t>Attorney-in-Fact</w:t>
      </w:r>
      <w:r>
        <w:rPr>
          <w:rFonts w:ascii="Times New Roman" w:cs="Times New Roman" w:eastAsia="Times New Roman" w:hAnsi="Times New Roman"/>
          <w:sz w:val="24"/>
          <w:szCs w:val="24"/>
          <w:color w:val="auto"/>
        </w:rPr>
        <w:t>”), with full power and authority as hereinafter described on behalf of and in the undersigned’s name, place and stead, in any and all capacities to:</w:t>
      </w:r>
    </w:p>
    <w:p>
      <w:pPr>
        <w:spacing w:after="0" w:line="2" w:lineRule="exact"/>
        <w:rPr>
          <w:sz w:val="20"/>
          <w:szCs w:val="20"/>
          <w:color w:val="auto"/>
        </w:rPr>
      </w:pPr>
    </w:p>
    <w:p>
      <w:pPr>
        <w:jc w:val="both"/>
        <w:ind w:left="3600" w:right="360" w:hanging="719"/>
        <w:spacing w:after="0" w:line="234" w:lineRule="auto"/>
        <w:tabs>
          <w:tab w:leader="none" w:pos="357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such actions as may be necessary or appropriate to enable the undersigned to submit and file forms, schedules, and other documents with the U.S. Securities and Exchange Commission (“</w:t>
      </w:r>
      <w:r>
        <w:rPr>
          <w:rFonts w:ascii="Times New Roman" w:cs="Times New Roman" w:eastAsia="Times New Roman" w:hAnsi="Times New Roman"/>
          <w:sz w:val="24"/>
          <w:szCs w:val="24"/>
          <w:i w:val="1"/>
          <w:iCs w:val="1"/>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i w:val="1"/>
          <w:iCs w:val="1"/>
          <w:color w:val="auto"/>
        </w:rPr>
        <w:t>EDGAR</w:t>
      </w:r>
      <w:r>
        <w:rPr>
          <w:rFonts w:ascii="Times New Roman" w:cs="Times New Roman" w:eastAsia="Times New Roman" w:hAnsi="Times New Roman"/>
          <w:sz w:val="24"/>
          <w:szCs w:val="24"/>
          <w:color w:val="auto"/>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Hawkins, Inc. (the “</w:t>
      </w:r>
      <w:r>
        <w:rPr>
          <w:rFonts w:ascii="Times New Roman" w:cs="Times New Roman" w:eastAsia="Times New Roman" w:hAnsi="Times New Roman"/>
          <w:sz w:val="24"/>
          <w:szCs w:val="24"/>
          <w:i w:val="1"/>
          <w:iCs w:val="1"/>
          <w:color w:val="auto"/>
        </w:rPr>
        <w:t>Company</w:t>
      </w:r>
      <w:r>
        <w:rPr>
          <w:rFonts w:ascii="Times New Roman" w:cs="Times New Roman" w:eastAsia="Times New Roman" w:hAnsi="Times New Roman"/>
          <w:sz w:val="24"/>
          <w:szCs w:val="24"/>
          <w:color w:val="auto"/>
        </w:rPr>
        <w:t>”) and other appropriate entities authority from the undersigned’s EDGAR account, and (d) taking any other actions contemplated by Rule 10 of Regulation ST;</w:t>
      </w:r>
    </w:p>
    <w:p>
      <w:pPr>
        <w:spacing w:after="0" w:line="14" w:lineRule="exact"/>
        <w:rPr>
          <w:rFonts w:ascii="Times New Roman" w:cs="Times New Roman" w:eastAsia="Times New Roman" w:hAnsi="Times New Roman"/>
          <w:sz w:val="24"/>
          <w:szCs w:val="24"/>
          <w:color w:val="auto"/>
        </w:rPr>
      </w:pPr>
    </w:p>
    <w:p>
      <w:pPr>
        <w:jc w:val="both"/>
        <w:ind w:left="3600" w:right="360" w:hanging="719"/>
        <w:spacing w:after="0" w:line="234" w:lineRule="auto"/>
        <w:tabs>
          <w:tab w:leader="none" w:pos="357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rFonts w:ascii="Times New Roman" w:cs="Times New Roman" w:eastAsia="Times New Roman" w:hAnsi="Times New Roman"/>
          <w:sz w:val="24"/>
          <w:szCs w:val="24"/>
          <w:i w:val="1"/>
          <w:iCs w:val="1"/>
          <w:color w:val="auto"/>
        </w:rPr>
        <w:t>Exchange Act</w:t>
      </w:r>
      <w:r>
        <w:rPr>
          <w:rFonts w:ascii="Times New Roman" w:cs="Times New Roman" w:eastAsia="Times New Roman" w:hAnsi="Times New Roman"/>
          <w:sz w:val="24"/>
          <w:szCs w:val="24"/>
          <w:color w:val="auto"/>
        </w:rPr>
        <w:t>”) the rules and regulations promulgated thereunder, and Forms 144 in accordance with Rule 144 under the Securities Act of 1933, as amended (the “</w:t>
      </w:r>
      <w:r>
        <w:rPr>
          <w:rFonts w:ascii="Times New Roman" w:cs="Times New Roman" w:eastAsia="Times New Roman" w:hAnsi="Times New Roman"/>
          <w:sz w:val="24"/>
          <w:szCs w:val="24"/>
          <w:i w:val="1"/>
          <w:iCs w:val="1"/>
          <w:color w:val="auto"/>
        </w:rPr>
        <w:t>Securities Act</w:t>
      </w:r>
      <w:r>
        <w:rPr>
          <w:rFonts w:ascii="Times New Roman" w:cs="Times New Roman" w:eastAsia="Times New Roman" w:hAnsi="Times New Roman"/>
          <w:sz w:val="24"/>
          <w:szCs w:val="24"/>
          <w:color w:val="auto"/>
        </w:rPr>
        <w:t>”);</w:t>
      </w:r>
    </w:p>
    <w:p>
      <w:pPr>
        <w:spacing w:after="0" w:line="11" w:lineRule="exact"/>
        <w:rPr>
          <w:rFonts w:ascii="Times New Roman" w:cs="Times New Roman" w:eastAsia="Times New Roman" w:hAnsi="Times New Roman"/>
          <w:sz w:val="24"/>
          <w:szCs w:val="24"/>
          <w:color w:val="auto"/>
        </w:rPr>
      </w:pPr>
    </w:p>
    <w:p>
      <w:pPr>
        <w:jc w:val="both"/>
        <w:ind w:left="3600" w:right="360" w:hanging="719"/>
        <w:spacing w:after="0" w:line="234" w:lineRule="auto"/>
        <w:tabs>
          <w:tab w:leader="none" w:pos="357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p>
    <w:p>
      <w:pPr>
        <w:spacing w:after="0" w:line="6" w:lineRule="exact"/>
        <w:rPr>
          <w:rFonts w:ascii="Times New Roman" w:cs="Times New Roman" w:eastAsia="Times New Roman" w:hAnsi="Times New Roman"/>
          <w:sz w:val="24"/>
          <w:szCs w:val="24"/>
          <w:color w:val="auto"/>
        </w:rPr>
      </w:pPr>
    </w:p>
    <w:p>
      <w:pPr>
        <w:jc w:val="both"/>
        <w:ind w:left="3600" w:right="360" w:hanging="719"/>
        <w:spacing w:after="0" w:line="234" w:lineRule="auto"/>
        <w:tabs>
          <w:tab w:leader="none" w:pos="357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p>
    <w:p>
      <w:pPr>
        <w:spacing w:after="0" w:line="7" w:lineRule="exact"/>
        <w:rPr>
          <w:rFonts w:ascii="Times New Roman" w:cs="Times New Roman" w:eastAsia="Times New Roman" w:hAnsi="Times New Roman"/>
          <w:sz w:val="24"/>
          <w:szCs w:val="24"/>
          <w:color w:val="auto"/>
        </w:rPr>
      </w:pPr>
    </w:p>
    <w:p>
      <w:pPr>
        <w:jc w:val="both"/>
        <w:ind w:left="3600" w:right="360" w:hanging="719"/>
        <w:spacing w:after="0" w:line="236" w:lineRule="auto"/>
        <w:tabs>
          <w:tab w:leader="none" w:pos="357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720090</wp:posOffset>
            </wp:positionV>
            <wp:extent cx="6946900" cy="95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4"/>
          <w:szCs w:val="24"/>
          <w:color w:val="auto"/>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March 13, 2026.</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w:t>
      </w:r>
      <w:r>
        <w:rPr>
          <w:rFonts w:ascii="Times New Roman" w:cs="Times New Roman" w:eastAsia="Times New Roman" w:hAnsi="Times New Roman"/>
          <w:sz w:val="24"/>
          <w:szCs w:val="24"/>
          <w:u w:val="single" w:color="auto"/>
          <w:color w:val="auto"/>
        </w:rPr>
        <w:t>/s/: Dan Louismet</w:t>
      </w:r>
    </w:p>
    <w:p>
      <w:pPr>
        <w:spacing w:after="0" w:line="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4"/>
          <w:szCs w:val="24"/>
          <w:color w:val="auto"/>
        </w:rPr>
        <w:t>Name:</w:t>
        <w:tab/>
        <w:t>Dan Louismet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STATE OF MINNESOTACOUNTY OF RAMSEY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This instrument was acknowledged before me on March 13, 2026 by Dan Louismet.</w:t>
      </w:r>
    </w:p>
    <w:p>
      <w:pPr>
        <w:spacing w:after="0" w:line="378" w:lineRule="exact"/>
        <w:rPr>
          <w:sz w:val="20"/>
          <w:szCs w:val="20"/>
          <w:color w:val="auto"/>
        </w:rPr>
      </w:pPr>
    </w:p>
    <w:tbl>
      <w:tblPr>
        <w:tblLayout w:type="fixed"/>
        <w:tblInd w:w="4680" w:type="dxa"/>
        <w:tblCellMar>
          <w:top w:w="0" w:type="dxa"/>
          <w:left w:w="0" w:type="dxa"/>
          <w:bottom w:w="0" w:type="dxa"/>
          <w:right w:w="0" w:type="dxa"/>
        </w:tblCellMar>
      </w:tblPr>
      <w:tr>
        <w:trPr>
          <w:trHeight w:val="276"/>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w w:val="99"/>
              </w:rPr>
              <w:t>/s/ Richard G. Erstad</w:t>
            </w:r>
          </w:p>
        </w:tc>
        <w:tc>
          <w:tcPr>
            <w:tcW w:w="2400" w:type="dxa"/>
            <w:vAlign w:val="bottom"/>
          </w:tcPr>
          <w:p>
            <w:pPr>
              <w:spacing w:after="0"/>
              <w:rPr>
                <w:sz w:val="23"/>
                <w:szCs w:val="23"/>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24"/>
                <w:szCs w:val="24"/>
                <w:color w:val="auto"/>
                <w:w w:val="98"/>
              </w:rPr>
              <w:t>Notary Public</w:t>
            </w:r>
          </w:p>
        </w:tc>
      </w:tr>
      <w:tr>
        <w:trPr>
          <w:trHeight w:val="307"/>
        </w:trPr>
        <w:tc>
          <w:tcPr>
            <w:tcW w:w="442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My Commission Expires: January 31, 2030</w:t>
            </w:r>
          </w:p>
        </w:tc>
        <w:tc>
          <w:tcPr>
            <w:tcW w:w="15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4488"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2026-05-20T15:27:29Z</dcterms:created>
  <dcterms:modified xsi:type="dcterms:W3CDTF">2026-05-20T15:27:29Z</dcterms:modified>
</cp:coreProperties>
</file>