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September 30, 2012</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0-7647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2020" w:type="dxa"/>
        <w:tblCellMar>
          <w:top w:w="0" w:type="dxa"/>
          <w:left w:w="0" w:type="dxa"/>
          <w:bottom w:w="0" w:type="dxa"/>
          <w:right w:w="0" w:type="dxa"/>
        </w:tblCellMar>
      </w:tblPr>
      <w:tr>
        <w:trPr>
          <w:trHeight w:val="218"/>
        </w:trPr>
        <w:tc>
          <w:tcPr>
            <w:tcW w:w="3920" w:type="dxa"/>
            <w:vAlign w:val="bottom"/>
          </w:tcPr>
          <w:p>
            <w:pPr>
              <w:jc w:val="center"/>
              <w:ind w:right="2106"/>
              <w:spacing w:after="0"/>
              <w:rPr>
                <w:sz w:val="20"/>
                <w:szCs w:val="20"/>
                <w:color w:val="auto"/>
              </w:rPr>
            </w:pPr>
            <w:r>
              <w:rPr>
                <w:rFonts w:ascii="Arial" w:cs="Arial" w:eastAsia="Arial" w:hAnsi="Arial"/>
                <w:sz w:val="18"/>
                <w:szCs w:val="18"/>
                <w:b w:val="1"/>
                <w:bCs w:val="1"/>
                <w:color w:val="auto"/>
                <w:w w:val="98"/>
              </w:rPr>
              <w:t>MINNESOTA</w:t>
            </w:r>
          </w:p>
        </w:tc>
        <w:tc>
          <w:tcPr>
            <w:tcW w:w="3240" w:type="dxa"/>
            <w:vAlign w:val="bottom"/>
          </w:tcPr>
          <w:p>
            <w:pPr>
              <w:jc w:val="center"/>
              <w:ind w:left="2106"/>
              <w:spacing w:after="0"/>
              <w:rPr>
                <w:sz w:val="20"/>
                <w:szCs w:val="20"/>
                <w:color w:val="auto"/>
              </w:rPr>
            </w:pPr>
            <w:r>
              <w:rPr>
                <w:rFonts w:ascii="Arial" w:cs="Arial" w:eastAsia="Arial" w:hAnsi="Arial"/>
                <w:sz w:val="18"/>
                <w:szCs w:val="18"/>
                <w:b w:val="1"/>
                <w:bCs w:val="1"/>
                <w:color w:val="auto"/>
                <w:w w:val="89"/>
              </w:rPr>
              <w:t>41-0771293</w:t>
            </w:r>
          </w:p>
        </w:tc>
      </w:tr>
      <w:tr>
        <w:trPr>
          <w:trHeight w:val="149"/>
        </w:trPr>
        <w:tc>
          <w:tcPr>
            <w:tcW w:w="3920" w:type="dxa"/>
            <w:vAlign w:val="bottom"/>
          </w:tcPr>
          <w:p>
            <w:pPr>
              <w:jc w:val="center"/>
              <w:ind w:right="210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240" w:type="dxa"/>
            <w:vAlign w:val="bottom"/>
          </w:tcPr>
          <w:p>
            <w:pPr>
              <w:jc w:val="center"/>
              <w:ind w:left="210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920" w:type="dxa"/>
            <w:vAlign w:val="bottom"/>
          </w:tcPr>
          <w:p>
            <w:pPr>
              <w:jc w:val="center"/>
              <w:ind w:right="2086"/>
              <w:spacing w:after="0"/>
              <w:rPr>
                <w:sz w:val="20"/>
                <w:szCs w:val="20"/>
                <w:color w:val="auto"/>
              </w:rPr>
            </w:pPr>
            <w:r>
              <w:rPr>
                <w:rFonts w:ascii="Arial" w:cs="Arial" w:eastAsia="Arial" w:hAnsi="Arial"/>
                <w:sz w:val="14"/>
                <w:szCs w:val="14"/>
                <w:b w:val="1"/>
                <w:bCs w:val="1"/>
                <w:color w:val="auto"/>
                <w:w w:val="88"/>
              </w:rPr>
              <w:t>incorporation or organization)</w:t>
            </w:r>
          </w:p>
        </w:tc>
        <w:tc>
          <w:tcPr>
            <w:tcW w:w="3240" w:type="dxa"/>
            <w:vAlign w:val="bottom"/>
          </w:tcPr>
          <w:p>
            <w:pPr>
              <w:jc w:val="center"/>
              <w:ind w:left="210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3100 EAST HENNEPIN AVENUE, MINNEAPOLIS, MINNESOTA 55413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(612) 331-6910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both"/>
        <w:ind w:right="2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8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(as defined in Rule 12b-2 of the Exchange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4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4780" w:type="dxa"/>
            <w:vAlign w:val="bottom"/>
            <w:gridSpan w:val="3"/>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4400" w:type="dxa"/>
            <w:vAlign w:val="bottom"/>
            <w:gridSpan w:val="2"/>
          </w:tcPr>
          <w:p>
            <w:pPr>
              <w:ind w:left="21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4780" w:type="dxa"/>
            <w:vAlign w:val="bottom"/>
            <w:gridSpan w:val="3"/>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4400" w:type="dxa"/>
            <w:vAlign w:val="bottom"/>
            <w:gridSpan w:val="2"/>
          </w:tcPr>
          <w:p>
            <w:pPr>
              <w:ind w:left="214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11020" w:type="dxa"/>
            <w:vAlign w:val="bottom"/>
            <w:gridSpan w:val="6"/>
          </w:tcPr>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11020" w:type="dxa"/>
            <w:vAlign w:val="bottom"/>
            <w:gridSpan w:val="6"/>
          </w:tcPr>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tc>
        <w:tc>
          <w:tcPr>
            <w:tcW w:w="400" w:type="dxa"/>
            <w:vAlign w:val="bottom"/>
          </w:tcPr>
          <w:p>
            <w:pPr>
              <w:spacing w:after="0"/>
              <w:rPr>
                <w:sz w:val="24"/>
                <w:szCs w:val="24"/>
                <w:color w:val="auto"/>
              </w:rPr>
            </w:pPr>
          </w:p>
        </w:tc>
      </w:tr>
      <w:tr>
        <w:trPr>
          <w:trHeight w:val="353"/>
        </w:trPr>
        <w:tc>
          <w:tcPr>
            <w:tcW w:w="1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CLASS</w:t>
            </w:r>
          </w:p>
        </w:tc>
        <w:tc>
          <w:tcPr>
            <w:tcW w:w="2580" w:type="dxa"/>
            <w:vAlign w:val="bottom"/>
          </w:tcPr>
          <w:p>
            <w:pPr>
              <w:spacing w:after="0"/>
              <w:rPr>
                <w:sz w:val="24"/>
                <w:szCs w:val="24"/>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 AT October 26, 2012</w:t>
            </w:r>
          </w:p>
        </w:tc>
        <w:tc>
          <w:tcPr>
            <w:tcW w:w="20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16"/>
        </w:trPr>
        <w:tc>
          <w:tcPr>
            <w:tcW w:w="1840" w:type="dxa"/>
            <w:vAlign w:val="bottom"/>
          </w:tcPr>
          <w:p>
            <w:pPr>
              <w:spacing w:after="0"/>
              <w:rPr>
                <w:sz w:val="18"/>
                <w:szCs w:val="18"/>
                <w:color w:val="auto"/>
              </w:rPr>
            </w:pPr>
          </w:p>
        </w:tc>
        <w:tc>
          <w:tcPr>
            <w:tcW w:w="1740" w:type="dxa"/>
            <w:vAlign w:val="bottom"/>
          </w:tcPr>
          <w:p>
            <w:pPr>
              <w:ind w:left="540"/>
              <w:spacing w:after="0"/>
              <w:rPr>
                <w:sz w:val="20"/>
                <w:szCs w:val="20"/>
                <w:color w:val="auto"/>
              </w:rPr>
            </w:pPr>
            <w:r>
              <w:rPr>
                <w:rFonts w:ascii="Arial" w:cs="Arial" w:eastAsia="Arial" w:hAnsi="Arial"/>
                <w:sz w:val="18"/>
                <w:szCs w:val="18"/>
                <w:color w:val="auto"/>
                <w:w w:val="92"/>
              </w:rPr>
              <w:t>Common Stock,</w:t>
            </w:r>
          </w:p>
        </w:tc>
        <w:tc>
          <w:tcPr>
            <w:tcW w:w="3040" w:type="dxa"/>
            <w:vAlign w:val="bottom"/>
            <w:gridSpan w:val="2"/>
          </w:tcPr>
          <w:p>
            <w:pPr>
              <w:spacing w:after="0"/>
              <w:rPr>
                <w:sz w:val="20"/>
                <w:szCs w:val="20"/>
                <w:color w:val="auto"/>
              </w:rPr>
            </w:pPr>
            <w:r>
              <w:rPr>
                <w:rFonts w:ascii="Arial" w:cs="Arial" w:eastAsia="Arial" w:hAnsi="Arial"/>
                <w:sz w:val="18"/>
                <w:szCs w:val="18"/>
                <w:color w:val="auto"/>
              </w:rPr>
              <w:t>par value $.05 per share</w:t>
            </w:r>
          </w:p>
        </w:tc>
        <w:tc>
          <w:tcPr>
            <w:tcW w:w="2380" w:type="dxa"/>
            <w:vAlign w:val="bottom"/>
          </w:tcPr>
          <w:p>
            <w:pPr>
              <w:jc w:val="right"/>
              <w:ind w:right="717"/>
              <w:spacing w:after="0"/>
              <w:rPr>
                <w:sz w:val="20"/>
                <w:szCs w:val="20"/>
                <w:color w:val="auto"/>
              </w:rPr>
            </w:pPr>
            <w:r>
              <w:rPr>
                <w:rFonts w:ascii="Arial" w:cs="Arial" w:eastAsia="Arial" w:hAnsi="Arial"/>
                <w:sz w:val="18"/>
                <w:szCs w:val="18"/>
                <w:color w:val="auto"/>
              </w:rPr>
              <w:t>10,540,552</w:t>
            </w:r>
          </w:p>
        </w:tc>
        <w:tc>
          <w:tcPr>
            <w:tcW w:w="202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115"/>
        </w:trPr>
        <w:tc>
          <w:tcPr>
            <w:tcW w:w="184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8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w:t>
            </w:r>
          </w:p>
        </w:tc>
        <w:tc>
          <w:tcPr>
            <w:tcW w:w="9520" w:type="dxa"/>
            <w:vAlign w:val="bottom"/>
            <w:gridSpan w:val="17"/>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3"/>
        </w:trPr>
        <w:tc>
          <w:tcPr>
            <w:tcW w:w="1240" w:type="dxa"/>
            <w:vAlign w:val="bottom"/>
            <w:gridSpan w:val="3"/>
            <w:vMerge w:val="continue"/>
          </w:tcPr>
          <w:p>
            <w:pPr>
              <w:spacing w:after="0"/>
              <w:rPr>
                <w:sz w:val="14"/>
                <w:szCs w:val="14"/>
                <w:color w:val="auto"/>
              </w:rPr>
            </w:pPr>
          </w:p>
        </w:tc>
        <w:tc>
          <w:tcPr>
            <w:tcW w:w="9520" w:type="dxa"/>
            <w:vAlign w:val="bottom"/>
            <w:gridSpan w:val="17"/>
            <w:vMerge w:val="continue"/>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5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5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September 30, 2012 and April 1, 2012</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80" w:type="dxa"/>
            <w:vAlign w:val="bottom"/>
            <w:tcBorders>
              <w:bottom w:val="single" w:sz="8" w:color="0000EE"/>
            </w:tcBorders>
            <w:gridSpan w:val="15"/>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Income – Three and Six Months Ended September 30, 2012 and October 2, 2011</w:t>
              </w:r>
            </w:hyperlink>
          </w:p>
        </w:tc>
        <w:tc>
          <w:tcPr>
            <w:tcW w:w="1040" w:type="dxa"/>
            <w:vAlign w:val="bottom"/>
            <w:gridSpan w:val="2"/>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520" w:type="dxa"/>
            <w:vAlign w:val="bottom"/>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 Three and Six Months Ended September 30, 2012 and October 2,</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Borders>
              <w:top w:val="single" w:sz="8" w:color="0000EE"/>
            </w:tcBorders>
            <w:gridSpan w:val="2"/>
          </w:tcPr>
          <w:p>
            <w:pPr>
              <w:ind w:left="22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2011</w:t>
              </w:r>
            </w:hyperlink>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7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52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 Six Months Ended September 30, 2012 and October 2, 2011</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6"/>
              </w:rPr>
            </w:pPr>
            <w:hyperlink w:anchor="page7">
              <w:r>
                <w:rPr>
                  <w:rFonts w:ascii="Arial" w:cs="Arial" w:eastAsia="Arial" w:hAnsi="Arial"/>
                  <w:sz w:val="18"/>
                  <w:szCs w:val="18"/>
                  <w:color w:val="0000EE"/>
                  <w:w w:val="86"/>
                </w:rPr>
                <w:t>Notes to Condensed Consolidated Financial Statements</w:t>
              </w:r>
            </w:hyperlink>
          </w:p>
        </w:tc>
        <w:tc>
          <w:tcPr>
            <w:tcW w:w="4120" w:type="dxa"/>
            <w:vAlign w:val="bottom"/>
            <w:tcBorders>
              <w:top w:val="single" w:sz="8" w:color="0000EE"/>
            </w:tcBorders>
            <w:gridSpan w:val="4"/>
          </w:tcPr>
          <w:p>
            <w:pPr>
              <w:spacing w:after="0"/>
              <w:rPr>
                <w:sz w:val="24"/>
                <w:szCs w:val="24"/>
                <w:color w:val="auto"/>
              </w:rPr>
            </w:pPr>
          </w:p>
        </w:tc>
        <w:tc>
          <w:tcPr>
            <w:tcW w:w="150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1240" w:type="dxa"/>
            <w:vAlign w:val="bottom"/>
            <w:gridSpan w:val="3"/>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13">
              <w:r>
                <w:rPr>
                  <w:rFonts w:ascii="Arial" w:cs="Arial" w:eastAsia="Arial" w:hAnsi="Arial"/>
                  <w:sz w:val="18"/>
                  <w:szCs w:val="18"/>
                  <w:color w:val="0000EE"/>
                  <w:w w:val="88"/>
                </w:rPr>
                <w:t>Management’s Discussion and Analysis of Financial Condition and Results of Operations</w:t>
              </w:r>
            </w:hyperlink>
          </w:p>
        </w:tc>
        <w:tc>
          <w:tcPr>
            <w:tcW w:w="322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4"/>
        </w:trPr>
        <w:tc>
          <w:tcPr>
            <w:tcW w:w="12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9520" w:type="dxa"/>
            <w:vAlign w:val="bottom"/>
            <w:gridSpan w:val="1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Quantitative and Qualitative Disclosures about Market Risk</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2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11"/>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Controls and Procedures</w:t>
              </w:r>
            </w:hyperlink>
          </w:p>
        </w:tc>
        <w:tc>
          <w:tcPr>
            <w:tcW w:w="532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560" w:type="dxa"/>
            <w:vAlign w:val="bottom"/>
            <w:gridSpan w:val="1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9520" w:type="dxa"/>
            <w:vAlign w:val="bottom"/>
            <w:gridSpan w:val="17"/>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OTHER INFORMATION</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5"/>
              </w:rPr>
            </w:pPr>
            <w:hyperlink w:anchor="page18">
              <w:r>
                <w:rPr>
                  <w:rFonts w:ascii="Arial" w:cs="Arial" w:eastAsia="Arial" w:hAnsi="Arial"/>
                  <w:sz w:val="18"/>
                  <w:szCs w:val="18"/>
                  <w:color w:val="0000EE"/>
                  <w:w w:val="85"/>
                </w:rPr>
                <w:t>Legal Proceedings</w:t>
              </w:r>
            </w:hyperlink>
          </w:p>
        </w:tc>
        <w:tc>
          <w:tcPr>
            <w:tcW w:w="660" w:type="dxa"/>
            <w:vAlign w:val="bottom"/>
            <w:tcBorders>
              <w:top w:val="single" w:sz="8" w:color="0000EE"/>
            </w:tcBorders>
            <w:gridSpan w:val="2"/>
          </w:tcPr>
          <w:p>
            <w:pPr>
              <w:spacing w:after="0"/>
              <w:rPr>
                <w:sz w:val="24"/>
                <w:szCs w:val="24"/>
                <w:color w:val="auto"/>
              </w:rPr>
            </w:pPr>
          </w:p>
        </w:tc>
        <w:tc>
          <w:tcPr>
            <w:tcW w:w="756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24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18">
              <w:r>
                <w:rPr>
                  <w:rFonts w:ascii="Arial" w:cs="Arial" w:eastAsia="Arial" w:hAnsi="Arial"/>
                  <w:sz w:val="18"/>
                  <w:szCs w:val="18"/>
                  <w:color w:val="0000EE"/>
                  <w:w w:val="85"/>
                </w:rPr>
                <w:t>Risk Factors</w:t>
              </w:r>
            </w:hyperlink>
          </w:p>
        </w:tc>
        <w:tc>
          <w:tcPr>
            <w:tcW w:w="8640" w:type="dxa"/>
            <w:vAlign w:val="bottom"/>
            <w:gridSpan w:val="1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4"/>
        </w:trPr>
        <w:tc>
          <w:tcPr>
            <w:tcW w:w="1240" w:type="dxa"/>
            <w:vAlign w:val="bottom"/>
            <w:gridSpan w:val="3"/>
          </w:tcPr>
          <w:p>
            <w:pPr>
              <w:spacing w:after="0"/>
              <w:rPr>
                <w:sz w:val="20"/>
                <w:szCs w:val="20"/>
                <w:color w:val="auto"/>
              </w:rPr>
            </w:pPr>
            <w:r>
              <w:rPr>
                <w:rFonts w:ascii="Arial" w:cs="Arial" w:eastAsia="Arial" w:hAnsi="Arial"/>
                <w:sz w:val="18"/>
                <w:szCs w:val="18"/>
                <w:color w:val="auto"/>
              </w:rPr>
              <w:t>Item 6.</w:t>
            </w:r>
          </w:p>
        </w:tc>
        <w:tc>
          <w:tcPr>
            <w:tcW w:w="9520" w:type="dxa"/>
            <w:vAlign w:val="bottom"/>
            <w:gridSpan w:val="1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240" w:type="dxa"/>
            <w:vAlign w:val="bottom"/>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Signatures</w:t>
              </w:r>
            </w:hyperlink>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Exhibit Index</w:t>
              </w:r>
            </w:hyperlink>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5720" w:type="dxa"/>
            <w:vAlign w:val="bottom"/>
            <w:gridSpan w:val="12"/>
          </w:tcPr>
          <w:p>
            <w:pPr>
              <w:ind w:left="444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ITEM 1.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2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share data)</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87"/>
              </w:rPr>
              <w:t>September 30,</w:t>
            </w:r>
          </w:p>
        </w:tc>
        <w:tc>
          <w:tcPr>
            <w:tcW w:w="220" w:type="dxa"/>
            <w:vAlign w:val="bottom"/>
          </w:tcPr>
          <w:p>
            <w:pPr>
              <w:spacing w:after="0"/>
              <w:rPr>
                <w:sz w:val="15"/>
                <w:szCs w:val="15"/>
                <w:color w:val="auto"/>
              </w:rPr>
            </w:pPr>
          </w:p>
        </w:tc>
        <w:tc>
          <w:tcPr>
            <w:tcW w:w="10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82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29,707</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Investments available-for-sale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17,888</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Trade receivables - less allowance for doubtful accounts: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$473 as of September 30, 2012 and $460 as of April 1, 2012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36,003</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Income taxes receivable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Total current assets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116,170</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110,855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 net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82,378</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73,265</w:t>
            </w:r>
          </w:p>
        </w:tc>
        <w:tc>
          <w:tcPr>
            <w:tcW w:w="0" w:type="dxa"/>
            <w:vAlign w:val="bottom"/>
          </w:tcPr>
          <w:p>
            <w:pPr>
              <w:spacing w:after="0"/>
              <w:rPr>
                <w:sz w:val="1"/>
                <w:szCs w:val="1"/>
                <w:color w:val="auto"/>
              </w:rPr>
            </w:pPr>
          </w:p>
        </w:tc>
      </w:tr>
      <w:tr>
        <w:trPr>
          <w:trHeight w:val="322"/>
        </w:trPr>
        <w:tc>
          <w:tcPr>
            <w:tcW w:w="82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6,495</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6,495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8,186</w:t>
            </w:r>
          </w:p>
        </w:tc>
        <w:tc>
          <w:tcPr>
            <w:tcW w:w="0" w:type="dxa"/>
            <w:vAlign w:val="bottom"/>
          </w:tcPr>
          <w:p>
            <w:pPr>
              <w:spacing w:after="0"/>
              <w:rPr>
                <w:sz w:val="1"/>
                <w:szCs w:val="1"/>
                <w:color w:val="auto"/>
              </w:rPr>
            </w:pPr>
          </w:p>
        </w:tc>
      </w:tr>
      <w:tr>
        <w:trPr>
          <w:trHeight w:val="322"/>
        </w:trPr>
        <w:tc>
          <w:tcPr>
            <w:tcW w:w="8220" w:type="dxa"/>
            <w:vAlign w:val="bottom"/>
            <w:gridSpan w:val="2"/>
          </w:tcPr>
          <w:p>
            <w:pPr>
              <w:spacing w:after="0"/>
              <w:rPr>
                <w:sz w:val="20"/>
                <w:szCs w:val="20"/>
                <w:color w:val="auto"/>
              </w:rPr>
            </w:pPr>
            <w:r>
              <w:rPr>
                <w:rFonts w:ascii="Arial" w:cs="Arial" w:eastAsia="Arial" w:hAnsi="Arial"/>
                <w:sz w:val="18"/>
                <w:szCs w:val="18"/>
                <w:color w:val="auto"/>
              </w:rPr>
              <w:t>LONG-TERM INVESTMENTS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7,555</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5,139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220,733</w:t>
            </w:r>
          </w:p>
        </w:tc>
        <w:tc>
          <w:tcPr>
            <w:tcW w:w="4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204,081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82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 trade</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25,609</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Dividends payable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3,584</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payroll and employee benefits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3,169</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Container deposits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accruals</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w:t>
            </w:r>
          </w:p>
        </w:tc>
        <w:tc>
          <w:tcPr>
            <w:tcW w:w="4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42,511</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36,289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331"/>
        </w:trPr>
        <w:tc>
          <w:tcPr>
            <w:tcW w:w="822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10,477</w:t>
            </w:r>
          </w:p>
        </w:tc>
        <w:tc>
          <w:tcPr>
            <w:tcW w:w="4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54,199</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47,474</w:t>
            </w:r>
          </w:p>
        </w:tc>
        <w:tc>
          <w:tcPr>
            <w:tcW w:w="0" w:type="dxa"/>
            <w:vAlign w:val="bottom"/>
          </w:tcPr>
          <w:p>
            <w:pPr>
              <w:spacing w:after="0"/>
              <w:rPr>
                <w:sz w:val="1"/>
                <w:szCs w:val="1"/>
                <w:color w:val="auto"/>
              </w:rPr>
            </w:pPr>
          </w:p>
        </w:tc>
      </w:tr>
      <w:tr>
        <w:trPr>
          <w:trHeight w:val="322"/>
        </w:trPr>
        <w:tc>
          <w:tcPr>
            <w:tcW w:w="82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w w:val="91"/>
              </w:rPr>
              <w:t>Common stock, par value $0.05; 10,540,552 shares issued and outstanding as of September 30, 2012 and</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0" w:type="dxa"/>
            <w:vAlign w:val="bottom"/>
          </w:tcPr>
          <w:p>
            <w:pPr>
              <w:ind w:left="640"/>
              <w:spacing w:after="0"/>
              <w:rPr>
                <w:sz w:val="20"/>
                <w:szCs w:val="20"/>
                <w:color w:val="auto"/>
              </w:rPr>
            </w:pPr>
            <w:r>
              <w:rPr>
                <w:rFonts w:ascii="Arial" w:cs="Arial" w:eastAsia="Arial" w:hAnsi="Arial"/>
                <w:sz w:val="18"/>
                <w:szCs w:val="18"/>
                <w:color w:val="auto"/>
              </w:rPr>
              <w:t>10,430,874 shares issued and outstanding as of April 1, 2012.</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524</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119,054</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0" w:type="dxa"/>
            <w:vAlign w:val="bottom"/>
          </w:tcPr>
          <w:p>
            <w:pPr>
              <w:ind w:left="860"/>
              <w:spacing w:after="0"/>
              <w:rPr>
                <w:sz w:val="20"/>
                <w:szCs w:val="20"/>
                <w:color w:val="auto"/>
              </w:rPr>
            </w:pPr>
            <w:r>
              <w:rPr>
                <w:rFonts w:ascii="Arial" w:cs="Arial" w:eastAsia="Arial" w:hAnsi="Arial"/>
                <w:sz w:val="18"/>
                <w:szCs w:val="18"/>
                <w:color w:val="auto"/>
              </w:rPr>
              <w:t>Total shareholders’ equity</w:t>
            </w: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166,534</w:t>
            </w:r>
          </w:p>
        </w:tc>
        <w:tc>
          <w:tcPr>
            <w:tcW w:w="4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156,607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shareholders’ equity</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220,733</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204,081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share and per-share data)</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2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Borders>
              <w:top w:val="single" w:sz="8" w:color="auto"/>
            </w:tcBorders>
            <w:gridSpan w:val="3"/>
          </w:tcPr>
          <w:p>
            <w:pPr>
              <w:jc w:val="right"/>
              <w:ind w:right="52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92"/>
              </w:rPr>
              <w:t>October 2,</w:t>
            </w:r>
          </w:p>
        </w:tc>
        <w:tc>
          <w:tcPr>
            <w:tcW w:w="480" w:type="dxa"/>
            <w:vAlign w:val="bottom"/>
          </w:tcPr>
          <w:p>
            <w:pPr>
              <w:spacing w:after="0"/>
              <w:rPr>
                <w:sz w:val="11"/>
                <w:szCs w:val="11"/>
                <w:color w:val="auto"/>
              </w:rPr>
            </w:pPr>
          </w:p>
        </w:tc>
        <w:tc>
          <w:tcPr>
            <w:tcW w:w="1360" w:type="dxa"/>
            <w:vAlign w:val="bottom"/>
            <w:tcBorders>
              <w:top w:val="single" w:sz="8" w:color="auto"/>
            </w:tcBorders>
            <w:gridSpan w:val="3"/>
          </w:tcPr>
          <w:p>
            <w:pPr>
              <w:jc w:val="right"/>
              <w:ind w:right="500"/>
              <w:spacing w:after="0" w:line="129" w:lineRule="exact"/>
              <w:rPr>
                <w:sz w:val="20"/>
                <w:szCs w:val="20"/>
                <w:color w:val="auto"/>
              </w:rPr>
            </w:pPr>
            <w:r>
              <w:rPr>
                <w:rFonts w:ascii="Arial" w:cs="Arial" w:eastAsia="Arial" w:hAnsi="Arial"/>
                <w:sz w:val="14"/>
                <w:szCs w:val="14"/>
                <w:b w:val="1"/>
                <w:bCs w:val="1"/>
                <w:color w:val="auto"/>
                <w:w w:val="87"/>
              </w:rPr>
              <w:t>September 30,</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74"/>
              <w:spacing w:after="0" w:line="129" w:lineRule="exact"/>
              <w:rPr>
                <w:sz w:val="20"/>
                <w:szCs w:val="20"/>
                <w:color w:val="auto"/>
              </w:rPr>
            </w:pPr>
            <w:r>
              <w:rPr>
                <w:rFonts w:ascii="Arial" w:cs="Arial" w:eastAsia="Arial" w:hAnsi="Arial"/>
                <w:sz w:val="14"/>
                <w:szCs w:val="14"/>
                <w:b w:val="1"/>
                <w:bCs w:val="1"/>
                <w:color w:val="auto"/>
                <w:w w:val="89"/>
              </w:rPr>
              <w:t>October 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87,160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87,870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177,259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3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(67,964)</w:t>
            </w:r>
          </w:p>
        </w:tc>
        <w:tc>
          <w:tcPr>
            <w:tcW w:w="8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(69,120)</w:t>
            </w:r>
          </w:p>
        </w:tc>
        <w:tc>
          <w:tcPr>
            <w:tcW w:w="10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(142,756)</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(139,787)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19,196</w:t>
            </w: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34,503</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32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(7,455)</w:t>
            </w:r>
          </w:p>
        </w:tc>
        <w:tc>
          <w:tcPr>
            <w:tcW w:w="8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(7,844)</w:t>
            </w:r>
          </w:p>
        </w:tc>
        <w:tc>
          <w:tcPr>
            <w:tcW w:w="10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(15,682)</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11,741</w:t>
            </w: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10,906</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18,821</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632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4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21,069</w:t>
            </w:r>
          </w:p>
        </w:tc>
        <w:tc>
          <w:tcPr>
            <w:tcW w:w="0" w:type="dxa"/>
            <w:vAlign w:val="bottom"/>
          </w:tcPr>
          <w:p>
            <w:pPr>
              <w:spacing w:after="0"/>
              <w:rPr>
                <w:sz w:val="1"/>
                <w:szCs w:val="1"/>
                <w:color w:val="auto"/>
              </w:rPr>
            </w:pPr>
          </w:p>
        </w:tc>
      </w:tr>
      <w:tr>
        <w:trPr>
          <w:trHeight w:val="323"/>
        </w:trPr>
        <w:tc>
          <w:tcPr>
            <w:tcW w:w="63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(4,545)</w:t>
            </w:r>
          </w:p>
        </w:tc>
        <w:tc>
          <w:tcPr>
            <w:tcW w:w="80" w:type="dxa"/>
            <w:vAlign w:val="bottom"/>
          </w:tcPr>
          <w:p>
            <w:pPr>
              <w:spacing w:after="0"/>
              <w:rPr>
                <w:sz w:val="24"/>
                <w:szCs w:val="2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(4,217)</w:t>
            </w:r>
          </w:p>
        </w:tc>
        <w:tc>
          <w:tcPr>
            <w:tcW w:w="100" w:type="dxa"/>
            <w:vAlign w:val="bottom"/>
          </w:tcPr>
          <w:p>
            <w:pPr>
              <w:spacing w:after="0"/>
              <w:rPr>
                <w:sz w:val="24"/>
                <w:szCs w:val="2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(7,290)</w:t>
            </w:r>
          </w:p>
        </w:tc>
        <w:tc>
          <w:tcPr>
            <w:tcW w:w="1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(7,998)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11,595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13,071</w:t>
            </w:r>
          </w:p>
        </w:tc>
        <w:tc>
          <w:tcPr>
            <w:tcW w:w="0" w:type="dxa"/>
            <w:vAlign w:val="bottom"/>
          </w:tcPr>
          <w:p>
            <w:pPr>
              <w:spacing w:after="0"/>
              <w:rPr>
                <w:sz w:val="1"/>
                <w:szCs w:val="1"/>
                <w:color w:val="auto"/>
              </w:rPr>
            </w:pPr>
          </w:p>
        </w:tc>
      </w:tr>
      <w:tr>
        <w:trPr>
          <w:trHeight w:val="331"/>
        </w:trPr>
        <w:tc>
          <w:tcPr>
            <w:tcW w:w="632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tax</w:t>
            </w: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11,613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13,628</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shares outstanding-basic</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10,458,922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10,322,768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10,444,898</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10,314,973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outstanding-diluted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10,519,400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10,365,372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10,513,213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10,362,847</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from continuing operations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Earnings per share from discontinued operations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earnings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per share from continuing operations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Earnings per share from discontinued operations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earnings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gridSpan w:val="2"/>
            <w:vMerge w:val="continue"/>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0.34</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0.32</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0.34</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22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w w:val="98"/>
              </w:rPr>
              <w:t>Three Months Ended</w:t>
            </w:r>
          </w:p>
        </w:tc>
        <w:tc>
          <w:tcPr>
            <w:tcW w:w="180" w:type="dxa"/>
            <w:vAlign w:val="bottom"/>
          </w:tcPr>
          <w:p>
            <w:pPr>
              <w:spacing w:after="0"/>
              <w:rPr>
                <w:sz w:val="14"/>
                <w:szCs w:val="14"/>
                <w:color w:val="auto"/>
              </w:rPr>
            </w:pPr>
          </w:p>
        </w:tc>
        <w:tc>
          <w:tcPr>
            <w:tcW w:w="18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Six Months Ended</w:t>
            </w:r>
          </w:p>
        </w:tc>
      </w:tr>
      <w:tr>
        <w:trPr>
          <w:trHeight w:val="129"/>
        </w:trPr>
        <w:tc>
          <w:tcPr>
            <w:tcW w:w="6980" w:type="dxa"/>
            <w:vAlign w:val="bottom"/>
          </w:tcPr>
          <w:p>
            <w:pPr>
              <w:spacing w:after="0"/>
              <w:rPr>
                <w:sz w:val="11"/>
                <w:szCs w:val="11"/>
                <w:color w:val="auto"/>
              </w:rPr>
            </w:pPr>
          </w:p>
        </w:tc>
        <w:tc>
          <w:tcPr>
            <w:tcW w:w="1300" w:type="dxa"/>
            <w:vAlign w:val="bottom"/>
            <w:tcBorders>
              <w:top w:val="single" w:sz="8" w:color="auto"/>
            </w:tcBorders>
            <w:gridSpan w:val="4"/>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6"/>
              </w:rPr>
              <w:t>October 2,</w:t>
            </w:r>
          </w:p>
        </w:tc>
        <w:tc>
          <w:tcPr>
            <w:tcW w:w="500" w:type="dxa"/>
            <w:vAlign w:val="bottom"/>
          </w:tcPr>
          <w:p>
            <w:pPr>
              <w:spacing w:after="0"/>
              <w:rPr>
                <w:sz w:val="11"/>
                <w:szCs w:val="11"/>
                <w:color w:val="auto"/>
              </w:rPr>
            </w:pPr>
          </w:p>
        </w:tc>
        <w:tc>
          <w:tcPr>
            <w:tcW w:w="13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6"/>
              </w:rPr>
              <w:t>October 2,</w:t>
            </w:r>
          </w:p>
        </w:tc>
        <w:tc>
          <w:tcPr>
            <w:tcW w:w="100" w:type="dxa"/>
            <w:vAlign w:val="bottom"/>
          </w:tcPr>
          <w:p>
            <w:pPr>
              <w:spacing w:after="0"/>
              <w:rPr>
                <w:sz w:val="11"/>
                <w:szCs w:val="11"/>
                <w:color w:val="auto"/>
              </w:rPr>
            </w:pPr>
          </w:p>
        </w:tc>
      </w:tr>
      <w:tr>
        <w:trPr>
          <w:trHeight w:val="161"/>
        </w:trPr>
        <w:tc>
          <w:tcPr>
            <w:tcW w:w="69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2011</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2012</w:t>
            </w:r>
          </w:p>
        </w:tc>
        <w:tc>
          <w:tcPr>
            <w:tcW w:w="4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11,613</w:t>
            </w: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$ 13,628</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gain (loss) on available-for-sale investments</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23"/>
        </w:trPr>
        <w:tc>
          <w:tcPr>
            <w:tcW w:w="6980" w:type="dxa"/>
            <w:vAlign w:val="bottom"/>
          </w:tcPr>
          <w:p>
            <w:pPr>
              <w:ind w:left="440"/>
              <w:spacing w:after="0"/>
              <w:rPr>
                <w:sz w:val="20"/>
                <w:szCs w:val="20"/>
                <w:color w:val="auto"/>
              </w:rPr>
            </w:pPr>
            <w:r>
              <w:rPr>
                <w:rFonts w:ascii="Arial" w:cs="Arial" w:eastAsia="Arial" w:hAnsi="Arial"/>
                <w:sz w:val="18"/>
                <w:szCs w:val="18"/>
                <w:color w:val="auto"/>
              </w:rPr>
              <w:t>Unrealizd gain on post-retirement liability</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480" w:type="dxa"/>
            <w:vAlign w:val="bottom"/>
          </w:tcPr>
          <w:p>
            <w:pPr>
              <w:spacing w:after="0"/>
              <w:rPr>
                <w:sz w:val="19"/>
                <w:szCs w:val="19"/>
                <w:color w:val="auto"/>
              </w:rPr>
            </w:pPr>
          </w:p>
        </w:tc>
        <w:tc>
          <w:tcPr>
            <w:tcW w:w="62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comprehensive income (loss)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r>
        <w:trPr>
          <w:trHeight w:val="222"/>
        </w:trPr>
        <w:tc>
          <w:tcPr>
            <w:tcW w:w="6980" w:type="dxa"/>
            <w:vAlign w:val="bottom"/>
          </w:tcPr>
          <w:p>
            <w:pPr>
              <w:spacing w:after="0"/>
              <w:rPr>
                <w:sz w:val="20"/>
                <w:szCs w:val="20"/>
                <w:color w:val="auto"/>
              </w:rPr>
            </w:pPr>
            <w:r>
              <w:rPr>
                <w:rFonts w:ascii="Arial" w:cs="Arial" w:eastAsia="Arial" w:hAnsi="Arial"/>
                <w:sz w:val="18"/>
                <w:szCs w:val="18"/>
                <w:color w:val="auto"/>
              </w:rPr>
              <w:t>Total comprehensive income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7,312</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6,890</w:t>
            </w: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11,697</w:t>
            </w:r>
          </w:p>
        </w:tc>
        <w:tc>
          <w:tcPr>
            <w:tcW w:w="4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$ 13,612</w:t>
            </w:r>
          </w:p>
        </w:tc>
        <w:tc>
          <w:tcPr>
            <w:tcW w:w="10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21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9120" w:type="dxa"/>
            <w:vAlign w:val="bottom"/>
            <w:gridSpan w:val="2"/>
            <w:vMerge w:val="continue"/>
          </w:tcPr>
          <w:p>
            <w:pPr>
              <w:spacing w:after="0"/>
              <w:rPr>
                <w:sz w:val="11"/>
                <w:szCs w:val="11"/>
                <w:color w:val="auto"/>
              </w:rPr>
            </w:pPr>
          </w:p>
        </w:tc>
        <w:tc>
          <w:tcPr>
            <w:tcW w:w="11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86"/>
              </w:rPr>
              <w:t>October 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11,613</w:t>
            </w: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Reconciliation to cash flows: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4,761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 compensation expense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Loss from property disposals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accounts providing (using) cash:</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1280"/>
              <w:spacing w:after="0"/>
              <w:rPr>
                <w:sz w:val="20"/>
                <w:szCs w:val="20"/>
                <w:color w:val="auto"/>
              </w:rPr>
            </w:pPr>
            <w:r>
              <w:rPr>
                <w:rFonts w:ascii="Arial" w:cs="Arial" w:eastAsia="Arial" w:hAnsi="Arial"/>
                <w:sz w:val="18"/>
                <w:szCs w:val="18"/>
                <w:color w:val="auto"/>
              </w:rPr>
              <w:t>Trade receivables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5,052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128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4,469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100" w:type="dxa"/>
            <w:vAlign w:val="bottom"/>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23,459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12,258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(11,883)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investments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Sale and maturities of investments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4,855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Proceeds from property disposals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(4,755)</w:t>
            </w:r>
          </w:p>
        </w:tc>
        <w:tc>
          <w:tcPr>
            <w:tcW w:w="0" w:type="dxa"/>
            <w:vAlign w:val="bottom"/>
          </w:tcPr>
          <w:p>
            <w:pPr>
              <w:spacing w:after="0"/>
              <w:rPr>
                <w:sz w:val="1"/>
                <w:szCs w:val="1"/>
                <w:color w:val="auto"/>
              </w:rPr>
            </w:pPr>
          </w:p>
        </w:tc>
      </w:tr>
      <w:tr>
        <w:trPr>
          <w:trHeight w:val="323"/>
        </w:trPr>
        <w:tc>
          <w:tcPr>
            <w:tcW w:w="91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dividends paid</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New shares issued</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options exercised</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Excess tax benefit from share-based compensation</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329"/>
        </w:trPr>
        <w:tc>
          <w:tcPr>
            <w:tcW w:w="912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1,141</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12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29,707</w:t>
            </w:r>
          </w:p>
        </w:tc>
        <w:tc>
          <w:tcPr>
            <w:tcW w:w="280" w:type="dxa"/>
            <w:vAlign w:val="bottom"/>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23,714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Cash paid for income taxes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2,659</w:t>
            </w: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4,728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investing activities-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Capital expenditures in accounts payable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2,167</w:t>
            </w: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for Form 10-Q and, accordingly, do not include all information and footnotes required by generally accepted accounting principles for complete financial statements. These statements should be read in conjunction with the consolidated financial statements and footnotes included in our Annual Report on Form 10-K for the fiscal year ended April 1, 2012, previously filed with the Securities and Exchange Commission (“SEC”). In the opinion of management, the accompanying unaudited condensed consolidated financial statements contain all adjustments necessary to present fairly our financial position and the results of our operations and cash flows for the periods presented. All adjustments made to the interim condensed consolidated financial statements were of a normal recurring nature.</w:t>
      </w:r>
    </w:p>
    <w:p>
      <w:pPr>
        <w:spacing w:after="0" w:line="12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accounting policies we follow are set forth in “Item 8. Financial Statements and Supplementary Data, Note 1 – Nature of Business and Significant Accounting Policies” to our consolidated financial statements in our Annual Report on Form 10-K for the fiscal year ended April 1, 2012 (“fiscal 2012”) filed with the SEC on June 1, 2012.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for the period ended September 30, 2012 are not necessarily indicative of the results that may be expected for the full year.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Earnings per Share</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Basic earnings per share (“EPS”) are computed by dividing net earnings by the weighted-average number of common shares outstanding. Diluted EPS includes the incremental shares assumed to be issued upon the exercise of stock options and the incremental shares assumed to be issued as performance units and restricted stock. Basic and diluted EPS were calculated using the following:</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3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2120" w:type="dxa"/>
            <w:vAlign w:val="bottom"/>
            <w:gridSpan w:val="4"/>
          </w:tcPr>
          <w:p>
            <w:pPr>
              <w:ind w:lef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8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3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4"/>
                <w:szCs w:val="14"/>
                <w:b w:val="1"/>
                <w:bCs w:val="1"/>
                <w:color w:val="auto"/>
              </w:rPr>
              <w:t>October 2,</w:t>
            </w:r>
          </w:p>
        </w:tc>
        <w:tc>
          <w:tcPr>
            <w:tcW w:w="300" w:type="dxa"/>
            <w:vAlign w:val="bottom"/>
          </w:tcPr>
          <w:p>
            <w:pPr>
              <w:spacing w:after="0"/>
              <w:rPr>
                <w:sz w:val="11"/>
                <w:szCs w:val="11"/>
                <w:color w:val="auto"/>
              </w:rPr>
            </w:pPr>
          </w:p>
        </w:tc>
        <w:tc>
          <w:tcPr>
            <w:tcW w:w="8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2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October 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860" w:type="dxa"/>
            <w:vAlign w:val="bottom"/>
          </w:tcPr>
          <w:p>
            <w:pPr>
              <w:jc w:val="right"/>
              <w:ind w:right="222"/>
              <w:spacing w:after="0"/>
              <w:rPr>
                <w:sz w:val="20"/>
                <w:szCs w:val="20"/>
                <w:color w:val="auto"/>
              </w:rPr>
            </w:pPr>
            <w:r>
              <w:rPr>
                <w:rFonts w:ascii="Arial" w:cs="Arial" w:eastAsia="Arial" w:hAnsi="Arial"/>
                <w:sz w:val="14"/>
                <w:szCs w:val="14"/>
                <w:b w:val="1"/>
                <w:bCs w:val="1"/>
                <w:color w:val="auto"/>
              </w:rPr>
              <w:t>2012</w:t>
            </w:r>
          </w:p>
        </w:tc>
        <w:tc>
          <w:tcPr>
            <w:tcW w:w="1140" w:type="dxa"/>
            <w:vAlign w:val="bottom"/>
            <w:gridSpan w:val="2"/>
          </w:tcPr>
          <w:p>
            <w:pPr>
              <w:jc w:val="right"/>
              <w:ind w:right="217"/>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860" w:type="dxa"/>
            <w:vAlign w:val="bottom"/>
          </w:tcPr>
          <w:p>
            <w:pPr>
              <w:jc w:val="right"/>
              <w:ind w:right="222"/>
              <w:spacing w:after="0"/>
              <w:rPr>
                <w:sz w:val="20"/>
                <w:szCs w:val="20"/>
                <w:color w:val="auto"/>
              </w:rPr>
            </w:pPr>
            <w:r>
              <w:rPr>
                <w:rFonts w:ascii="Arial" w:cs="Arial" w:eastAsia="Arial" w:hAnsi="Arial"/>
                <w:sz w:val="14"/>
                <w:szCs w:val="14"/>
                <w:b w:val="1"/>
                <w:bCs w:val="1"/>
                <w:color w:val="auto"/>
              </w:rPr>
              <w:t>2012</w:t>
            </w:r>
          </w:p>
        </w:tc>
        <w:tc>
          <w:tcPr>
            <w:tcW w:w="116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Weighted-average common shares outstanding – basic</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10,458,922</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10,322,768</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10,444,898</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10,314,973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Dilutive impact of stock options, performance units, and restricted stock</w:t>
            </w:r>
          </w:p>
        </w:tc>
        <w:tc>
          <w:tcPr>
            <w:tcW w:w="860" w:type="dxa"/>
            <w:vAlign w:val="bottom"/>
          </w:tcPr>
          <w:p>
            <w:pPr>
              <w:jc w:val="right"/>
              <w:spacing w:after="0"/>
              <w:rPr>
                <w:sz w:val="20"/>
                <w:szCs w:val="20"/>
                <w:color w:val="auto"/>
              </w:rPr>
            </w:pPr>
            <w:r>
              <w:rPr>
                <w:rFonts w:ascii="Arial" w:cs="Arial" w:eastAsia="Arial" w:hAnsi="Arial"/>
                <w:sz w:val="18"/>
                <w:szCs w:val="18"/>
                <w:color w:val="auto"/>
              </w:rPr>
              <w:t>60,478</w:t>
            </w:r>
          </w:p>
        </w:tc>
        <w:tc>
          <w:tcPr>
            <w:tcW w:w="3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42,604</w:t>
            </w:r>
          </w:p>
        </w:tc>
        <w:tc>
          <w:tcPr>
            <w:tcW w:w="860" w:type="dxa"/>
            <w:vAlign w:val="bottom"/>
          </w:tcPr>
          <w:p>
            <w:pPr>
              <w:jc w:val="right"/>
              <w:spacing w:after="0"/>
              <w:rPr>
                <w:sz w:val="20"/>
                <w:szCs w:val="20"/>
                <w:color w:val="auto"/>
              </w:rPr>
            </w:pPr>
            <w:r>
              <w:rPr>
                <w:rFonts w:ascii="Arial" w:cs="Arial" w:eastAsia="Arial" w:hAnsi="Arial"/>
                <w:sz w:val="18"/>
                <w:szCs w:val="18"/>
                <w:color w:val="auto"/>
              </w:rPr>
              <w:t>68,315</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47,874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 diluted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10,519,400</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10,365,372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10,513,213</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10,362,847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For the periods ended September 30, 2012 and October 2, 2011, there were no shares or stock options excluded from the calculation of weighted-average common shares for diluted EPS.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Discontinued Operations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February 2009, we agreed to sell our inventory and entered into a marketing agreement regarding the business of our Pharmaceutical segment, which provided pharmaceutical chemicals to retail pharmacies and small-scale pharmaceutical manufacturers. The agreement provided for annual payments based on a percentage of gross profit on future sales. We have no remaining obligations to fulfill under the agreement. All required payments under the agreement have been received with the final payment of $1.3 million received in the first quarter of fiscal 2013, generating a nominal gain in that quarter. We recorded a gain of approximately $0.3 million before taxes for the three months ended October 2, 2011 and approximately $0.9 million before taxes for the six months ended October 2, 2011. The results of the Pharmaceutical segment have been reported as discontinued operations for all periods presented.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Cash and Cash Equivalents and Investments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table presents information about our financial assets and liabilities that are measured at fair value on a recurring basis, and indicates the fair value hierarchy of the valuation techniques utilized to determine such fair value.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8"/>
              </w:rPr>
              <w:t>Description</w:t>
            </w:r>
          </w:p>
        </w:tc>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September 30,</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47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1020" w:type="dxa"/>
            <w:vAlign w:val="bottom"/>
          </w:tcPr>
          <w:p>
            <w:pPr>
              <w:jc w:val="center"/>
              <w:ind w:right="40"/>
              <w:spacing w:after="0" w:line="155" w:lineRule="exact"/>
              <w:rPr>
                <w:sz w:val="20"/>
                <w:szCs w:val="20"/>
                <w:color w:val="auto"/>
              </w:rPr>
            </w:pPr>
            <w:r>
              <w:rPr>
                <w:rFonts w:ascii="Arial" w:cs="Arial" w:eastAsia="Arial" w:hAnsi="Arial"/>
                <w:sz w:val="14"/>
                <w:szCs w:val="14"/>
                <w:b w:val="1"/>
                <w:bCs w:val="1"/>
                <w:color w:val="auto"/>
                <w:w w:val="83"/>
              </w:rPr>
              <w:t>2012</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92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3</w:t>
            </w:r>
          </w:p>
        </w:tc>
      </w:tr>
      <w:tr>
        <w:trPr>
          <w:trHeight w:val="196"/>
        </w:trPr>
        <w:tc>
          <w:tcPr>
            <w:tcW w:w="47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20" w:type="dxa"/>
            <w:vAlign w:val="bottom"/>
            <w:gridSpan w:val="2"/>
          </w:tcPr>
          <w:p>
            <w:pPr>
              <w:ind w:left="440"/>
              <w:spacing w:after="0"/>
              <w:rPr>
                <w:sz w:val="20"/>
                <w:szCs w:val="20"/>
                <w:color w:val="auto"/>
              </w:rPr>
            </w:pPr>
            <w:r>
              <w:rPr>
                <w:rFonts w:ascii="Arial" w:cs="Arial" w:eastAsia="Arial" w:hAnsi="Arial"/>
                <w:sz w:val="18"/>
                <w:szCs w:val="18"/>
                <w:color w:val="auto"/>
              </w:rPr>
              <w:t>Cash</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29,707</w:t>
            </w:r>
          </w:p>
        </w:tc>
        <w:tc>
          <w:tcPr>
            <w:tcW w:w="38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Pr>
          <w:p>
            <w:pPr>
              <w:ind w:left="440"/>
              <w:spacing w:after="0"/>
              <w:rPr>
                <w:sz w:val="20"/>
                <w:szCs w:val="20"/>
                <w:color w:val="auto"/>
              </w:rPr>
            </w:pPr>
            <w:r>
              <w:rPr>
                <w:rFonts w:ascii="Arial" w:cs="Arial" w:eastAsia="Arial" w:hAnsi="Arial"/>
                <w:sz w:val="18"/>
                <w:szCs w:val="18"/>
                <w:color w:val="auto"/>
                <w:w w:val="83"/>
              </w:rPr>
              <w:t>29,707</w:t>
            </w:r>
          </w:p>
        </w:tc>
        <w:tc>
          <w:tcPr>
            <w:tcW w:w="36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Certificates of deposit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25,442</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3"/>
              </w:rPr>
              <w:t>25,442</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22"/>
        </w:trPr>
        <w:tc>
          <w:tcPr>
            <w:tcW w:w="4720" w:type="dxa"/>
            <w:vAlign w:val="bottom"/>
            <w:gridSpan w:val="2"/>
          </w:tcPr>
          <w:p>
            <w:pPr>
              <w:ind w:left="440"/>
              <w:spacing w:after="0"/>
              <w:rPr>
                <w:sz w:val="20"/>
                <w:szCs w:val="20"/>
                <w:color w:val="auto"/>
              </w:rPr>
            </w:pPr>
            <w:r>
              <w:rPr>
                <w:rFonts w:ascii="Arial" w:cs="Arial" w:eastAsia="Arial" w:hAnsi="Arial"/>
                <w:sz w:val="18"/>
                <w:szCs w:val="18"/>
                <w:color w:val="auto"/>
              </w:rPr>
              <w:t>Money market securities</w:t>
            </w:r>
          </w:p>
        </w:tc>
        <w:tc>
          <w:tcPr>
            <w:tcW w:w="120" w:type="dxa"/>
            <w:vAlign w:val="bottom"/>
          </w:tcPr>
          <w:p>
            <w:pPr>
              <w:spacing w:after="0"/>
              <w:rPr>
                <w:sz w:val="19"/>
                <w:szCs w:val="19"/>
                <w:color w:val="auto"/>
              </w:rPr>
            </w:pPr>
          </w:p>
        </w:tc>
        <w:tc>
          <w:tcPr>
            <w:tcW w:w="14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345"/>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8"/>
              </w:rPr>
              <w:t>Description</w:t>
            </w:r>
          </w:p>
        </w:tc>
        <w:tc>
          <w:tcPr>
            <w:tcW w:w="4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April 1,</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7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1020" w:type="dxa"/>
            <w:vAlign w:val="bottom"/>
          </w:tcPr>
          <w:p>
            <w:pPr>
              <w:jc w:val="center"/>
              <w:ind w:right="40"/>
              <w:spacing w:after="0" w:line="155" w:lineRule="exact"/>
              <w:rPr>
                <w:sz w:val="20"/>
                <w:szCs w:val="20"/>
                <w:color w:val="auto"/>
              </w:rPr>
            </w:pPr>
            <w:r>
              <w:rPr>
                <w:rFonts w:ascii="Arial" w:cs="Arial" w:eastAsia="Arial" w:hAnsi="Arial"/>
                <w:sz w:val="14"/>
                <w:szCs w:val="14"/>
                <w:b w:val="1"/>
                <w:bCs w:val="1"/>
                <w:color w:val="auto"/>
                <w:w w:val="83"/>
              </w:rPr>
              <w:t>2012</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92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3</w:t>
            </w:r>
          </w:p>
        </w:tc>
      </w:tr>
      <w:tr>
        <w:trPr>
          <w:trHeight w:val="196"/>
        </w:trPr>
        <w:tc>
          <w:tcPr>
            <w:tcW w:w="47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20" w:type="dxa"/>
            <w:vAlign w:val="bottom"/>
            <w:gridSpan w:val="2"/>
          </w:tcPr>
          <w:p>
            <w:pPr>
              <w:ind w:left="440"/>
              <w:spacing w:after="0"/>
              <w:rPr>
                <w:sz w:val="20"/>
                <w:szCs w:val="20"/>
                <w:color w:val="auto"/>
              </w:rPr>
            </w:pPr>
            <w:r>
              <w:rPr>
                <w:rFonts w:ascii="Arial" w:cs="Arial" w:eastAsia="Arial" w:hAnsi="Arial"/>
                <w:sz w:val="18"/>
                <w:szCs w:val="18"/>
                <w:color w:val="auto"/>
              </w:rPr>
              <w:t>Cash</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28,006</w:t>
            </w:r>
          </w:p>
        </w:tc>
        <w:tc>
          <w:tcPr>
            <w:tcW w:w="38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tcPr>
          <w:p>
            <w:pPr>
              <w:ind w:left="440"/>
              <w:spacing w:after="0"/>
              <w:rPr>
                <w:sz w:val="20"/>
                <w:szCs w:val="20"/>
                <w:color w:val="auto"/>
              </w:rPr>
            </w:pPr>
            <w:r>
              <w:rPr>
                <w:rFonts w:ascii="Arial" w:cs="Arial" w:eastAsia="Arial" w:hAnsi="Arial"/>
                <w:sz w:val="18"/>
                <w:szCs w:val="18"/>
                <w:color w:val="auto"/>
                <w:w w:val="83"/>
              </w:rPr>
              <w:t>28,006</w:t>
            </w:r>
          </w:p>
        </w:tc>
        <w:tc>
          <w:tcPr>
            <w:tcW w:w="360" w:type="dxa"/>
            <w:vAlign w:val="bottom"/>
          </w:tcPr>
          <w:p>
            <w:pPr>
              <w:spacing w:after="0"/>
              <w:rPr>
                <w:sz w:val="18"/>
                <w:szCs w:val="18"/>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Certificates of deposit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3"/>
              </w:rPr>
              <w:t>17,349</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r>
      <w:tr>
        <w:trPr>
          <w:trHeight w:val="222"/>
        </w:trPr>
        <w:tc>
          <w:tcPr>
            <w:tcW w:w="4720" w:type="dxa"/>
            <w:vAlign w:val="bottom"/>
            <w:gridSpan w:val="2"/>
          </w:tcPr>
          <w:p>
            <w:pPr>
              <w:ind w:left="440"/>
              <w:spacing w:after="0"/>
              <w:rPr>
                <w:sz w:val="20"/>
                <w:szCs w:val="20"/>
                <w:color w:val="auto"/>
              </w:rPr>
            </w:pPr>
            <w:r>
              <w:rPr>
                <w:rFonts w:ascii="Arial" w:cs="Arial" w:eastAsia="Arial" w:hAnsi="Arial"/>
                <w:sz w:val="18"/>
                <w:szCs w:val="18"/>
                <w:color w:val="auto"/>
              </w:rPr>
              <w:t>Money market securities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560</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w w:val="79"/>
              </w:rPr>
              <w:t>560</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financial assets that are measured at fair value on a recurring basis are certificates of deposit (“CD’s”), with maturities ranging from three months to two years which fall within valuation technique Level 2. The CD’s are classified as investments in current assets and noncurrent assets on the Condensed Consolidated Balance Sheets. As of September 30, 2012, the CD’s in current assets had a fair value of $17.9 million, and in noncurrent assets, the CD’s had a fair value of $7.5 million.</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carrying value of cash and cash equivalents accounts approximates fair value, as maturities are three months or less. We did not have any financial liability instruments subject to recurring fair value measurements as of September 30,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September 30, 2012 and April 1, 2012 consisted of the following:</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300" w:type="dxa"/>
            <w:vAlign w:val="bottom"/>
            <w:gridSpan w:val="4"/>
          </w:tcPr>
          <w:p>
            <w:pPr>
              <w:ind w:left="212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April 1,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Finished goods (FIFO basis)</w:t>
            </w:r>
          </w:p>
        </w:tc>
        <w:tc>
          <w:tcPr>
            <w:tcW w:w="2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39,128</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35,072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LIFO reserve</w:t>
            </w: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(7,613)</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(7,439)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inventory</w:t>
            </w:r>
          </w:p>
        </w:tc>
        <w:tc>
          <w:tcPr>
            <w:tcW w:w="230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31,515</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first in, first out (“FIFO”) value of inventories accounted for under the last in, first out (“LIFO”) method was $33.1 million at September 30, 2012 and $30.6 million at April 1, 2012. The remainder of the inventory was valued and accounted for under the FIFO method.</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LIFO reserve increased $0.1 million during the three months ended September 30, 2012 and during the three months ended October 2, 2011. During the six months ended September 30, 2012, the LIFO reserve increased $0.2 million and for the six months ended October 2, 2011 the LIFO reserve increased $0.4 million as a result of the changes in projected inventory costs, mix and volumes. The valuation of LIFO inventory for interim periods is based on our estimates of year-end inventory levels and costs.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of goodwill as of September 30, 2012 and at April 1, 2012 was $6.5 million.</w:t>
      </w:r>
    </w:p>
    <w:p>
      <w:pPr>
        <w:spacing w:after="0" w:line="17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Intangible assets consist primarily of customer lists, trademarks, trade secrets and non-compete agreements classified as finite life and trade names classified as indefinite life, related to business acquisitions. A summary of our intangible assets as of September 30, 2012 and April 1, 2012 were as follows: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4"/>
                <w:szCs w:val="14"/>
                <w:color w:val="auto"/>
                <w:w w:val="85"/>
              </w:rPr>
              <w:t>September 30, 2012</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center"/>
              <w:ind w:right="76"/>
              <w:spacing w:after="0" w:line="131" w:lineRule="exact"/>
              <w:rPr>
                <w:sz w:val="20"/>
                <w:szCs w:val="20"/>
                <w:color w:val="auto"/>
              </w:rPr>
            </w:pPr>
            <w:r>
              <w:rPr>
                <w:rFonts w:ascii="Arial" w:cs="Arial" w:eastAsia="Arial" w:hAnsi="Arial"/>
                <w:sz w:val="14"/>
                <w:szCs w:val="14"/>
                <w:color w:val="auto"/>
                <w:w w:val="87"/>
              </w:rPr>
              <w:t>Gross Carrying</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right"/>
              <w:ind w:right="740"/>
              <w:spacing w:after="0" w:line="131" w:lineRule="exact"/>
              <w:rPr>
                <w:sz w:val="20"/>
                <w:szCs w:val="20"/>
                <w:color w:val="auto"/>
              </w:rPr>
            </w:pPr>
            <w:r>
              <w:rPr>
                <w:rFonts w:ascii="Arial" w:cs="Arial" w:eastAsia="Arial" w:hAnsi="Arial"/>
                <w:sz w:val="14"/>
                <w:szCs w:val="14"/>
                <w:color w:val="auto"/>
              </w:rPr>
              <w:t>Accumulated</w:t>
            </w: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1140" w:type="dxa"/>
            <w:vAlign w:val="bottom"/>
          </w:tcPr>
          <w:p>
            <w:pPr>
              <w:jc w:val="center"/>
              <w:ind w:right="96"/>
              <w:spacing w:after="0" w:line="159" w:lineRule="exact"/>
              <w:rPr>
                <w:sz w:val="20"/>
                <w:szCs w:val="20"/>
                <w:color w:val="auto"/>
              </w:rPr>
            </w:pPr>
            <w:r>
              <w:rPr>
                <w:rFonts w:ascii="Arial" w:cs="Arial" w:eastAsia="Arial" w:hAnsi="Arial"/>
                <w:sz w:val="14"/>
                <w:szCs w:val="14"/>
                <w:color w:val="auto"/>
                <w:w w:val="91"/>
              </w:rPr>
              <w:t>Amount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right"/>
              <w:ind w:right="740"/>
              <w:spacing w:after="0" w:line="159" w:lineRule="exact"/>
              <w:rPr>
                <w:sz w:val="20"/>
                <w:szCs w:val="20"/>
                <w:color w:val="auto"/>
              </w:rPr>
            </w:pPr>
            <w:r>
              <w:rPr>
                <w:rFonts w:ascii="Arial" w:cs="Arial" w:eastAsia="Arial" w:hAnsi="Arial"/>
                <w:sz w:val="14"/>
                <w:szCs w:val="14"/>
                <w:color w:val="auto"/>
              </w:rPr>
              <w:t>Amortization</w:t>
            </w:r>
          </w:p>
        </w:tc>
        <w:tc>
          <w:tcPr>
            <w:tcW w:w="320" w:type="dxa"/>
            <w:vAlign w:val="bottom"/>
          </w:tcPr>
          <w:p>
            <w:pPr>
              <w:spacing w:after="0"/>
              <w:rPr>
                <w:sz w:val="13"/>
                <w:szCs w:val="13"/>
                <w:color w:val="auto"/>
              </w:rPr>
            </w:pPr>
          </w:p>
        </w:tc>
        <w:tc>
          <w:tcPr>
            <w:tcW w:w="110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2"/>
        </w:trPr>
        <w:tc>
          <w:tcPr>
            <w:tcW w:w="462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Finite-life intangible assets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5,508</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(843)</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Trademark</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Trade secrets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(577)</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Carrier relationships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Other finite-life intangible assets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(323)</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finite-life intangible assets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(2,092)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Indefinite-life intangible assets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10,076</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(2,092)</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4"/>
                <w:szCs w:val="14"/>
                <w:color w:val="auto"/>
              </w:rPr>
              <w:t>April 1, 2012</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tcPr>
          <w:p>
            <w:pPr>
              <w:jc w:val="center"/>
              <w:ind w:right="76"/>
              <w:spacing w:after="0" w:line="131" w:lineRule="exact"/>
              <w:rPr>
                <w:sz w:val="20"/>
                <w:szCs w:val="20"/>
                <w:color w:val="auto"/>
              </w:rPr>
            </w:pPr>
            <w:r>
              <w:rPr>
                <w:rFonts w:ascii="Arial" w:cs="Arial" w:eastAsia="Arial" w:hAnsi="Arial"/>
                <w:sz w:val="14"/>
                <w:szCs w:val="14"/>
                <w:color w:val="auto"/>
                <w:w w:val="87"/>
              </w:rPr>
              <w:t>Gross Carrying</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right"/>
              <w:ind w:right="740"/>
              <w:spacing w:after="0" w:line="131" w:lineRule="exact"/>
              <w:rPr>
                <w:sz w:val="20"/>
                <w:szCs w:val="20"/>
                <w:color w:val="auto"/>
              </w:rPr>
            </w:pPr>
            <w:r>
              <w:rPr>
                <w:rFonts w:ascii="Arial" w:cs="Arial" w:eastAsia="Arial" w:hAnsi="Arial"/>
                <w:sz w:val="14"/>
                <w:szCs w:val="14"/>
                <w:color w:val="auto"/>
              </w:rPr>
              <w:t>Accumulated</w:t>
            </w: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3"/>
                <w:szCs w:val="13"/>
                <w:color w:val="auto"/>
              </w:rPr>
            </w:pPr>
          </w:p>
        </w:tc>
        <w:tc>
          <w:tcPr>
            <w:tcW w:w="1140" w:type="dxa"/>
            <w:vAlign w:val="bottom"/>
          </w:tcPr>
          <w:p>
            <w:pPr>
              <w:jc w:val="center"/>
              <w:ind w:right="96"/>
              <w:spacing w:after="0" w:line="159" w:lineRule="exact"/>
              <w:rPr>
                <w:sz w:val="20"/>
                <w:szCs w:val="20"/>
                <w:color w:val="auto"/>
              </w:rPr>
            </w:pPr>
            <w:r>
              <w:rPr>
                <w:rFonts w:ascii="Arial" w:cs="Arial" w:eastAsia="Arial" w:hAnsi="Arial"/>
                <w:sz w:val="14"/>
                <w:szCs w:val="14"/>
                <w:color w:val="auto"/>
                <w:w w:val="91"/>
              </w:rPr>
              <w:t>Amount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right"/>
              <w:ind w:right="740"/>
              <w:spacing w:after="0" w:line="159" w:lineRule="exact"/>
              <w:rPr>
                <w:sz w:val="20"/>
                <w:szCs w:val="20"/>
                <w:color w:val="auto"/>
              </w:rPr>
            </w:pPr>
            <w:r>
              <w:rPr>
                <w:rFonts w:ascii="Arial" w:cs="Arial" w:eastAsia="Arial" w:hAnsi="Arial"/>
                <w:sz w:val="14"/>
                <w:szCs w:val="14"/>
                <w:color w:val="auto"/>
              </w:rPr>
              <w:t>Amortization</w:t>
            </w:r>
          </w:p>
        </w:tc>
        <w:tc>
          <w:tcPr>
            <w:tcW w:w="320" w:type="dxa"/>
            <w:vAlign w:val="bottom"/>
          </w:tcPr>
          <w:p>
            <w:pPr>
              <w:spacing w:after="0"/>
              <w:rPr>
                <w:sz w:val="13"/>
                <w:szCs w:val="13"/>
                <w:color w:val="auto"/>
              </w:rPr>
            </w:pPr>
          </w:p>
        </w:tc>
        <w:tc>
          <w:tcPr>
            <w:tcW w:w="110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42"/>
        </w:trPr>
        <w:tc>
          <w:tcPr>
            <w:tcW w:w="4620" w:type="dxa"/>
            <w:vAlign w:val="bottom"/>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Finite-life intangible assets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5,508</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(706)</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Trademark</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Trade secrets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(521)</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Carrier relationships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440"/>
              <w:spacing w:after="0"/>
              <w:rPr>
                <w:sz w:val="20"/>
                <w:szCs w:val="20"/>
                <w:color w:val="auto"/>
              </w:rPr>
            </w:pPr>
            <w:r>
              <w:rPr>
                <w:rFonts w:ascii="Arial" w:cs="Arial" w:eastAsia="Arial" w:hAnsi="Arial"/>
                <w:sz w:val="18"/>
                <w:szCs w:val="18"/>
                <w:color w:val="auto"/>
              </w:rPr>
              <w:t>Other finite-life intangible assets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380"/>
              <w:spacing w:after="0"/>
              <w:rPr>
                <w:sz w:val="20"/>
                <w:szCs w:val="20"/>
                <w:color w:val="auto"/>
              </w:rPr>
            </w:pPr>
            <w:r>
              <w:rPr>
                <w:rFonts w:ascii="Arial" w:cs="Arial" w:eastAsia="Arial" w:hAnsi="Arial"/>
                <w:sz w:val="18"/>
                <w:szCs w:val="18"/>
                <w:color w:val="auto"/>
              </w:rPr>
              <w:t>(317)</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finite-life intangible assets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(1,790)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Indefinite-life intangible assets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9,976</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(1,790)</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9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In the preparation of our condensed consolidated financial statements, management calculates income taxes based upon the estimated effective rate applicable to operating results for the full fiscal year. This includes estimating the current tax liability as well as assessing differences resulting from different treatment of items for tax and book accounting purposes. These differences result in deferred tax assets and liabilities, which are recorded on the condensed consolidated balance sheet. These assets and liabilities are analyzed regularly and management assesses the likelihood that deferred tax assets will be recovered from future taxable income. We record any interest and penalties related to income taxes as income tax expense in the condensed consolidated statements of income.</w:t>
      </w:r>
    </w:p>
    <w:p>
      <w:pPr>
        <w:spacing w:after="0" w:line="10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recognize the effect of income tax positions only if those positions are more likely than not of being sustained. Changes in recognition or measurement are reflected in the period in which the change in judgment occurs.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459"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Accumulated Other Comprehensive Loss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loss were as follows:</w:t>
      </w:r>
    </w:p>
    <w:p>
      <w:pPr>
        <w:spacing w:after="0" w:line="23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gridSpan w:val="3"/>
          </w:tcPr>
          <w:p>
            <w:pPr>
              <w:jc w:val="right"/>
              <w:ind w:right="440"/>
              <w:spacing w:after="0"/>
              <w:rPr>
                <w:sz w:val="20"/>
                <w:szCs w:val="20"/>
                <w:color w:val="auto"/>
              </w:rPr>
            </w:pPr>
            <w:r>
              <w:rPr>
                <w:rFonts w:ascii="Arial" w:cs="Arial" w:eastAsia="Arial" w:hAnsi="Arial"/>
                <w:sz w:val="14"/>
                <w:szCs w:val="14"/>
                <w:color w:val="auto"/>
                <w:w w:val="89"/>
              </w:rPr>
              <w:t>September 30,</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April 1,</w:t>
            </w:r>
          </w:p>
        </w:tc>
        <w:tc>
          <w:tcPr>
            <w:tcW w:w="0" w:type="dxa"/>
            <w:vAlign w:val="bottom"/>
          </w:tcPr>
          <w:p>
            <w:pPr>
              <w:spacing w:after="0"/>
              <w:rPr>
                <w:sz w:val="1"/>
                <w:szCs w:val="1"/>
                <w:color w:val="auto"/>
              </w:rPr>
            </w:pPr>
          </w:p>
        </w:tc>
      </w:tr>
      <w:tr>
        <w:trPr>
          <w:trHeight w:val="159"/>
        </w:trPr>
        <w:tc>
          <w:tcPr>
            <w:tcW w:w="604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7"/>
              <w:spacing w:after="0" w:line="159" w:lineRule="exact"/>
              <w:rPr>
                <w:sz w:val="20"/>
                <w:szCs w:val="20"/>
                <w:color w:val="auto"/>
              </w:rPr>
            </w:pPr>
            <w:r>
              <w:rPr>
                <w:rFonts w:ascii="Arial" w:cs="Arial" w:eastAsia="Arial" w:hAnsi="Arial"/>
                <w:sz w:val="14"/>
                <w:szCs w:val="14"/>
                <w:color w:val="auto"/>
              </w:rPr>
              <w:t>2012</w:t>
            </w:r>
          </w:p>
        </w:tc>
        <w:tc>
          <w:tcPr>
            <w:tcW w:w="3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40"/>
              <w:spacing w:after="0" w:line="159" w:lineRule="exact"/>
              <w:rPr>
                <w:sz w:val="20"/>
                <w:szCs w:val="20"/>
                <w:color w:val="auto"/>
              </w:rPr>
            </w:pPr>
            <w:r>
              <w:rPr>
                <w:rFonts w:ascii="Arial" w:cs="Arial" w:eastAsia="Arial" w:hAnsi="Arial"/>
                <w:sz w:val="14"/>
                <w:szCs w:val="14"/>
                <w:color w:val="auto"/>
              </w:rPr>
              <w:t>2012</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Unrealized gain (loss) on:</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Available-for-sale investments</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Post-retirement plan liability</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40" w:type="dxa"/>
            <w:vAlign w:val="bottom"/>
            <w:vMerge w:val="continue"/>
          </w:tcPr>
          <w:p>
            <w:pPr>
              <w:spacing w:after="0"/>
              <w:rPr>
                <w:sz w:val="19"/>
                <w:szCs w:val="19"/>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Share-Based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Stock Option Awards. </w:t>
      </w:r>
      <w:r>
        <w:rPr>
          <w:rFonts w:ascii="Arial" w:cs="Arial" w:eastAsia="Arial" w:hAnsi="Arial"/>
          <w:sz w:val="18"/>
          <w:szCs w:val="18"/>
          <w:color w:val="auto"/>
        </w:rPr>
        <w:t>The following table represents the stock option activity for the six months ended September 30, 2012:</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580" w:type="dxa"/>
            <w:vAlign w:val="bottom"/>
            <w:tcBorders>
              <w:bottom w:val="single" w:sz="8" w:color="auto"/>
            </w:tcBorders>
            <w:gridSpan w:val="6"/>
          </w:tcPr>
          <w:p>
            <w:pPr>
              <w:jc w:val="right"/>
              <w:ind w:right="335"/>
              <w:spacing w:after="0"/>
              <w:rPr>
                <w:sz w:val="20"/>
                <w:szCs w:val="20"/>
                <w:color w:val="auto"/>
              </w:rPr>
            </w:pPr>
            <w:r>
              <w:rPr>
                <w:rFonts w:ascii="Arial" w:cs="Arial" w:eastAsia="Arial" w:hAnsi="Arial"/>
                <w:sz w:val="14"/>
                <w:szCs w:val="14"/>
                <w:b w:val="1"/>
                <w:bCs w:val="1"/>
                <w:color w:val="auto"/>
              </w:rPr>
              <w:t>Outstanding</w:t>
            </w:r>
          </w:p>
        </w:tc>
        <w:tc>
          <w:tcPr>
            <w:tcW w:w="400" w:type="dxa"/>
            <w:vAlign w:val="bottom"/>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Exercisable</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Weighted-</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2"/>
              </w:rPr>
              <w:t>Weighted-</w:t>
            </w:r>
          </w:p>
        </w:tc>
        <w:tc>
          <w:tcPr>
            <w:tcW w:w="100" w:type="dxa"/>
            <w:vAlign w:val="bottom"/>
          </w:tcPr>
          <w:p>
            <w:pPr>
              <w:spacing w:after="0"/>
              <w:rPr>
                <w:sz w:val="11"/>
                <w:szCs w:val="11"/>
                <w:color w:val="auto"/>
              </w:rPr>
            </w:pPr>
          </w:p>
        </w:tc>
      </w:tr>
      <w:tr>
        <w:trPr>
          <w:trHeight w:val="149"/>
        </w:trPr>
        <w:tc>
          <w:tcPr>
            <w:tcW w:w="6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68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Exercise</w:t>
            </w:r>
          </w:p>
        </w:tc>
      </w:tr>
      <w:tr>
        <w:trPr>
          <w:trHeight w:val="161"/>
        </w:trPr>
        <w:tc>
          <w:tcPr>
            <w:tcW w:w="6820" w:type="dxa"/>
            <w:vAlign w:val="bottom"/>
          </w:tcPr>
          <w:p>
            <w:pPr>
              <w:spacing w:after="0"/>
              <w:rPr>
                <w:sz w:val="14"/>
                <w:szCs w:val="14"/>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center"/>
              <w:ind w:right="35"/>
              <w:spacing w:after="0"/>
              <w:rPr>
                <w:sz w:val="20"/>
                <w:szCs w:val="20"/>
                <w:color w:val="auto"/>
              </w:rPr>
            </w:pPr>
            <w:r>
              <w:rPr>
                <w:rFonts w:ascii="Arial" w:cs="Arial" w:eastAsia="Arial" w:hAnsi="Arial"/>
                <w:sz w:val="14"/>
                <w:szCs w:val="14"/>
                <w:b w:val="1"/>
                <w:bCs w:val="1"/>
                <w:color w:val="auto"/>
                <w:w w:val="87"/>
              </w:rPr>
              <w:t>Price</w:t>
            </w:r>
          </w:p>
        </w:tc>
        <w:tc>
          <w:tcPr>
            <w:tcW w:w="40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Price</w:t>
            </w:r>
          </w:p>
        </w:tc>
      </w:tr>
      <w:tr>
        <w:trPr>
          <w:trHeight w:val="210"/>
        </w:trPr>
        <w:tc>
          <w:tcPr>
            <w:tcW w:w="6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beginning of period</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46,665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19.01</w:t>
            </w:r>
          </w:p>
        </w:tc>
        <w:tc>
          <w:tcPr>
            <w:tcW w:w="4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19.90</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Exercised</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(18,666)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17.67</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(18,666)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17.67</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Forfeited or expired</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tcPr>
          <w:p>
            <w:pPr>
              <w:spacing w:after="0"/>
              <w:rPr>
                <w:sz w:val="20"/>
                <w:szCs w:val="20"/>
                <w:color w:val="auto"/>
              </w:rPr>
            </w:pPr>
            <w:r>
              <w:rPr>
                <w:rFonts w:ascii="Arial" w:cs="Arial" w:eastAsia="Arial" w:hAnsi="Arial"/>
                <w:sz w:val="18"/>
                <w:szCs w:val="18"/>
                <w:color w:val="auto"/>
              </w:rPr>
              <w:t>Outstanding at end of period</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27,999</w:t>
            </w:r>
          </w:p>
        </w:tc>
        <w:tc>
          <w:tcPr>
            <w:tcW w:w="2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19.90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27,999</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19.90</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for the three and six months ended September 30, 2012 and October 2, 2011 related to stock options was not material.</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Performance-Based Restricted Stock Units. </w:t>
      </w:r>
      <w:r>
        <w:rPr>
          <w:rFonts w:ascii="Arial" w:cs="Arial" w:eastAsia="Arial" w:hAnsi="Arial"/>
          <w:sz w:val="16"/>
          <w:szCs w:val="16"/>
          <w:color w:val="auto"/>
        </w:rPr>
        <w:t>Our Board of Directors (“the Board”) approved a performance-based equity compensation arrangement for our</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during the first quarters of each of fiscal 2013 and 2012. These performance-based arrangements provide for the grant of performance-based restricted stock units that represent a possible future issuance of restricted shares of our common stock based on our pre-tax income target for the applicable fiscal year. The actual number of restricted shares to be issued to each executive officer will be determined when our final financial information becomes available after the applicable fiscal year and will be between zero shares and 53,193 shares in the aggregate for fiscal 2013. The restricted shares issued will fully vest two years after the last day of the fiscal year on which the performance is based. We are recording the compensation expense for the outstanding performance share units and then-converted restricted stock over the life of the awards.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the six months ended September 30, 2012:</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Average Grant</w:t>
            </w:r>
          </w:p>
        </w:tc>
      </w:t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w w:val="98"/>
              </w:rPr>
              <w:t>Shares</w:t>
            </w:r>
          </w:p>
        </w:tc>
        <w:tc>
          <w:tcPr>
            <w:tcW w:w="16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Date Fair Value</w:t>
            </w: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beginning of period</w:t>
            </w:r>
          </w:p>
        </w:tc>
        <w:tc>
          <w:tcPr>
            <w:tcW w:w="5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7"/>
              </w:rPr>
              <w:t>33,321</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Granted</w:t>
            </w:r>
          </w:p>
        </w:tc>
        <w:tc>
          <w:tcPr>
            <w:tcW w:w="540" w:type="dxa"/>
            <w:vAlign w:val="bottom"/>
          </w:tcPr>
          <w:p>
            <w:pPr>
              <w:ind w:left="40"/>
              <w:spacing w:after="0"/>
              <w:rPr>
                <w:sz w:val="20"/>
                <w:szCs w:val="20"/>
                <w:color w:val="auto"/>
              </w:rPr>
            </w:pPr>
            <w:r>
              <w:rPr>
                <w:rFonts w:ascii="Arial" w:cs="Arial" w:eastAsia="Arial" w:hAnsi="Arial"/>
                <w:sz w:val="18"/>
                <w:szCs w:val="18"/>
                <w:color w:val="auto"/>
                <w:w w:val="87"/>
              </w:rPr>
              <w:t>29,923</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Forfeited or expired</w:t>
            </w: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87"/>
              </w:rPr>
              <w:t>63,244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recorded compensation expense of $0.3 million and $0.6 million related to performance share units and restricted stock for the three and six months ended September 30, 2012, respectively. We recorded compensation expense of $0.2 million and $0.4 million related to performance share units and restricted stock for the three and six months ended October 2, 2011, respectively. Substantially all of the compensation expense was recorded in selling, general and administrative expenses in the Condensed Consolidated Statements of Income.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i w:val="1"/>
          <w:iCs w:val="1"/>
          <w:color w:val="auto"/>
        </w:rPr>
        <w:t xml:space="preserve">Restricted Stock Awards. </w:t>
      </w:r>
      <w:r>
        <w:rPr>
          <w:rFonts w:ascii="Arial" w:cs="Arial" w:eastAsia="Arial" w:hAnsi="Arial"/>
          <w:sz w:val="16"/>
          <w:szCs w:val="16"/>
          <w:color w:val="auto"/>
        </w:rPr>
        <w:t>As part of their retainer, each non-employee director receives an annual grant of restricted stock for their Board services. The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awards are expensed over the requisite vesting period, which is one year from the date of issuance, based on the market value on the date of grant. The following table represents the Board’s restricted stock activity for the six months ended September 30, 2012:</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Weighted-</w:t>
            </w: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Average Grant</w:t>
            </w: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Shares</w:t>
            </w:r>
          </w:p>
        </w:tc>
        <w:tc>
          <w:tcPr>
            <w:tcW w:w="13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Date Fair Value</w:t>
            </w: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beginning of period</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spacing w:after="0"/>
              <w:rPr>
                <w:sz w:val="20"/>
                <w:szCs w:val="20"/>
                <w:color w:val="auto"/>
              </w:rPr>
            </w:pPr>
            <w:r>
              <w:rPr>
                <w:rFonts w:ascii="Arial" w:cs="Arial" w:eastAsia="Arial" w:hAnsi="Arial"/>
                <w:sz w:val="18"/>
                <w:szCs w:val="18"/>
                <w:color w:val="auto"/>
              </w:rPr>
              <w:t>5,724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(6,120)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Forfeited or expired</w:t>
            </w: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for the three months ended September 30, 2012 and October 2, 2011 related to restricted stock awards to the Board was $0.1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for the six months ended September 30, 2012 and October 2, 2011 related to restricted stock awards to the Board was $0.1 million.</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Employee Pension Plans</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Multiemployer pension plan</w:t>
      </w:r>
      <w:r>
        <w:rPr>
          <w:rFonts w:ascii="Arial" w:cs="Arial" w:eastAsia="Arial" w:hAnsi="Arial"/>
          <w:sz w:val="16"/>
          <w:szCs w:val="16"/>
          <w:color w:val="auto"/>
        </w:rPr>
        <w:t>. We participate in the Central States, Southeast and Southwest Areas Pension Fund (“CSS”), a union-sponsored, collectively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bargained multiemployer pension plan. Our participation is pursuant to two collective bargaining agreements that expire in February 2013. Contributions are determined in accordance with the provisions of negotiated labor contracts and generally are based on the number of hours worked. The risks of participating in multiemployer pension plans are different from single-employer plans in the following aspects: (i) assets contributed to a multiemployer plan by one employer may be used to provide benefits to employees of other participating employers; (ii) if a participating employer stops contributing to the plan, the unfunded obligations of the plan may be borne by the remaining participating employers; and (iii) if we stop participating in the multiemployer plan, we may be required to pay the plan an amount based on the underfunded status of the plan, referred to as a withdrawal liability.</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Based upon the most recent information available from the trustees managing CSS, our share of the unfunded vested benefit liability for the plan was estimated to be approximately $10.0 million if the withdrawal had occurred in calendar year 2012, an increase from an estimate of approximately $7.9 million if the withdrawal had occurred in calendar year 2011. These estimates were calculated by the trustees managing CSS. Although we believe the most recent plan data available from CSS was used in computing the 2012 estimate, the actual withdrawal liability amount is subject to change based on, among other things, the plan’s investment returns and benefit levels, interest rates, financial difficulty of other participating employers in the plan such as bankruptcy, and continued participation by the company and other employers in the plan, each of which could impact the ultimate withdrawal liability. If withdrawal liability were to be triggered, we would have the option to make payments over a period of 20 years instead of paying the withdrawal liability in a lump sum.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Litigation, Commitments and Contingencies</w:t>
      </w:r>
    </w:p>
    <w:p>
      <w:pPr>
        <w:spacing w:after="0" w:line="9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a party from time to time in litigation arising in the ordinary course of our business. Legal fees associated with such matters are expensed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incurred.</w:t>
      </w:r>
    </w:p>
    <w:p>
      <w:pPr>
        <w:spacing w:after="0" w:line="12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On June 15, 2012, we entered into a settlement agreement with ICL Performance Products LP (“ICL”), a chemical supplier to us, pursuant to which we mutually resolved the previously disclosed litigation and all disputes among us. The settlement agreement provides for a cash payment by us to ICL and provides that both parties will enter into new contracts for the supply by ICL of certain chemicals to us. Our obligations under the settlement agreement resulted in a $3.2 million charge to pretax income recorded in cost of sales (approximately $2.0 million after tax) for the fiscal quarter ended July 1, 2012.</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two reportable segments: Industrial and Water Treatment. The accounting policies of the segments are the same as those described in the summary of significant accounting policies as disclosed in our fiscal 2012 Annual Report on Form 10-K. Product costs and expenses for each segment are based on actual costs incurred along with cost allocation of shared and centralized functions. We evaluate performance based on profit or loss from operations before income taxes not including nonrecurring gains and losses. Reportable segments are defined by product and type of customer. Segments are responsible for the sales, marketing and development of their products and services. The segments do not have separate accounting, administration, customer service or purchasing functions. There are no intersegment sales and no operating segments have been aggregated. Given our nature, it is not practical to disclose revenues from external customers for each product or each group of similar products. No customer represents ten percent or more of our revenue. Sales are primarily within the United States and all assets are located within the United States.</w:t>
      </w:r>
    </w:p>
    <w:p>
      <w:pPr>
        <w:spacing w:after="0" w:line="14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14"/>
              <w:spacing w:after="0"/>
              <w:rPr>
                <w:sz w:val="20"/>
                <w:szCs w:val="20"/>
                <w:color w:val="auto"/>
              </w:rPr>
            </w:pPr>
            <w:r>
              <w:rPr>
                <w:rFonts w:ascii="Arial" w:cs="Arial" w:eastAsia="Arial" w:hAnsi="Arial"/>
                <w:sz w:val="14"/>
                <w:szCs w:val="14"/>
                <w:b w:val="1"/>
                <w:bCs w:val="1"/>
                <w:color w:val="auto"/>
              </w:rPr>
              <w:t>Water</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820" w:type="dxa"/>
            <w:vAlign w:val="bottom"/>
          </w:tcPr>
          <w:p>
            <w:pPr>
              <w:spacing w:after="0"/>
              <w:rPr>
                <w:sz w:val="20"/>
                <w:szCs w:val="20"/>
                <w:color w:val="auto"/>
              </w:rPr>
            </w:pPr>
            <w:r>
              <w:rPr>
                <w:rFonts w:ascii="Arial" w:cs="Arial" w:eastAsia="Arial" w:hAnsi="Arial"/>
                <w:sz w:val="14"/>
                <w:szCs w:val="14"/>
                <w:b w:val="1"/>
                <w:bCs w:val="1"/>
                <w:color w:val="auto"/>
              </w:rPr>
              <w:t>Reportable Segments</w:t>
            </w: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Industrial</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Treatment</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r>
      <w:tr>
        <w:trPr>
          <w:trHeight w:val="142"/>
        </w:trPr>
        <w:tc>
          <w:tcPr>
            <w:tcW w:w="382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2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September 30, 2012:</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ind w:left="440"/>
              <w:spacing w:after="0"/>
              <w:rPr>
                <w:sz w:val="20"/>
                <w:szCs w:val="20"/>
                <w:color w:val="auto"/>
              </w:rPr>
            </w:pPr>
            <w:r>
              <w:rPr>
                <w:rFonts w:ascii="Arial" w:cs="Arial" w:eastAsia="Arial" w:hAnsi="Arial"/>
                <w:sz w:val="18"/>
                <w:szCs w:val="18"/>
                <w:color w:val="auto"/>
              </w:rPr>
              <w:t>Sales</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57,214</w:t>
            </w: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29,946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87,160</w:t>
            </w: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19,196</w:t>
            </w:r>
          </w:p>
        </w:tc>
        <w:tc>
          <w:tcPr>
            <w:tcW w:w="100" w:type="dxa"/>
            <w:vAlign w:val="bottom"/>
            <w:shd w:val="clear" w:color="auto" w:fill="CCEEFF"/>
          </w:tcPr>
          <w:p>
            <w:pPr>
              <w:spacing w:after="0"/>
              <w:rPr>
                <w:sz w:val="18"/>
                <w:szCs w:val="18"/>
                <w:color w:val="auto"/>
              </w:rPr>
            </w:pPr>
          </w:p>
        </w:tc>
      </w:tr>
      <w:tr>
        <w:trPr>
          <w:trHeight w:val="222"/>
        </w:trPr>
        <w:tc>
          <w:tcPr>
            <w:tcW w:w="382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5,651</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6,090</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11,741</w:t>
            </w:r>
          </w:p>
        </w:tc>
        <w:tc>
          <w:tcPr>
            <w:tcW w:w="100" w:type="dxa"/>
            <w:vAlign w:val="bottom"/>
          </w:tcPr>
          <w:p>
            <w:pPr>
              <w:spacing w:after="0"/>
              <w:rPr>
                <w:sz w:val="19"/>
                <w:szCs w:val="19"/>
                <w:color w:val="auto"/>
              </w:rPr>
            </w:pPr>
          </w:p>
        </w:tc>
      </w:tr>
      <w:tr>
        <w:trPr>
          <w:trHeight w:val="102"/>
        </w:trPr>
        <w:tc>
          <w:tcPr>
            <w:tcW w:w="38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October 2, 2011:</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ind w:left="440"/>
              <w:spacing w:after="0"/>
              <w:rPr>
                <w:sz w:val="20"/>
                <w:szCs w:val="20"/>
                <w:color w:val="auto"/>
              </w:rPr>
            </w:pPr>
            <w:r>
              <w:rPr>
                <w:rFonts w:ascii="Arial" w:cs="Arial" w:eastAsia="Arial" w:hAnsi="Arial"/>
                <w:sz w:val="18"/>
                <w:szCs w:val="18"/>
                <w:color w:val="auto"/>
              </w:rPr>
              <w:t>Sales</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61,338</w:t>
            </w: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26,532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87,870</w:t>
            </w: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100" w:type="dxa"/>
            <w:vAlign w:val="bottom"/>
            <w:shd w:val="clear" w:color="auto" w:fill="CCEEFF"/>
          </w:tcPr>
          <w:p>
            <w:pPr>
              <w:spacing w:after="0"/>
              <w:rPr>
                <w:sz w:val="18"/>
                <w:szCs w:val="18"/>
                <w:color w:val="auto"/>
              </w:rPr>
            </w:pPr>
          </w:p>
        </w:tc>
      </w:tr>
      <w:tr>
        <w:trPr>
          <w:trHeight w:val="222"/>
        </w:trPr>
        <w:tc>
          <w:tcPr>
            <w:tcW w:w="382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5,786</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5,120</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10,906</w:t>
            </w:r>
          </w:p>
        </w:tc>
        <w:tc>
          <w:tcPr>
            <w:tcW w:w="100" w:type="dxa"/>
            <w:vAlign w:val="bottom"/>
          </w:tcPr>
          <w:p>
            <w:pPr>
              <w:spacing w:after="0"/>
              <w:rPr>
                <w:sz w:val="19"/>
                <w:szCs w:val="19"/>
                <w:color w:val="auto"/>
              </w:rPr>
            </w:pPr>
          </w:p>
        </w:tc>
      </w:tr>
      <w:tr>
        <w:trPr>
          <w:trHeight w:val="102"/>
        </w:trPr>
        <w:tc>
          <w:tcPr>
            <w:tcW w:w="38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September 30, 2012:</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ind w:left="440"/>
              <w:spacing w:after="0"/>
              <w:rPr>
                <w:sz w:val="20"/>
                <w:szCs w:val="20"/>
                <w:color w:val="auto"/>
              </w:rPr>
            </w:pPr>
            <w:r>
              <w:rPr>
                <w:rFonts w:ascii="Arial" w:cs="Arial" w:eastAsia="Arial" w:hAnsi="Arial"/>
                <w:sz w:val="18"/>
                <w:szCs w:val="18"/>
                <w:color w:val="auto"/>
              </w:rPr>
              <w:t>Sales</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119,365</w:t>
            </w: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57,894</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177,259</w:t>
            </w: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17,138</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34,503</w:t>
            </w:r>
          </w:p>
        </w:tc>
        <w:tc>
          <w:tcPr>
            <w:tcW w:w="100" w:type="dxa"/>
            <w:vAlign w:val="bottom"/>
            <w:shd w:val="clear" w:color="auto" w:fill="CCEEFF"/>
          </w:tcPr>
          <w:p>
            <w:pPr>
              <w:spacing w:after="0"/>
              <w:rPr>
                <w:sz w:val="18"/>
                <w:szCs w:val="18"/>
                <w:color w:val="auto"/>
              </w:rPr>
            </w:pPr>
          </w:p>
        </w:tc>
      </w:tr>
      <w:tr>
        <w:trPr>
          <w:trHeight w:val="222"/>
        </w:trPr>
        <w:tc>
          <w:tcPr>
            <w:tcW w:w="382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7,835</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10,986</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18,821</w:t>
            </w:r>
          </w:p>
        </w:tc>
        <w:tc>
          <w:tcPr>
            <w:tcW w:w="100" w:type="dxa"/>
            <w:vAlign w:val="bottom"/>
          </w:tcPr>
          <w:p>
            <w:pPr>
              <w:spacing w:after="0"/>
              <w:rPr>
                <w:sz w:val="19"/>
                <w:szCs w:val="19"/>
                <w:color w:val="auto"/>
              </w:rPr>
            </w:pPr>
          </w:p>
        </w:tc>
      </w:tr>
      <w:tr>
        <w:trPr>
          <w:trHeight w:val="102"/>
        </w:trPr>
        <w:tc>
          <w:tcPr>
            <w:tcW w:w="38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October 2, 2011:</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ind w:left="440"/>
              <w:spacing w:after="0"/>
              <w:rPr>
                <w:sz w:val="20"/>
                <w:szCs w:val="20"/>
                <w:color w:val="auto"/>
              </w:rPr>
            </w:pPr>
            <w:r>
              <w:rPr>
                <w:rFonts w:ascii="Arial" w:cs="Arial" w:eastAsia="Arial" w:hAnsi="Arial"/>
                <w:sz w:val="18"/>
                <w:szCs w:val="18"/>
                <w:color w:val="auto"/>
              </w:rPr>
              <w:t>Sales</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124,905</w:t>
            </w:r>
          </w:p>
        </w:tc>
        <w:tc>
          <w:tcPr>
            <w:tcW w:w="3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51,559</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176,464</w:t>
            </w:r>
          </w:p>
        </w:tc>
        <w:tc>
          <w:tcPr>
            <w:tcW w:w="100" w:type="dxa"/>
            <w:vAlign w:val="bottom"/>
          </w:tcPr>
          <w:p>
            <w:pPr>
              <w:spacing w:after="0"/>
              <w:rPr>
                <w:sz w:val="18"/>
                <w:szCs w:val="18"/>
                <w:color w:val="auto"/>
              </w:rPr>
            </w:pP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w:t>
            </w:r>
          </w:p>
        </w:tc>
        <w:tc>
          <w:tcPr>
            <w:tcW w:w="2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15,104</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36,677</w:t>
            </w:r>
          </w:p>
        </w:tc>
        <w:tc>
          <w:tcPr>
            <w:tcW w:w="100" w:type="dxa"/>
            <w:vAlign w:val="bottom"/>
            <w:shd w:val="clear" w:color="auto" w:fill="CCEEFF"/>
          </w:tcPr>
          <w:p>
            <w:pPr>
              <w:spacing w:after="0"/>
              <w:rPr>
                <w:sz w:val="18"/>
                <w:szCs w:val="18"/>
                <w:color w:val="auto"/>
              </w:rPr>
            </w:pPr>
          </w:p>
        </w:tc>
      </w:tr>
      <w:tr>
        <w:trPr>
          <w:trHeight w:val="222"/>
        </w:trPr>
        <w:tc>
          <w:tcPr>
            <w:tcW w:w="3820" w:type="dxa"/>
            <w:vAlign w:val="bottom"/>
          </w:tcPr>
          <w:p>
            <w:pPr>
              <w:ind w:left="440"/>
              <w:spacing w:after="0"/>
              <w:rPr>
                <w:sz w:val="20"/>
                <w:szCs w:val="20"/>
                <w:color w:val="auto"/>
              </w:rPr>
            </w:pPr>
            <w:r>
              <w:rPr>
                <w:rFonts w:ascii="Arial" w:cs="Arial" w:eastAsia="Arial" w:hAnsi="Arial"/>
                <w:sz w:val="18"/>
                <w:szCs w:val="18"/>
                <w:color w:val="auto"/>
              </w:rPr>
              <w:t>Operating income</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11,428</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9,548</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20,976</w:t>
            </w:r>
          </w:p>
        </w:tc>
        <w:tc>
          <w:tcPr>
            <w:tcW w:w="100" w:type="dxa"/>
            <w:vAlign w:val="bottom"/>
          </w:tcPr>
          <w:p>
            <w:pPr>
              <w:spacing w:after="0"/>
              <w:rPr>
                <w:sz w:val="19"/>
                <w:szCs w:val="19"/>
                <w:color w:val="auto"/>
              </w:rPr>
            </w:pPr>
          </w:p>
        </w:tc>
      </w:tr>
      <w:tr>
        <w:trPr>
          <w:trHeight w:val="356"/>
        </w:trPr>
        <w:tc>
          <w:tcPr>
            <w:tcW w:w="3820" w:type="dxa"/>
            <w:vAlign w:val="bottom"/>
          </w:tcPr>
          <w:p>
            <w:pPr>
              <w:spacing w:after="0"/>
              <w:rPr>
                <w:sz w:val="24"/>
                <w:szCs w:val="24"/>
                <w:color w:val="auto"/>
              </w:rPr>
            </w:pPr>
          </w:p>
        </w:tc>
        <w:tc>
          <w:tcPr>
            <w:tcW w:w="2460" w:type="dxa"/>
            <w:vAlign w:val="bottom"/>
          </w:tcPr>
          <w:p>
            <w:pPr>
              <w:jc w:val="right"/>
              <w:ind w:right="131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MANAGEMENT’S DISCUSSION AND ANALYSIS OF FINANCIAL CONDITION AND RESULTS OF OPERATIONS</w:t>
      </w:r>
    </w:p>
    <w:p>
      <w:pPr>
        <w:spacing w:after="0" w:line="90"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The following is a discussion and analysis of our financial condition and results of operations for the three and six months ended September 30, 2012 as compared to October 2, 2011. This discussion should be read in conjunction with the Condensed Consolidated Financial Statements and Notes to Condensed Consolidated Financial Statements included in this Form 10-Q and Item 8 of our Annual Report on Form 10-K for the fiscal year ended April 1, 2012 (“fiscal 2012”). References to fiscal 2013 refer to the fiscal year ending March 31, 2013.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derive substantially all of our revenues from the sale of bulk and specialty chemicals to our customers in a wide variety of industries. We began our operations primarily as a distributor of bulk chemicals with a strong customer focus. Over the years we have maintained our strong customer focus and have expanded our business by increasing our sales of value-added specialty chemical products, including repackaging, blending and manufacturing certain products. In recent years, we expanded the sales of our higher-margin blended and manufactured products.</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have continued to invest in growing our business. During fiscal 2012, we purchased a 28-acre parcel of land in Rosemount, Minnesota and began construction of a new facility on the site, which is expected to be operational by the end of fiscal 2013. The site provides capacity for future business growth and lessens our dependence on our flood-prone sites on the Mississippi River. While we expect to transfer some blending and manufacturing activity to the Rosemount site, we do not intend to close any sites we currently operate.</w:t>
      </w:r>
    </w:p>
    <w:p>
      <w:pPr>
        <w:spacing w:after="0" w:line="14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seek to maintain relatively constant gross profit dollars on each of our products as the cost of our raw materials increase or decrease. Since we expect that we will continue to experience fluctuations in our raw material costs and resulting prices in the future, we believe that gross profit dollars is the best measure of our profitability from the sale of our products. If we maintain relatively stable profit dollars on each of our products, our reported gross profit percentage will decrease when the cost of the product increases and will increase when the cost of the product decreases.</w:t>
      </w:r>
    </w:p>
    <w:p>
      <w:pPr>
        <w:spacing w:after="0" w:line="11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On June 15, 2012, we entered into a settlement agreement with ICL Performance Products LP (“ICL”), a chemical supplier to us, pursuant to which we mutually resolved the previously disclosed litigation and all disputes among us. The settlement agreement provides for a cash payment by us to ICL and provides that both parties will enter into new contracts for the supply by ICL of certain chemicals to us. Our obligations under the settlement agreement resulted in a $3.2 million charge to pretax income recorded in cost of sales (approximately $2.0 million after tax) for the fiscal quarter ended July 1, 2012.</w:t>
      </w:r>
    </w:p>
    <w:p>
      <w:pPr>
        <w:spacing w:after="0" w:line="11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use the last in, first out (“LIFO”) method for valuing substantially all of our inventory,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commodity chemical raw material prices. We recorded a $0.1 million increase in our LIFO reserve for the three months ended September 30, 2012 and $0.2 million increase for the six months ended September 30, 2012, which decreased our gross profit in those periods by those amounts. We recorded a $0.1 million increase in our LIFO reserve for the three months ended October 2, 2011, and $0.4 million increase for the six months ended October 2, 2011, which decreased our gross profit in those periods by those amounts.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percentage relationship of certain items to sales for the period indicated: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860" w:type="dxa"/>
            <w:vAlign w:val="bottom"/>
            <w:gridSpan w:val="4"/>
          </w:tcPr>
          <w:p>
            <w:pPr>
              <w:jc w:val="right"/>
              <w:ind w:right="1200"/>
              <w:spacing w:after="0"/>
              <w:rPr>
                <w:sz w:val="20"/>
                <w:szCs w:val="20"/>
                <w:color w:val="auto"/>
              </w:rPr>
            </w:pPr>
            <w:r>
              <w:rPr>
                <w:rFonts w:ascii="Arial" w:cs="Arial" w:eastAsia="Arial" w:hAnsi="Arial"/>
                <w:sz w:val="14"/>
                <w:szCs w:val="14"/>
                <w:b w:val="1"/>
                <w:bCs w:val="1"/>
                <w:color w:val="auto"/>
              </w:rPr>
              <w:t>Three months ended</w:t>
            </w:r>
          </w:p>
        </w:tc>
        <w:tc>
          <w:tcPr>
            <w:tcW w:w="2340" w:type="dxa"/>
            <w:vAlign w:val="bottom"/>
            <w:gridSpan w:val="4"/>
          </w:tcPr>
          <w:p>
            <w:pPr>
              <w:ind w:left="5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1560" w:type="dxa"/>
            <w:vAlign w:val="bottom"/>
            <w:tcBorders>
              <w:top w:val="single" w:sz="8" w:color="auto"/>
            </w:tcBorders>
            <w:gridSpan w:val="2"/>
          </w:tcPr>
          <w:p>
            <w:pPr>
              <w:jc w:val="right"/>
              <w:ind w:right="74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October 2</w:t>
            </w:r>
          </w:p>
        </w:tc>
        <w:tc>
          <w:tcPr>
            <w:tcW w:w="720" w:type="dxa"/>
            <w:vAlign w:val="bottom"/>
          </w:tcPr>
          <w:p>
            <w:pPr>
              <w:spacing w:after="0"/>
              <w:rPr>
                <w:sz w:val="11"/>
                <w:szCs w:val="11"/>
                <w:color w:val="auto"/>
              </w:rPr>
            </w:pPr>
          </w:p>
        </w:tc>
        <w:tc>
          <w:tcPr>
            <w:tcW w:w="1560" w:type="dxa"/>
            <w:vAlign w:val="bottom"/>
            <w:tcBorders>
              <w:top w:val="single" w:sz="8" w:color="auto"/>
            </w:tcBorders>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October 2</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2011</w:t>
            </w:r>
          </w:p>
        </w:tc>
        <w:tc>
          <w:tcPr>
            <w:tcW w:w="7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2012</w:t>
            </w:r>
          </w:p>
        </w:tc>
        <w:tc>
          <w:tcPr>
            <w:tcW w:w="7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Cost of sales</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(78.0)</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(78.7)</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(80.5)</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7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19.5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(8.6)</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(8.9)</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(8.8)</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7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Investment income</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7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(5.2)</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(4.8)</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(4.1)</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7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Income from discontinued operations, net of tax</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720" w:type="dxa"/>
            <w:vAlign w:val="bottom"/>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8.2%</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7.8%</w:t>
            </w:r>
          </w:p>
        </w:tc>
        <w:tc>
          <w:tcPr>
            <w:tcW w:w="15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6.6%</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right="4380"/>
        <w:spacing w:after="0" w:line="344" w:lineRule="auto"/>
        <w:rPr>
          <w:sz w:val="20"/>
          <w:szCs w:val="20"/>
          <w:color w:val="auto"/>
        </w:rPr>
      </w:pPr>
      <w:r>
        <w:rPr>
          <w:rFonts w:ascii="Arial" w:cs="Arial" w:eastAsia="Arial" w:hAnsi="Arial"/>
          <w:sz w:val="18"/>
          <w:szCs w:val="18"/>
          <w:b w:val="1"/>
          <w:bCs w:val="1"/>
          <w:i w:val="1"/>
          <w:iCs w:val="1"/>
          <w:color w:val="auto"/>
        </w:rPr>
        <w:t xml:space="preserve">Three Months Ended September 30, 2012 Compared to the Three Months Ended October 2, 2011 </w:t>
      </w:r>
      <w:r>
        <w:rPr>
          <w:rFonts w:ascii="Arial" w:cs="Arial" w:eastAsia="Arial" w:hAnsi="Arial"/>
          <w:sz w:val="18"/>
          <w:szCs w:val="18"/>
          <w:i w:val="1"/>
          <w:iCs w:val="1"/>
          <w:color w:val="auto"/>
        </w:rPr>
        <w:t>Sales</w:t>
      </w:r>
    </w:p>
    <w:p>
      <w:pPr>
        <w:spacing w:after="0" w:line="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Sales decreased $0.7 million, or 0.8%, to $87.2 million for the three months ended September 30, 2012 as compared to $87.9 million in the same period of the prior year. Sales of bulk chemicals, including caustic soda, were approximately 24% of sales during the three months ended September 30, 2012 as compared to 21% during the same period of the prior year.</w:t>
      </w:r>
    </w:p>
    <w:p>
      <w:pPr>
        <w:spacing w:after="0" w:line="140"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i w:val="1"/>
          <w:iCs w:val="1"/>
          <w:color w:val="auto"/>
        </w:rPr>
        <w:t xml:space="preserve">Industrial Segment. </w:t>
      </w:r>
      <w:r>
        <w:rPr>
          <w:rFonts w:ascii="Arial" w:cs="Arial" w:eastAsia="Arial" w:hAnsi="Arial"/>
          <w:sz w:val="15"/>
          <w:szCs w:val="15"/>
          <w:color w:val="auto"/>
        </w:rPr>
        <w:t>Industrial segment sales decreased $4.1 million, or 6.7%, to $57.2 million for the three months ended September 30, 2012 as compared to the</w:t>
      </w:r>
      <w:r>
        <w:rPr>
          <w:rFonts w:ascii="Arial" w:cs="Arial" w:eastAsia="Arial" w:hAnsi="Arial"/>
          <w:sz w:val="15"/>
          <w:szCs w:val="15"/>
          <w:i w:val="1"/>
          <w:iCs w:val="1"/>
          <w:color w:val="auto"/>
        </w:rPr>
        <w:t xml:space="preserve"> </w:t>
      </w:r>
      <w:r>
        <w:rPr>
          <w:rFonts w:ascii="Arial" w:cs="Arial" w:eastAsia="Arial" w:hAnsi="Arial"/>
          <w:sz w:val="15"/>
          <w:szCs w:val="15"/>
          <w:color w:val="auto"/>
        </w:rPr>
        <w:t>same period of the prior year. The decrease in sales was primarily due to a shift in product mix to more bulk products, which carry lower per-unit selling prices.</w:t>
      </w:r>
    </w:p>
    <w:p>
      <w:pPr>
        <w:spacing w:after="0" w:line="6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$3.4 million, or 12.9%, to $29.9 million for the three months ended September 30, 2012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of the prior year. The increase in sales was primarily due to favorable weather conditions, volume growth in our new and many of our existing branches, as well as higher selling prices.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Gross profit was $19.2 million, or 22.0% of sales, for the three months ended September 30, 2012, as compared to $18.8 million, or 21.3% of sales, for the same period of the prior year. The LIFO method of valuing inventory decreased gross profit by $0.1 million for each of the three months ended September 30, 2012 and October 2, 2011.</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Gross profit for the Industrial segment was $10.1 million, or 17.6% of sales, for the three months ended September 30, 2012,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$10.9 million, or 17.7% of sales, for the same period of the prior year. The LIFO method of valuing inventory decreased gross profit in this segment by $0.1 million for each of the three months ended September 30, 2012 and October 2, 2011. The $0.8 million decline in gross profit was primarily due to continued pricing pressures which led to lower per-unit profits.</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was $9.1 million, or 30.4% of sales, for the three months ended September 30, 2012,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$7.9 million, or 29.8% of sales, for the same period in the prior year. The increase in gross profit was primarily due to increased volumes and higher per-unit margins across most product lines. The LIFO method of valuing inventory decreased gross profit in this segment nominally for the three months ended September 30, 2012 and October 2, 2011.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Selling, general and administrative expenses were $7.5 million, or 8.6% of sales, for the three months ended September 30, 2012 as compared to $7.8 million, or 8.9% of sales, for the three months ended October 2, 2011, with slightly higher selling costs due to additional sales staffing offset by lower administration expenses in the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jc w:val="both"/>
        <w:ind w:right="260"/>
        <w:spacing w:after="0" w:line="332" w:lineRule="auto"/>
        <w:rPr>
          <w:sz w:val="20"/>
          <w:szCs w:val="20"/>
          <w:color w:val="auto"/>
        </w:rPr>
      </w:pPr>
      <w:r>
        <w:rPr>
          <w:rFonts w:ascii="Arial" w:cs="Arial" w:eastAsia="Arial" w:hAnsi="Arial"/>
          <w:sz w:val="16"/>
          <w:szCs w:val="16"/>
          <w:color w:val="auto"/>
        </w:rPr>
        <w:t>Operating income was $11.7 million for the three months ended September 30, 2012 and $10.9 million for the three months ended October 2, 2011. Operating income for the Industrial segment decreased $0.1 million, while the operating income for the Water Treatment segment increased $0.9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was not material during the three months ended September 30, 2012 and October 2,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Our effective income tax rate was 38.6% for the three months ended September 30, 2012 and October 2, 2011, respectively. The effective tax rate is impacted by projected levels of taxable income, permanent items, and state taxes.</w:t>
      </w:r>
    </w:p>
    <w:p>
      <w:pPr>
        <w:spacing w:after="0" w:line="213" w:lineRule="exact"/>
        <w:rPr>
          <w:sz w:val="20"/>
          <w:szCs w:val="20"/>
          <w:color w:val="auto"/>
        </w:rPr>
      </w:pPr>
    </w:p>
    <w:p>
      <w:pPr>
        <w:ind w:right="4740"/>
        <w:spacing w:after="0" w:line="344" w:lineRule="auto"/>
        <w:rPr>
          <w:sz w:val="20"/>
          <w:szCs w:val="20"/>
          <w:color w:val="auto"/>
        </w:rPr>
      </w:pPr>
      <w:r>
        <w:rPr>
          <w:rFonts w:ascii="Arial" w:cs="Arial" w:eastAsia="Arial" w:hAnsi="Arial"/>
          <w:sz w:val="18"/>
          <w:szCs w:val="18"/>
          <w:b w:val="1"/>
          <w:bCs w:val="1"/>
          <w:i w:val="1"/>
          <w:iCs w:val="1"/>
          <w:color w:val="auto"/>
        </w:rPr>
        <w:t xml:space="preserve">Six Months Ended September 30, 2012 Compared to the Six Months Ended October 2, 2011 </w:t>
      </w:r>
      <w:r>
        <w:rPr>
          <w:rFonts w:ascii="Arial" w:cs="Arial" w:eastAsia="Arial" w:hAnsi="Arial"/>
          <w:sz w:val="18"/>
          <w:szCs w:val="18"/>
          <w:i w:val="1"/>
          <w:iCs w:val="1"/>
          <w:color w:val="auto"/>
        </w:rPr>
        <w:t>Sales</w:t>
      </w:r>
    </w:p>
    <w:p>
      <w:pPr>
        <w:spacing w:after="0" w:line="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Sales increased $0.8 million, or 0.5%, to $177.3 million for the six months ended September 30, 2012 as compared to $176.5 million in the same period of the prior year. Sales of bulk chemicals, including caustic soda, were approximately 22% of sales during the six months ended September 30, 2012 as compared to 21% during the same period of the prior year.</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decreased $5.5 million, or 4.4%, to $119.4 million for the six months ended September 30, 2012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of the prior year. The decrease in sales was primarily due to reduced volumes and a shift in product mix to more bulk products, which carry lower per-unit selling prices.</w:t>
      </w:r>
    </w:p>
    <w:p>
      <w:pPr>
        <w:spacing w:after="0" w:line="14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Water Treatment segment sales increased $6.3 million, or 12.3%, to $57.9 million for the six months ended September 30, 2012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same period of the prior year. The increase in sales was primarily due to favorable weather conditions, volume growth in our new and many of our existing branches, as well as higher selling prices.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Gross profit was $34.5 million, or 19.5% of sales, for the six months ended September 30, 2012, as compared to $36.7 million, or 20.8% of sales, for the same period of the prior year. Gross profit was adversely impacted by the $3.2 million charge resulting from the ICL litigation settlement in the first quarter of the current fiscal year, which charge constituted 1.8% of sales for the six month period. The LIFO method of valuing inventory decreased gross profit by $0.2 million for the six months ended September 30, 2012 and by $0.4 million for the same period of the prior year.</w:t>
      </w:r>
    </w:p>
    <w:p>
      <w:pPr>
        <w:spacing w:after="0" w:line="11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i w:val="1"/>
          <w:iCs w:val="1"/>
          <w:color w:val="auto"/>
        </w:rPr>
        <w:t xml:space="preserve">Industrial Segment. </w:t>
      </w:r>
      <w:r>
        <w:rPr>
          <w:rFonts w:ascii="Arial" w:cs="Arial" w:eastAsia="Arial" w:hAnsi="Arial"/>
          <w:sz w:val="16"/>
          <w:szCs w:val="16"/>
          <w:color w:val="auto"/>
        </w:rPr>
        <w:t>Gross profit for the Industrial segment was $17.4 million, or 14.5% of sales, for the six months ended September 30, 2012,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$21.6 million, or 17.3% of sales, for the same period of the prior year. Gross profit for this segment was negatively impacted by the $3.2 million charge resulting from the ICL litigation settlement, which charge constituted 2.7% of sales for this segment for the six month period. The LIFO method of valuing inventory decreased gross profit in this segment by $0.1 million for the six months ended September 30, 2012 and by $0.3 million for the same period of the prior year. The remainder of the decline was primarily due to reduced volumes and pricing pressures which led to lower per-unit profits.</w:t>
      </w:r>
    </w:p>
    <w:p>
      <w:pPr>
        <w:spacing w:after="0" w:line="11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i w:val="1"/>
          <w:iCs w:val="1"/>
          <w:color w:val="auto"/>
        </w:rPr>
        <w:t xml:space="preserve">Water Treatment Segment. </w:t>
      </w:r>
      <w:r>
        <w:rPr>
          <w:rFonts w:ascii="Arial" w:cs="Arial" w:eastAsia="Arial" w:hAnsi="Arial"/>
          <w:sz w:val="16"/>
          <w:szCs w:val="16"/>
          <w:color w:val="auto"/>
        </w:rPr>
        <w:t>Gross profit for the Water Treatment segment was $17.1 million, or 29.6% of sales, for the six months ended September 30, 2012,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$15.1 million, or 29.3% of sales, for the same period in the prior year. The increase in gross profit was primarily due to increased volumes and higher per-unit margins across most product lines. The LIFO method of valuing inventory decreased gross profit in this segment nominally for the six months ended September 30, 2012 and decreased gross profit by $0.1 million for the same period of the prior year.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Selling, general and administrative expenses were $15.7 million, or 8.8% of sales, for the six months ended September 30, 2012 as compared to $15.7 million, or 8.9% of sales, for the six months ended October 2, 2011 with higher selling costs due to additional sales staffing offset by lower administration expenses in the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Operating income was $18.8 million for the six months ended September 30, 2012 and $21.0 million for the six months ended October 2, 2011. Operating income for the Industrial segment decreased $3.6 million, primarily due to the $3.2 million charge resulting from the ICL litigation settlement recorded within that segment. Operating income for the Water Treatment segment increased $1.4 million for the six months ended September 30, 2012, as compared to the same period of the prior year due to increased volumes and higher per-unit margins.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was $0.1 for the six month periods ended September 30, 2012 and October 2,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9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Our effective income tax rate was 38.6% for the six months ended September 30, 2012, compared to 38.0% for the six months ended October 2, 2011. The effective tax rate is impacted by projected levels of taxable income, permanent items, and state taxes.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Cash provided by operating activities for the six months ended September 30, 2012 was $23.5 million compared to $12.3 million for the six months ended October 2, 2011. The increase in cash provided by operating activities was primarily due to reduced cash used to fund working capital, including the timing of inventory purchases and other trade payables. Due to the nature of our operations, which includes purchases of large quantities of bulk chemicals, timing of purchases can result in significant changes in working capital investment and the resulting operating cash flow. Historically, our cash requirements increase during the period from April through November as caustic soda inventory levels increase as the majority of barges are received during this period. Additionally, due to the seasonality of the water treatment business, our accounts receivable balance generally increases during the period of April through September.</w:t>
      </w:r>
    </w:p>
    <w:p>
      <w:pPr>
        <w:spacing w:after="0" w:line="12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Cash and investments available-for-sale of $55.2 million at September 30, 2012 increased by $9.3 million as compared with the $45.9 million available as of April 1, 2012, primarily due to cash flows generated from operations, partially offset by capital expenditures and dividends paid.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Capital expenditures were $11.9 million for the six months ended September 30, 2012 compared to $6.2 million in the same period in the prior fiscal year. Significant capital expenditures during the six months ended September 30, 2012 consisted of approximately $8.5 million related to business expansion and process improvement projects including the new facility in Rosemount, Minnesota. Other capital spending was related to regulatory, safety, and facility improvements and replacement trucks for the Water Treatment segment. We expect cash balances and our cash flows from operations will be sufficient to fund our cash requirements in fiscal 2013.</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90" w:lineRule="exact"/>
        <w:rPr>
          <w:sz w:val="20"/>
          <w:szCs w:val="20"/>
          <w:color w:val="auto"/>
        </w:rPr>
      </w:pPr>
    </w:p>
    <w:p>
      <w:pPr>
        <w:jc w:val="both"/>
        <w:ind w:right="620"/>
        <w:spacing w:after="0" w:line="259" w:lineRule="auto"/>
        <w:rPr>
          <w:sz w:val="20"/>
          <w:szCs w:val="20"/>
          <w:color w:val="auto"/>
        </w:rPr>
      </w:pPr>
      <w:r>
        <w:rPr>
          <w:rFonts w:ascii="Arial" w:cs="Arial" w:eastAsia="Arial" w:hAnsi="Arial"/>
          <w:sz w:val="18"/>
          <w:szCs w:val="18"/>
          <w:color w:val="auto"/>
        </w:rPr>
        <w:t>Our significant accounting policies are set forth in Note 1 to our consolidated financial statements in our Annual Report on Form 10-K for the fiscal year ended April 1, 2012. The accounting policies used in preparing our interim fiscal 2013 condensed consolidated financial statements are the same as those described in our Annual Report.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90" w:lineRule="exact"/>
        <w:rPr>
          <w:sz w:val="20"/>
          <w:szCs w:val="20"/>
          <w:color w:val="auto"/>
        </w:rPr>
      </w:pPr>
    </w:p>
    <w:p>
      <w:pPr>
        <w:ind w:right="60"/>
        <w:spacing w:after="0" w:line="308" w:lineRule="auto"/>
        <w:rPr>
          <w:sz w:val="20"/>
          <w:szCs w:val="20"/>
          <w:color w:val="auto"/>
        </w:rPr>
      </w:pPr>
      <w:r>
        <w:rPr>
          <w:rFonts w:ascii="Arial" w:cs="Arial" w:eastAsia="Arial" w:hAnsi="Arial"/>
          <w:sz w:val="15"/>
          <w:szCs w:val="15"/>
          <w:color w:val="auto"/>
        </w:rPr>
        <w:t>The information presented in this Quarterly Report on Form 10-Q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Additional information concerning potential factors that could affect future financial results is included in our Annual Report on Form 10-K for the fiscal year ended April 1, 2012. We caution you not to place undue reliance on these forward-looking statements, which reflect our management’s view only as of the date of this Quarterly Report on Form 10-Q. We are not obligated to update these statements or publicly release the result of any revisions to them to reflect events or circumstances after the date of this Quarterly Report on Form 10-Q or to reflect the occurrence of unanticipated events.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September 30, 2012, our investment portfolio included $25.4 million of certificates of deposit classified as fixed income securities and cash and cash equivalents of $29.7 million. The fixed income securities, like all fixed income instruments, are subject to interest rate risks and will decline in value if market interest rates increase. However, while the value of the investment may fluctuate in any given period, we intend to hold our fixed income investments until recovery. Consequently, we would not expect to recognize an adverse impact on net income or cash flows during the holding period. We adjust the carrying value of our investments if impairment occurs that is other than temporary.</w:t>
      </w:r>
    </w:p>
    <w:p>
      <w:pPr>
        <w:spacing w:after="0" w:line="143"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material prices on to our customers, however, there are no assurances that we will be able to pass on cost increases in the future as our pricing must be competitive.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As of the end of the period covered by this Quarterly Report on Form 10-Q, we conducted an evaluation, under supervision and with the participation of management, including the chief executive officer and chief financial officer, of the effectiveness of the design and operation of our disclosure controls and procedures pursuant to Rules 13a-15 and 15d-15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was no change in our internal control over financial reporting during the second quarter of fiscal 2013 that has materially affected, or is reasonably likely to materially affect, our internal control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As previously reported in our quarterly report on Form 10-Q for the quarterly period ended July 1, 2012, on June 15, 2012, we entered into a settlement agreement with ICL Performance Products LP (“ICL”), a chemical supplier to us, pursuant to which we mutually resolved the previously disclosed litigation and all disputes among us. The settlement agreement provides for a cash payment by us to ICL and provides that both parties will enter into new contracts for the supply by ICL of certain chemicals to us. Our obligations under the settlement agreement resulted in a $3.2 million charge to pretax income recorded in cost of sales (approximately $2.0 million after tax) for our fiscal quarter ended July 1, 2012.</w:t>
      </w:r>
    </w:p>
    <w:p>
      <w:pPr>
        <w:spacing w:after="0" w:line="1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are a party from time to time in other legal proceedings arising in the ordinary course of our business. To date, none of the litigation has had a material effect on us.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risk factors from those disclosed in our Annual Report on Form 10-K for the fiscal year ended April 1, 2012.</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did not sell or repurchase any shares of our common stock during the second quarter of fiscal 2013.</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March 2011, an aggregate of 4,934 shares of our common stock were forfeited at an average price of $40.13 to satisfy tax withholding obligations that arose on the vesting of restricted stock.</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March 2012, an aggregate of 3,980 shares of our common stock were forfeited at an average price of $37.72 to satisfy tax withholding obligations that arose on the vesting of restricted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4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980" w:type="dxa"/>
            <w:vAlign w:val="bottom"/>
          </w:tcPr>
          <w:p>
            <w:pPr>
              <w:ind w:left="1320"/>
              <w:spacing w:after="0"/>
              <w:rPr>
                <w:sz w:val="20"/>
                <w:szCs w:val="20"/>
                <w:color w:val="auto"/>
              </w:rPr>
            </w:pPr>
            <w:r>
              <w:rPr>
                <w:rFonts w:ascii="Arial" w:cs="Arial" w:eastAsia="Arial" w:hAnsi="Arial"/>
                <w:sz w:val="18"/>
                <w:szCs w:val="18"/>
                <w:color w:val="auto"/>
              </w:rPr>
              <w:t>Exhibit Index</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53"/>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Exhibit</w:t>
            </w:r>
          </w:p>
        </w:tc>
        <w:tc>
          <w:tcPr>
            <w:tcW w:w="2360" w:type="dxa"/>
            <w:vAlign w:val="bottom"/>
          </w:tcPr>
          <w:p>
            <w:pPr>
              <w:spacing w:after="0"/>
              <w:rPr>
                <w:sz w:val="24"/>
                <w:szCs w:val="24"/>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1"/>
              </w:rPr>
              <w:t>Description</w:t>
            </w:r>
          </w:p>
        </w:tc>
        <w:tc>
          <w:tcPr>
            <w:tcW w:w="2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Method of Filing</w:t>
            </w:r>
          </w:p>
        </w:tc>
        <w:tc>
          <w:tcPr>
            <w:tcW w:w="440" w:type="dxa"/>
            <w:vAlign w:val="bottom"/>
          </w:tcPr>
          <w:p>
            <w:pPr>
              <w:spacing w:after="0"/>
              <w:rPr>
                <w:sz w:val="24"/>
                <w:szCs w:val="24"/>
                <w:color w:val="auto"/>
              </w:rPr>
            </w:pPr>
          </w:p>
        </w:tc>
      </w:tr>
      <w:tr>
        <w:trPr>
          <w:trHeight w:val="316"/>
        </w:trPr>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6020" w:type="dxa"/>
            <w:vAlign w:val="bottom"/>
            <w:gridSpan w:val="3"/>
          </w:tcPr>
          <w:p>
            <w:pPr>
              <w:ind w:left="240"/>
              <w:spacing w:after="0"/>
              <w:rPr>
                <w:sz w:val="20"/>
                <w:szCs w:val="20"/>
                <w:color w:val="auto"/>
              </w:rPr>
            </w:pPr>
            <w:r>
              <w:rPr>
                <w:rFonts w:ascii="Arial" w:cs="Arial" w:eastAsia="Arial" w:hAnsi="Arial"/>
                <w:sz w:val="18"/>
                <w:szCs w:val="18"/>
                <w:color w:val="auto"/>
              </w:rPr>
              <w:t>Amended and Restated Articles of Incorporation. (1)</w:t>
            </w:r>
          </w:p>
        </w:tc>
        <w:tc>
          <w:tcPr>
            <w:tcW w:w="2580" w:type="dxa"/>
            <w:vAlign w:val="bottom"/>
            <w:gridSpan w:val="3"/>
          </w:tcPr>
          <w:p>
            <w:pPr>
              <w:jc w:val="center"/>
              <w:ind w:left="632"/>
              <w:spacing w:after="0"/>
              <w:rPr>
                <w:sz w:val="20"/>
                <w:szCs w:val="20"/>
                <w:color w:val="auto"/>
              </w:rPr>
            </w:pPr>
            <w:r>
              <w:rPr>
                <w:rFonts w:ascii="Arial" w:cs="Arial" w:eastAsia="Arial" w:hAnsi="Arial"/>
                <w:sz w:val="18"/>
                <w:szCs w:val="18"/>
                <w:color w:val="auto"/>
                <w:w w:val="87"/>
              </w:rPr>
              <w:t>Incorporated by Reference</w:t>
            </w:r>
          </w:p>
        </w:tc>
      </w:tr>
      <w:tr>
        <w:trPr>
          <w:trHeight w:val="324"/>
        </w:trPr>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6020" w:type="dxa"/>
            <w:vAlign w:val="bottom"/>
            <w:gridSpan w:val="3"/>
          </w:tcPr>
          <w:p>
            <w:pPr>
              <w:ind w:left="240"/>
              <w:spacing w:after="0"/>
              <w:rPr>
                <w:sz w:val="20"/>
                <w:szCs w:val="20"/>
                <w:color w:val="auto"/>
              </w:rPr>
            </w:pPr>
            <w:r>
              <w:rPr>
                <w:rFonts w:ascii="Arial" w:cs="Arial" w:eastAsia="Arial" w:hAnsi="Arial"/>
                <w:sz w:val="18"/>
                <w:szCs w:val="18"/>
                <w:color w:val="auto"/>
              </w:rPr>
              <w:t>Amended and Restated By-Laws. (2)</w:t>
            </w:r>
          </w:p>
        </w:tc>
        <w:tc>
          <w:tcPr>
            <w:tcW w:w="2580" w:type="dxa"/>
            <w:vAlign w:val="bottom"/>
            <w:gridSpan w:val="3"/>
          </w:tcPr>
          <w:p>
            <w:pPr>
              <w:jc w:val="center"/>
              <w:ind w:left="632"/>
              <w:spacing w:after="0"/>
              <w:rPr>
                <w:sz w:val="20"/>
                <w:szCs w:val="20"/>
                <w:color w:val="auto"/>
              </w:rPr>
            </w:pPr>
            <w:r>
              <w:rPr>
                <w:rFonts w:ascii="Arial" w:cs="Arial" w:eastAsia="Arial" w:hAnsi="Arial"/>
                <w:sz w:val="18"/>
                <w:szCs w:val="18"/>
                <w:color w:val="auto"/>
                <w:w w:val="87"/>
              </w:rPr>
              <w:t>Incorporated by Reference</w:t>
            </w:r>
          </w:p>
        </w:tc>
      </w:tr>
      <w:tr>
        <w:trPr>
          <w:trHeight w:val="318"/>
        </w:trPr>
        <w:tc>
          <w:tcPr>
            <w:tcW w:w="420" w:type="dxa"/>
            <w:vAlign w:val="bottom"/>
          </w:tcPr>
          <w:p>
            <w:pPr>
              <w:jc w:val="right"/>
              <w:spacing w:after="0"/>
              <w:rPr>
                <w:sz w:val="20"/>
                <w:szCs w:val="20"/>
                <w:color w:val="auto"/>
              </w:rPr>
            </w:pPr>
            <w:r>
              <w:rPr>
                <w:rFonts w:ascii="Arial" w:cs="Arial" w:eastAsia="Arial" w:hAnsi="Arial"/>
                <w:sz w:val="18"/>
                <w:szCs w:val="18"/>
                <w:color w:val="auto"/>
              </w:rPr>
              <w:t>31.1</w:t>
            </w:r>
          </w:p>
        </w:tc>
        <w:tc>
          <w:tcPr>
            <w:tcW w:w="6020" w:type="dxa"/>
            <w:vAlign w:val="bottom"/>
            <w:gridSpan w:val="3"/>
          </w:tcPr>
          <w:p>
            <w:pPr>
              <w:ind w:left="240"/>
              <w:spacing w:after="0"/>
              <w:rPr>
                <w:sz w:val="20"/>
                <w:szCs w:val="20"/>
                <w:color w:val="auto"/>
              </w:rPr>
            </w:pPr>
            <w:r>
              <w:rPr>
                <w:rFonts w:ascii="Arial" w:cs="Arial" w:eastAsia="Arial" w:hAnsi="Arial"/>
                <w:sz w:val="18"/>
                <w:szCs w:val="18"/>
                <w:color w:val="auto"/>
              </w:rPr>
              <w:t>Certification by Chief Executive Officer pursuant to Rule 13a-14(a)</w:t>
            </w: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22"/>
        </w:trPr>
        <w:tc>
          <w:tcPr>
            <w:tcW w:w="420" w:type="dxa"/>
            <w:vAlign w:val="bottom"/>
          </w:tcPr>
          <w:p>
            <w:pPr>
              <w:spacing w:after="0"/>
              <w:rPr>
                <w:sz w:val="19"/>
                <w:szCs w:val="19"/>
                <w:color w:val="auto"/>
              </w:rPr>
            </w:pPr>
          </w:p>
        </w:tc>
        <w:tc>
          <w:tcPr>
            <w:tcW w:w="6020" w:type="dxa"/>
            <w:vAlign w:val="bottom"/>
            <w:gridSpan w:val="3"/>
          </w:tcPr>
          <w:p>
            <w:pPr>
              <w:ind w:left="240"/>
              <w:spacing w:after="0"/>
              <w:rPr>
                <w:sz w:val="20"/>
                <w:szCs w:val="20"/>
                <w:color w:val="auto"/>
              </w:rPr>
            </w:pPr>
            <w:r>
              <w:rPr>
                <w:rFonts w:ascii="Arial" w:cs="Arial" w:eastAsia="Arial" w:hAnsi="Arial"/>
                <w:sz w:val="18"/>
                <w:szCs w:val="18"/>
                <w:color w:val="auto"/>
              </w:rPr>
              <w:t>of the Exchange Act.</w:t>
            </w:r>
          </w:p>
        </w:tc>
        <w:tc>
          <w:tcPr>
            <w:tcW w:w="2580" w:type="dxa"/>
            <w:vAlign w:val="bottom"/>
            <w:gridSpan w:val="3"/>
          </w:tcPr>
          <w:p>
            <w:pPr>
              <w:jc w:val="center"/>
              <w:ind w:left="632"/>
              <w:spacing w:after="0"/>
              <w:rPr>
                <w:sz w:val="20"/>
                <w:szCs w:val="20"/>
                <w:color w:val="auto"/>
              </w:rPr>
            </w:pPr>
            <w:r>
              <w:rPr>
                <w:rFonts w:ascii="Arial" w:cs="Arial" w:eastAsia="Arial" w:hAnsi="Arial"/>
                <w:sz w:val="18"/>
                <w:szCs w:val="18"/>
                <w:color w:val="auto"/>
                <w:w w:val="91"/>
              </w:rPr>
              <w:t>Filed Electronically</w:t>
            </w:r>
          </w:p>
        </w:tc>
      </w:tr>
      <w:tr>
        <w:trPr>
          <w:trHeight w:val="318"/>
        </w:trPr>
        <w:tc>
          <w:tcPr>
            <w:tcW w:w="420" w:type="dxa"/>
            <w:vAlign w:val="bottom"/>
          </w:tcPr>
          <w:p>
            <w:pPr>
              <w:jc w:val="right"/>
              <w:spacing w:after="0"/>
              <w:rPr>
                <w:sz w:val="20"/>
                <w:szCs w:val="20"/>
                <w:color w:val="auto"/>
              </w:rPr>
            </w:pPr>
            <w:r>
              <w:rPr>
                <w:rFonts w:ascii="Arial" w:cs="Arial" w:eastAsia="Arial" w:hAnsi="Arial"/>
                <w:sz w:val="18"/>
                <w:szCs w:val="18"/>
                <w:color w:val="auto"/>
              </w:rPr>
              <w:t>31.2</w:t>
            </w:r>
          </w:p>
        </w:tc>
        <w:tc>
          <w:tcPr>
            <w:tcW w:w="6020" w:type="dxa"/>
            <w:vAlign w:val="bottom"/>
            <w:gridSpan w:val="3"/>
          </w:tcPr>
          <w:p>
            <w:pPr>
              <w:ind w:left="240"/>
              <w:spacing w:after="0"/>
              <w:rPr>
                <w:sz w:val="20"/>
                <w:szCs w:val="20"/>
                <w:color w:val="auto"/>
              </w:rPr>
            </w:pPr>
            <w:r>
              <w:rPr>
                <w:rFonts w:ascii="Arial" w:cs="Arial" w:eastAsia="Arial" w:hAnsi="Arial"/>
                <w:sz w:val="18"/>
                <w:szCs w:val="18"/>
                <w:color w:val="auto"/>
              </w:rPr>
              <w:t>Certification by Chief Financial Officer pursuant to Rule 13a-14(a) of</w:t>
            </w: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22"/>
        </w:trPr>
        <w:tc>
          <w:tcPr>
            <w:tcW w:w="420" w:type="dxa"/>
            <w:vAlign w:val="bottom"/>
          </w:tcPr>
          <w:p>
            <w:pPr>
              <w:spacing w:after="0"/>
              <w:rPr>
                <w:sz w:val="19"/>
                <w:szCs w:val="19"/>
                <w:color w:val="auto"/>
              </w:rPr>
            </w:pPr>
          </w:p>
        </w:tc>
        <w:tc>
          <w:tcPr>
            <w:tcW w:w="6020" w:type="dxa"/>
            <w:vAlign w:val="bottom"/>
            <w:gridSpan w:val="3"/>
          </w:tcPr>
          <w:p>
            <w:pPr>
              <w:ind w:left="240"/>
              <w:spacing w:after="0"/>
              <w:rPr>
                <w:sz w:val="20"/>
                <w:szCs w:val="20"/>
                <w:color w:val="auto"/>
              </w:rPr>
            </w:pPr>
            <w:r>
              <w:rPr>
                <w:rFonts w:ascii="Arial" w:cs="Arial" w:eastAsia="Arial" w:hAnsi="Arial"/>
                <w:sz w:val="18"/>
                <w:szCs w:val="18"/>
                <w:color w:val="auto"/>
              </w:rPr>
              <w:t>the Exchange Act.</w:t>
            </w:r>
          </w:p>
        </w:tc>
        <w:tc>
          <w:tcPr>
            <w:tcW w:w="2580" w:type="dxa"/>
            <w:vAlign w:val="bottom"/>
            <w:gridSpan w:val="3"/>
          </w:tcPr>
          <w:p>
            <w:pPr>
              <w:jc w:val="center"/>
              <w:ind w:left="632"/>
              <w:spacing w:after="0"/>
              <w:rPr>
                <w:sz w:val="20"/>
                <w:szCs w:val="20"/>
                <w:color w:val="auto"/>
              </w:rPr>
            </w:pPr>
            <w:r>
              <w:rPr>
                <w:rFonts w:ascii="Arial" w:cs="Arial" w:eastAsia="Arial" w:hAnsi="Arial"/>
                <w:sz w:val="18"/>
                <w:szCs w:val="18"/>
                <w:color w:val="auto"/>
                <w:w w:val="91"/>
              </w:rPr>
              <w:t>Filed Electronically</w:t>
            </w:r>
          </w:p>
        </w:tc>
      </w:tr>
      <w:tr>
        <w:trPr>
          <w:trHeight w:val="324"/>
        </w:trPr>
        <w:tc>
          <w:tcPr>
            <w:tcW w:w="420" w:type="dxa"/>
            <w:vAlign w:val="bottom"/>
          </w:tcPr>
          <w:p>
            <w:pPr>
              <w:jc w:val="right"/>
              <w:spacing w:after="0"/>
              <w:rPr>
                <w:sz w:val="20"/>
                <w:szCs w:val="20"/>
                <w:color w:val="auto"/>
              </w:rPr>
            </w:pPr>
            <w:r>
              <w:rPr>
                <w:rFonts w:ascii="Arial" w:cs="Arial" w:eastAsia="Arial" w:hAnsi="Arial"/>
                <w:sz w:val="18"/>
                <w:szCs w:val="18"/>
                <w:color w:val="auto"/>
              </w:rPr>
              <w:t>32.1</w:t>
            </w:r>
          </w:p>
        </w:tc>
        <w:tc>
          <w:tcPr>
            <w:tcW w:w="6020" w:type="dxa"/>
            <w:vAlign w:val="bottom"/>
            <w:gridSpan w:val="3"/>
          </w:tcPr>
          <w:p>
            <w:pPr>
              <w:ind w:left="240"/>
              <w:spacing w:after="0"/>
              <w:rPr>
                <w:sz w:val="20"/>
                <w:szCs w:val="20"/>
                <w:color w:val="auto"/>
              </w:rPr>
            </w:pPr>
            <w:r>
              <w:rPr>
                <w:rFonts w:ascii="Arial" w:cs="Arial" w:eastAsia="Arial" w:hAnsi="Arial"/>
                <w:sz w:val="18"/>
                <w:szCs w:val="18"/>
                <w:color w:val="auto"/>
              </w:rPr>
              <w:t>Section 1350 Certification by Chief Executive Officer.</w:t>
            </w:r>
          </w:p>
        </w:tc>
        <w:tc>
          <w:tcPr>
            <w:tcW w:w="2580" w:type="dxa"/>
            <w:vAlign w:val="bottom"/>
            <w:gridSpan w:val="3"/>
          </w:tcPr>
          <w:p>
            <w:pPr>
              <w:jc w:val="center"/>
              <w:ind w:left="632"/>
              <w:spacing w:after="0"/>
              <w:rPr>
                <w:sz w:val="20"/>
                <w:szCs w:val="20"/>
                <w:color w:val="auto"/>
              </w:rPr>
            </w:pPr>
            <w:r>
              <w:rPr>
                <w:rFonts w:ascii="Arial" w:cs="Arial" w:eastAsia="Arial" w:hAnsi="Arial"/>
                <w:sz w:val="18"/>
                <w:szCs w:val="18"/>
                <w:color w:val="auto"/>
                <w:w w:val="91"/>
              </w:rPr>
              <w:t>Filed Electronically</w:t>
            </w:r>
          </w:p>
        </w:tc>
      </w:tr>
      <w:tr>
        <w:trPr>
          <w:trHeight w:val="324"/>
        </w:trPr>
        <w:tc>
          <w:tcPr>
            <w:tcW w:w="420" w:type="dxa"/>
            <w:vAlign w:val="bottom"/>
          </w:tcPr>
          <w:p>
            <w:pPr>
              <w:jc w:val="right"/>
              <w:spacing w:after="0"/>
              <w:rPr>
                <w:sz w:val="20"/>
                <w:szCs w:val="20"/>
                <w:color w:val="auto"/>
              </w:rPr>
            </w:pPr>
            <w:r>
              <w:rPr>
                <w:rFonts w:ascii="Arial" w:cs="Arial" w:eastAsia="Arial" w:hAnsi="Arial"/>
                <w:sz w:val="18"/>
                <w:szCs w:val="18"/>
                <w:color w:val="auto"/>
              </w:rPr>
              <w:t>32.2</w:t>
            </w:r>
          </w:p>
        </w:tc>
        <w:tc>
          <w:tcPr>
            <w:tcW w:w="6020" w:type="dxa"/>
            <w:vAlign w:val="bottom"/>
            <w:gridSpan w:val="3"/>
          </w:tcPr>
          <w:p>
            <w:pPr>
              <w:ind w:left="240"/>
              <w:spacing w:after="0"/>
              <w:rPr>
                <w:sz w:val="20"/>
                <w:szCs w:val="20"/>
                <w:color w:val="auto"/>
              </w:rPr>
            </w:pPr>
            <w:r>
              <w:rPr>
                <w:rFonts w:ascii="Arial" w:cs="Arial" w:eastAsia="Arial" w:hAnsi="Arial"/>
                <w:sz w:val="18"/>
                <w:szCs w:val="18"/>
                <w:color w:val="auto"/>
              </w:rPr>
              <w:t>Section 1350 Certification by Chief Financial Officer.</w:t>
            </w:r>
          </w:p>
        </w:tc>
        <w:tc>
          <w:tcPr>
            <w:tcW w:w="2580" w:type="dxa"/>
            <w:vAlign w:val="bottom"/>
            <w:gridSpan w:val="3"/>
          </w:tcPr>
          <w:p>
            <w:pPr>
              <w:jc w:val="center"/>
              <w:ind w:left="632"/>
              <w:spacing w:after="0"/>
              <w:rPr>
                <w:sz w:val="20"/>
                <w:szCs w:val="20"/>
                <w:color w:val="auto"/>
              </w:rPr>
            </w:pPr>
            <w:r>
              <w:rPr>
                <w:rFonts w:ascii="Arial" w:cs="Arial" w:eastAsia="Arial" w:hAnsi="Arial"/>
                <w:sz w:val="18"/>
                <w:szCs w:val="18"/>
                <w:color w:val="auto"/>
                <w:w w:val="91"/>
              </w:rPr>
              <w:t>Filed Electronically</w:t>
            </w:r>
          </w:p>
        </w:tc>
      </w:tr>
      <w:tr>
        <w:trPr>
          <w:trHeight w:val="318"/>
        </w:trPr>
        <w:tc>
          <w:tcPr>
            <w:tcW w:w="420" w:type="dxa"/>
            <w:vAlign w:val="bottom"/>
          </w:tcPr>
          <w:p>
            <w:pPr>
              <w:spacing w:after="0"/>
              <w:rPr>
                <w:sz w:val="20"/>
                <w:szCs w:val="20"/>
                <w:color w:val="auto"/>
              </w:rPr>
            </w:pPr>
            <w:r>
              <w:rPr>
                <w:rFonts w:ascii="Arial" w:cs="Arial" w:eastAsia="Arial" w:hAnsi="Arial"/>
                <w:sz w:val="18"/>
                <w:szCs w:val="18"/>
                <w:color w:val="auto"/>
              </w:rPr>
              <w:t>101</w:t>
            </w:r>
          </w:p>
        </w:tc>
        <w:tc>
          <w:tcPr>
            <w:tcW w:w="6020" w:type="dxa"/>
            <w:vAlign w:val="bottom"/>
            <w:gridSpan w:val="3"/>
          </w:tcPr>
          <w:p>
            <w:pPr>
              <w:ind w:left="240"/>
              <w:spacing w:after="0"/>
              <w:rPr>
                <w:sz w:val="20"/>
                <w:szCs w:val="20"/>
                <w:color w:val="auto"/>
              </w:rPr>
            </w:pPr>
            <w:r>
              <w:rPr>
                <w:rFonts w:ascii="Arial" w:cs="Arial" w:eastAsia="Arial" w:hAnsi="Arial"/>
                <w:sz w:val="18"/>
                <w:szCs w:val="18"/>
                <w:color w:val="auto"/>
              </w:rPr>
              <w:t>Financial statements from the Quarterly Report on Form 10-Q of</w:t>
            </w:r>
          </w:p>
        </w:tc>
        <w:tc>
          <w:tcPr>
            <w:tcW w:w="2580" w:type="dxa"/>
            <w:vAlign w:val="bottom"/>
            <w:gridSpan w:val="3"/>
          </w:tcPr>
          <w:p>
            <w:pPr>
              <w:jc w:val="center"/>
              <w:ind w:left="632"/>
              <w:spacing w:after="0"/>
              <w:rPr>
                <w:sz w:val="20"/>
                <w:szCs w:val="20"/>
                <w:color w:val="auto"/>
              </w:rPr>
            </w:pPr>
            <w:r>
              <w:rPr>
                <w:rFonts w:ascii="Arial" w:cs="Arial" w:eastAsia="Arial" w:hAnsi="Arial"/>
                <w:sz w:val="18"/>
                <w:szCs w:val="18"/>
                <w:color w:val="auto"/>
                <w:w w:val="91"/>
              </w:rPr>
              <w:t>Filed Electronically</w:t>
            </w:r>
          </w:p>
        </w:tc>
      </w:tr>
      <w:tr>
        <w:trPr>
          <w:trHeight w:val="216"/>
        </w:trPr>
        <w:tc>
          <w:tcPr>
            <w:tcW w:w="420" w:type="dxa"/>
            <w:vAlign w:val="bottom"/>
          </w:tcPr>
          <w:p>
            <w:pPr>
              <w:spacing w:after="0"/>
              <w:rPr>
                <w:sz w:val="18"/>
                <w:szCs w:val="18"/>
                <w:color w:val="auto"/>
              </w:rPr>
            </w:pPr>
          </w:p>
        </w:tc>
        <w:tc>
          <w:tcPr>
            <w:tcW w:w="6020" w:type="dxa"/>
            <w:vAlign w:val="bottom"/>
            <w:gridSpan w:val="3"/>
          </w:tcPr>
          <w:p>
            <w:pPr>
              <w:ind w:left="240"/>
              <w:spacing w:after="0"/>
              <w:rPr>
                <w:sz w:val="20"/>
                <w:szCs w:val="20"/>
                <w:color w:val="auto"/>
              </w:rPr>
            </w:pPr>
            <w:r>
              <w:rPr>
                <w:rFonts w:ascii="Arial" w:cs="Arial" w:eastAsia="Arial" w:hAnsi="Arial"/>
                <w:sz w:val="18"/>
                <w:szCs w:val="18"/>
                <w:color w:val="auto"/>
              </w:rPr>
              <w:t>Hawkins, Inc. for the period ended September 30, 2012, filed with the</w:t>
            </w: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22"/>
        </w:trPr>
        <w:tc>
          <w:tcPr>
            <w:tcW w:w="420" w:type="dxa"/>
            <w:vAlign w:val="bottom"/>
          </w:tcPr>
          <w:p>
            <w:pPr>
              <w:spacing w:after="0"/>
              <w:rPr>
                <w:sz w:val="19"/>
                <w:szCs w:val="19"/>
                <w:color w:val="auto"/>
              </w:rPr>
            </w:pPr>
          </w:p>
        </w:tc>
        <w:tc>
          <w:tcPr>
            <w:tcW w:w="6020" w:type="dxa"/>
            <w:vAlign w:val="bottom"/>
            <w:gridSpan w:val="3"/>
          </w:tcPr>
          <w:p>
            <w:pPr>
              <w:ind w:left="240"/>
              <w:spacing w:after="0"/>
              <w:rPr>
                <w:sz w:val="20"/>
                <w:szCs w:val="20"/>
                <w:color w:val="auto"/>
              </w:rPr>
            </w:pPr>
            <w:r>
              <w:rPr>
                <w:rFonts w:ascii="Arial" w:cs="Arial" w:eastAsia="Arial" w:hAnsi="Arial"/>
                <w:sz w:val="18"/>
                <w:szCs w:val="18"/>
                <w:color w:val="auto"/>
              </w:rPr>
              <w:t>SEC on October 31, 2012, formatted in Extensible Business</w:t>
            </w: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r>
    </w:tbl>
    <w:p>
      <w:pPr>
        <w:ind w:left="1120"/>
        <w:spacing w:after="0"/>
        <w:rPr>
          <w:sz w:val="20"/>
          <w:szCs w:val="20"/>
          <w:color w:val="auto"/>
        </w:rPr>
      </w:pPr>
      <w:r>
        <w:rPr>
          <w:rFonts w:ascii="Arial" w:cs="Arial" w:eastAsia="Arial" w:hAnsi="Arial"/>
          <w:sz w:val="18"/>
          <w:szCs w:val="18"/>
          <w:color w:val="auto"/>
        </w:rPr>
        <w:t>Reporting Language (XBRL); (i) the Condensed Consolidated</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Balance Sheets at September 30, 2012 and April 1, 2012, (ii) the</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Condensed Consolidated Statements of Income for the Three and Six</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Months Ended September 30, 2012 and October 2, 2011, (iii) the</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Condensed Consolidated Statements of Comprehensive Income for</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the Three and Six Months Ended September 30, 2012 and October 2,</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2011, (iv) the Condensed Consolidated Statements of Cash Flows for</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the Six Months Ended September 30, 2012 and October 2, 2011, and</w:t>
      </w:r>
    </w:p>
    <w:p>
      <w:pPr>
        <w:spacing w:after="0" w:line="9" w:lineRule="exact"/>
        <w:rPr>
          <w:sz w:val="20"/>
          <w:szCs w:val="20"/>
          <w:color w:val="auto"/>
        </w:rPr>
      </w:pPr>
    </w:p>
    <w:p>
      <w:pPr>
        <w:ind w:left="1360" w:hanging="245"/>
        <w:spacing w:after="0"/>
        <w:tabs>
          <w:tab w:leader="none" w:pos="1360" w:val="left"/>
        </w:tabs>
        <w:numPr>
          <w:ilvl w:val="1"/>
          <w:numId w:val="1"/>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w:t>
      </w:r>
    </w:p>
    <w:p>
      <w:pPr>
        <w:spacing w:after="0" w:line="205"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Quarterly Report on Form 10-Q for the period ended June 30, 2010, filed on July 29, 2010.</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Current Report on Form 8-K dated October 28, 2009 and filed November 3, 2009.</w:t>
      </w:r>
    </w:p>
    <w:p>
      <w:pPr>
        <w:spacing w:after="0" w:line="17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240" w:top="459" w:right="6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HAWKINS, INC.</w:t>
      </w:r>
    </w:p>
    <w:p>
      <w:pPr>
        <w:spacing w:after="0" w:line="225" w:lineRule="exact"/>
        <w:rPr>
          <w:sz w:val="20"/>
          <w:szCs w:val="20"/>
          <w:color w:val="auto"/>
        </w:rPr>
      </w:pPr>
    </w:p>
    <w:p>
      <w:pPr>
        <w:ind w:left="5920"/>
        <w:spacing w:after="0"/>
        <w:tabs>
          <w:tab w:leader="none" w:pos="8000" w:val="left"/>
          <w:tab w:leader="none" w:pos="8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Vice President, Chief Financial Officer, and Treasurer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6"/>
          <w:szCs w:val="16"/>
          <w:color w:val="auto"/>
        </w:rPr>
        <w:t>(On behalf of the Registrant and as principal financial officer)</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31, 2012</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24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920"/>
        <w:spacing w:after="0"/>
        <w:rPr>
          <w:sz w:val="20"/>
          <w:szCs w:val="20"/>
          <w:color w:val="auto"/>
        </w:rPr>
      </w:pPr>
      <w:r>
        <w:rPr>
          <w:rFonts w:ascii="Arial" w:cs="Arial" w:eastAsia="Arial" w:hAnsi="Arial"/>
          <w:sz w:val="18"/>
          <w:szCs w:val="18"/>
          <w:b w:val="1"/>
          <w:bCs w:val="1"/>
          <w:color w:val="auto"/>
        </w:rPr>
        <w:t>Exhibit Index</w:t>
      </w:r>
    </w:p>
    <w:p>
      <w:pPr>
        <w:spacing w:after="0" w:line="215" w:lineRule="exact"/>
        <w:rPr>
          <w:sz w:val="20"/>
          <w:szCs w:val="20"/>
          <w:color w:val="auto"/>
        </w:rPr>
      </w:pPr>
    </w:p>
    <w:p>
      <w:pPr>
        <w:spacing w:after="0"/>
        <w:tabs>
          <w:tab w:leader="none" w:pos="3060" w:val="left"/>
        </w:tabs>
        <w:rPr>
          <w:sz w:val="20"/>
          <w:szCs w:val="20"/>
          <w:color w:val="auto"/>
        </w:rPr>
      </w:pPr>
      <w:r>
        <w:rPr>
          <w:rFonts w:ascii="Arial" w:cs="Arial" w:eastAsia="Arial" w:hAnsi="Arial"/>
          <w:sz w:val="14"/>
          <w:szCs w:val="14"/>
          <w:u w:val="single" w:color="auto"/>
          <w:color w:val="auto"/>
        </w:rPr>
        <w:t>Exhibit</w:t>
      </w:r>
      <w:r>
        <w:rPr>
          <w:sz w:val="20"/>
          <w:szCs w:val="20"/>
          <w:color w:val="auto"/>
        </w:rPr>
        <w:tab/>
      </w:r>
      <w:r>
        <w:rPr>
          <w:rFonts w:ascii="Arial" w:cs="Arial" w:eastAsia="Arial" w:hAnsi="Arial"/>
          <w:sz w:val="14"/>
          <w:szCs w:val="14"/>
          <w:u w:val="single" w:color="auto"/>
          <w:color w:val="auto"/>
        </w:rPr>
        <w:t>Description</w:t>
      </w:r>
    </w:p>
    <w:p>
      <w:pPr>
        <w:spacing w:after="0" w:line="112" w:lineRule="exact"/>
        <w:rPr>
          <w:sz w:val="20"/>
          <w:szCs w:val="20"/>
          <w:color w:val="auto"/>
        </w:rPr>
      </w:pPr>
    </w:p>
    <w:p>
      <w:pPr>
        <w:ind w:left="180"/>
        <w:spacing w:after="0"/>
        <w:tabs>
          <w:tab w:leader="none" w:pos="7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w:t>
      </w:r>
    </w:p>
    <w:p>
      <w:pPr>
        <w:spacing w:after="0" w:line="117" w:lineRule="exact"/>
        <w:rPr>
          <w:sz w:val="20"/>
          <w:szCs w:val="20"/>
          <w:color w:val="auto"/>
        </w:rPr>
      </w:pPr>
    </w:p>
    <w:p>
      <w:pPr>
        <w:ind w:left="180"/>
        <w:spacing w:after="0"/>
        <w:tabs>
          <w:tab w:leader="none" w:pos="7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Amended and Restated By-Laws.</w:t>
      </w:r>
    </w:p>
    <w:p>
      <w:pPr>
        <w:spacing w:after="0" w:line="117" w:lineRule="exact"/>
        <w:rPr>
          <w:sz w:val="20"/>
          <w:szCs w:val="20"/>
          <w:color w:val="auto"/>
        </w:rPr>
      </w:pPr>
    </w:p>
    <w:p>
      <w:pPr>
        <w:ind w:left="720" w:right="1220" w:hanging="614"/>
        <w:spacing w:after="0" w:line="268" w:lineRule="auto"/>
        <w:tabs>
          <w:tab w:leader="none" w:pos="7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by Chief Executive Officer pursuant to Rule 13a-14(a) of the Exchange Act.</w:t>
      </w:r>
    </w:p>
    <w:p>
      <w:pPr>
        <w:spacing w:after="0" w:line="78" w:lineRule="exact"/>
        <w:rPr>
          <w:sz w:val="20"/>
          <w:szCs w:val="20"/>
          <w:color w:val="auto"/>
        </w:rPr>
      </w:pPr>
    </w:p>
    <w:p>
      <w:pPr>
        <w:ind w:left="720" w:right="1260" w:hanging="614"/>
        <w:spacing w:after="0" w:line="268" w:lineRule="auto"/>
        <w:tabs>
          <w:tab w:leader="none" w:pos="7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by Chief Financial Officer pursuant to Rule 13a-14(a) of the Exchange Act.</w:t>
      </w:r>
    </w:p>
    <w:p>
      <w:pPr>
        <w:spacing w:after="0" w:line="78" w:lineRule="exact"/>
        <w:rPr>
          <w:sz w:val="20"/>
          <w:szCs w:val="20"/>
          <w:color w:val="auto"/>
        </w:rPr>
      </w:pPr>
    </w:p>
    <w:p>
      <w:pPr>
        <w:ind w:left="100"/>
        <w:spacing w:after="0"/>
        <w:tabs>
          <w:tab w:leader="none" w:pos="7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by Chief Executive Officer.</w:t>
      </w:r>
    </w:p>
    <w:p>
      <w:pPr>
        <w:spacing w:after="0" w:line="117" w:lineRule="exact"/>
        <w:rPr>
          <w:sz w:val="20"/>
          <w:szCs w:val="20"/>
          <w:color w:val="auto"/>
        </w:rPr>
      </w:pPr>
    </w:p>
    <w:p>
      <w:pPr>
        <w:ind w:left="100"/>
        <w:spacing w:after="0"/>
        <w:tabs>
          <w:tab w:leader="none" w:pos="7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by Chief Financial Officer.</w:t>
      </w:r>
    </w:p>
    <w:p>
      <w:pPr>
        <w:spacing w:after="0" w:line="117" w:lineRule="exact"/>
        <w:rPr>
          <w:sz w:val="20"/>
          <w:szCs w:val="20"/>
          <w:color w:val="auto"/>
        </w:rPr>
      </w:pPr>
    </w:p>
    <w:p>
      <w:pPr>
        <w:ind w:left="720" w:right="1100" w:hanging="712"/>
        <w:spacing w:after="0" w:line="307" w:lineRule="auto"/>
        <w:tabs>
          <w:tab w:leader="none" w:pos="720" w:val="left"/>
        </w:tabs>
        <w:numPr>
          <w:ilvl w:val="0"/>
          <w:numId w:val="3"/>
        </w:numPr>
        <w:rPr>
          <w:rFonts w:ascii="Arial" w:cs="Arial" w:eastAsia="Arial" w:hAnsi="Arial"/>
          <w:sz w:val="15"/>
          <w:szCs w:val="15"/>
          <w:color w:val="auto"/>
        </w:rPr>
      </w:pPr>
      <w:r>
        <w:rPr>
          <w:rFonts w:ascii="Arial" w:cs="Arial" w:eastAsia="Arial" w:hAnsi="Arial"/>
          <w:sz w:val="15"/>
          <w:szCs w:val="15"/>
          <w:color w:val="auto"/>
        </w:rPr>
        <w:t>Financial statements from the Quarterly Report on Form 10-Q of Hawkins, Inc. for the period ended September 30, 2012, filed with the SEC on October 31, 2012, formatted in Extensible Business Reporting Language (XBRL); (i) the Condensed Consolidated Balance Sheets at September 30, 2012 and April 1, 2012, (ii) the Condensed Consolidated Statements of Income for the Three and Six Months Ended September 30, 2012 and October 2, 2011, (iii) the Condensed Consolidated Statements of Comprehensive Income for the Three and Six Months Ended September 30, 2012 and October 2, 2011, (iv) the Condensed Consolidated Statements of Cash Flows for the Six Months Ended September 30, 2012 and October 2, 2011, and (v) Notes to Condensed Consolidated Financial Statements.</w:t>
      </w:r>
    </w:p>
    <w:p>
      <w:pPr>
        <w:spacing w:after="0" w:line="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79"/>
        <w:spacing w:after="0"/>
        <w:rPr>
          <w:sz w:val="20"/>
          <w:szCs w:val="20"/>
          <w:color w:val="auto"/>
        </w:rPr>
      </w:pPr>
      <w:r>
        <w:rPr>
          <w:rFonts w:ascii="Arial" w:cs="Arial" w:eastAsia="Arial" w:hAnsi="Arial"/>
          <w:sz w:val="14"/>
          <w:szCs w:val="14"/>
          <w:u w:val="single" w:color="auto"/>
          <w:color w:val="auto"/>
        </w:rPr>
        <w:t>Method of Filing</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Incorporated by Reference</w:t>
      </w:r>
    </w:p>
    <w:p>
      <w:pPr>
        <w:spacing w:after="0" w:line="3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Filed Electronically</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Filed Electronically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Filed Electronically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Filed Electronically</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Filed Electronically</w:t>
      </w:r>
    </w:p>
    <w:p>
      <w:pPr>
        <w:sectPr>
          <w:pgSz w:w="11900" w:h="16838" w:orient="portrait"/>
          <w:cols w:equalWidth="0" w:num="2">
            <w:col w:w="7140" w:space="720"/>
            <w:col w:w="2359"/>
          </w:cols>
          <w:pgMar w:left="240" w:top="459" w:right="1440"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90"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180" w:hanging="446"/>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0" w:hanging="567"/>
        <w:spacing w:after="0" w:line="259" w:lineRule="auto"/>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2012</w:t>
      </w:r>
    </w:p>
    <w:p>
      <w:pPr>
        <w:spacing w:after="0" w:line="22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Patrick H. Hawkins</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90"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Hawkins,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18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Rules 13a-15(f) and 15d-15(f)) for the registrant and we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0" w:hanging="567"/>
        <w:spacing w:after="0" w:line="259"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31,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30, 2012, as filed with the Securities and Exchange Commission on the date hereof (the Report), I, Patrick H. Hawkins, Chief Executive Officer of the Company, certify, pursuant to 18 U.S.C. § 1350, as adopted pursuant to § 906 of the Sarbanes-Oxley Act of 2002, that:</w:t>
      </w:r>
    </w:p>
    <w:p>
      <w:pPr>
        <w:spacing w:after="0" w:line="140" w:lineRule="exact"/>
        <w:rPr>
          <w:sz w:val="20"/>
          <w:szCs w:val="20"/>
          <w:color w:val="auto"/>
        </w:rPr>
      </w:pPr>
    </w:p>
    <w:p>
      <w:pPr>
        <w:ind w:left="720" w:hanging="256"/>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Patrick H. Hawkins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2012</w:t>
      </w:r>
    </w:p>
    <w:p>
      <w:pPr>
        <w:sectPr>
          <w:pgSz w:w="11900" w:h="16838" w:orient="portrait"/>
          <w:cols w:equalWidth="0" w:num="1">
            <w:col w:w="11420"/>
          </w:cols>
          <w:pgMar w:left="240" w:top="12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of Hawkins, Inc. (the Company) on Form 10-Q for the period ended September 30, 2012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140" w:lineRule="exact"/>
        <w:rPr>
          <w:sz w:val="20"/>
          <w:szCs w:val="20"/>
          <w:color w:val="auto"/>
        </w:rPr>
      </w:pPr>
    </w:p>
    <w:p>
      <w:pPr>
        <w:ind w:left="720" w:hanging="256"/>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Kathleen P. Pepski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31,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lvl w:ilvl="1">
      <w:lvlJc w:val="left"/>
      <w:lvlText w:val="(%2)"/>
      <w:numFmt w:val="lowerRoman"/>
      <w:start w:val="5"/>
    </w:lvl>
  </w:abstractNum>
  <w:abstractNum w:abstractNumId="1">
    <w:nsid w:val="238E1F29"/>
    <w:multiLevelType w:val="hybridMultilevel"/>
    <w:lvl w:ilvl="0">
      <w:lvlJc w:val="left"/>
      <w:lvlText w:val="(%1)"/>
      <w:numFmt w:val="decimal"/>
      <w:start w:val="1"/>
    </w:lvl>
    <w:lvl w:ilvl="1">
      <w:lvlJc w:val="left"/>
      <w:lvlText w:val="%2"/>
      <w:numFmt w:val="lowerRoman"/>
      <w:start w:val="1"/>
    </w:lvl>
  </w:abstractNum>
  <w:abstractNum w:abstractNumId="2">
    <w:nsid w:val="46E87CCD"/>
    <w:multiLevelType w:val="hybridMultilevel"/>
    <w:lvl w:ilvl="0">
      <w:lvlJc w:val="left"/>
      <w:lvlText w:val="%1"/>
      <w:numFmt w:val="decimal"/>
      <w:start w:val="10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2019-12-09T06:08:51Z</dcterms:created>
  <dcterms:modified xsi:type="dcterms:W3CDTF">2019-12-09T06:08:51Z</dcterms:modified>
</cp:coreProperties>
</file>