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tbl>
      <w:tblPr>
        <w:tblW w:w="2159" w:type="dxa"/>
        <w:jc w:val="center"/>
        <w:tblInd w:w="0" w:type="dxa"/>
        <w:tblLayout w:type="fixed"/>
        <w:tblCellMar>
          <w:top w:w="28" w:type="dxa"/>
          <w:left w:w="28" w:type="dxa"/>
          <w:bottom w:w="28" w:type="dxa"/>
          <w:right w:w="28" w:type="dxa"/>
        </w:tblCellMar>
      </w:tblPr>
      <w:tblGrid>
        <w:gridCol w:w="690"/>
        <w:gridCol w:w="608"/>
        <w:gridCol w:w="861"/>
      </w:tblGrid>
      <w:tr>
        <w:trPr/>
        <w:tc>
          <w:tcPr>
            <w:tcW w:w="69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32"/>
              </w:rPr>
            </w:pPr>
            <w:r>
              <w:rPr>
                <w:rFonts w:ascii="sans-serif" w:hAnsi="sans-serif"/>
                <w:b/>
                <w:color w:val="000000"/>
                <w:sz w:val="32"/>
              </w:rPr>
              <w:t>FORM 10-Q</w:t>
            </w:r>
          </w:p>
        </w:tc>
      </w:tr>
    </w:tbl>
    <w:tbl>
      <w:tblPr>
        <w:tblW w:w="8756" w:type="dxa"/>
        <w:jc w:val="center"/>
        <w:tblInd w:w="0" w:type="dxa"/>
        <w:tblLayout w:type="fixed"/>
        <w:tblCellMar>
          <w:top w:w="28" w:type="dxa"/>
          <w:left w:w="28" w:type="dxa"/>
          <w:bottom w:w="28" w:type="dxa"/>
          <w:right w:w="28" w:type="dxa"/>
        </w:tblCellMar>
      </w:tblPr>
      <w:tblGrid>
        <w:gridCol w:w="124"/>
        <w:gridCol w:w="109"/>
        <w:gridCol w:w="109"/>
        <w:gridCol w:w="891"/>
        <w:gridCol w:w="891"/>
        <w:gridCol w:w="891"/>
        <w:gridCol w:w="891"/>
        <w:gridCol w:w="891"/>
        <w:gridCol w:w="891"/>
        <w:gridCol w:w="891"/>
        <w:gridCol w:w="891"/>
        <w:gridCol w:w="1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QUARTERLY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SECURITIES EXCHANGE ACT OF 1934</w:t>
            </w:r>
          </w:p>
        </w:tc>
      </w:tr>
    </w:tbl>
    <w:p>
      <w:pPr>
        <w:pStyle w:val="TextBody"/>
        <w:bidi w:val="0"/>
        <w:spacing w:lineRule="auto" w:line="288" w:before="180" w:after="120"/>
        <w:jc w:val="center"/>
        <w:rPr>
          <w:rFonts w:ascii="sans-serif" w:hAnsi="sans-serif"/>
          <w:b/>
          <w:color w:val="000000"/>
          <w:sz w:val="20"/>
        </w:rPr>
      </w:pPr>
      <w:r>
        <w:rPr>
          <w:rFonts w:ascii="sans-serif" w:hAnsi="sans-serif"/>
          <w:b/>
          <w:color w:val="000000"/>
          <w:sz w:val="20"/>
        </w:rPr>
        <w:t>For the quarterly period ended June 28, 2026</w:t>
      </w:r>
    </w:p>
    <w:tbl>
      <w:tblPr>
        <w:tblW w:w="8811" w:type="dxa"/>
        <w:jc w:val="center"/>
        <w:tblInd w:w="0" w:type="dxa"/>
        <w:tblLayout w:type="fixed"/>
        <w:tblCellMar>
          <w:top w:w="28" w:type="dxa"/>
          <w:left w:w="28" w:type="dxa"/>
          <w:bottom w:w="28" w:type="dxa"/>
          <w:right w:w="28" w:type="dxa"/>
        </w:tblCellMar>
      </w:tblPr>
      <w:tblGrid>
        <w:gridCol w:w="124"/>
        <w:gridCol w:w="109"/>
        <w:gridCol w:w="109"/>
        <w:gridCol w:w="895"/>
        <w:gridCol w:w="895"/>
        <w:gridCol w:w="895"/>
        <w:gridCol w:w="895"/>
        <w:gridCol w:w="895"/>
        <w:gridCol w:w="895"/>
        <w:gridCol w:w="895"/>
        <w:gridCol w:w="895"/>
        <w:gridCol w:w="1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TRANSITION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SECURITIES EXCHANGE ACT OF 1934</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Commission file number 0-7647</w:t>
      </w:r>
    </w:p>
    <w:tbl>
      <w:tblPr>
        <w:tblW w:w="5099" w:type="dxa"/>
        <w:jc w:val="center"/>
        <w:tblInd w:w="0" w:type="dxa"/>
        <w:tblLayout w:type="fixed"/>
        <w:tblCellMar>
          <w:top w:w="28" w:type="dxa"/>
          <w:left w:w="28" w:type="dxa"/>
          <w:bottom w:w="28" w:type="dxa"/>
          <w:right w:w="28" w:type="dxa"/>
        </w:tblCellMar>
      </w:tblPr>
      <w:tblGrid>
        <w:gridCol w:w="1633"/>
        <w:gridCol w:w="1436"/>
        <w:gridCol w:w="2030"/>
      </w:tblGrid>
      <w:tr>
        <w:trPr/>
        <w:tc>
          <w:tcPr>
            <w:tcW w:w="16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36"/>
              </w:rPr>
            </w:pPr>
            <w:r>
              <w:rPr>
                <w:rFonts w:ascii="sans-serif" w:hAnsi="sans-serif"/>
                <w:b/>
                <w:color w:val="000000"/>
                <w:sz w:val="36"/>
              </w:rPr>
              <w:t>HAWKINS, INC.</w:t>
            </w:r>
          </w:p>
        </w:tc>
      </w:tr>
      <w:tr>
        <w:trPr/>
        <w:tc>
          <w:tcPr>
            <w:tcW w:w="5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(Exact name of registrant as specified in its charter) </w:t>
            </w:r>
          </w:p>
        </w:tc>
      </w:tr>
    </w:tbl>
    <w:tbl>
      <w:tblPr>
        <w:tblW w:w="9490" w:type="dxa"/>
        <w:jc w:val="center"/>
        <w:tblInd w:w="0" w:type="dxa"/>
        <w:tblLayout w:type="fixed"/>
        <w:tblCellMar>
          <w:top w:w="28" w:type="dxa"/>
          <w:left w:w="28" w:type="dxa"/>
          <w:bottom w:w="28" w:type="dxa"/>
          <w:right w:w="28" w:type="dxa"/>
        </w:tblCellMar>
      </w:tblPr>
      <w:tblGrid>
        <w:gridCol w:w="2089"/>
        <w:gridCol w:w="1832"/>
        <w:gridCol w:w="1853"/>
        <w:gridCol w:w="109"/>
        <w:gridCol w:w="109"/>
        <w:gridCol w:w="109"/>
        <w:gridCol w:w="993"/>
        <w:gridCol w:w="993"/>
        <w:gridCol w:w="1403"/>
      </w:tblGrid>
      <w:tr>
        <w:trPr/>
        <w:tc>
          <w:tcPr>
            <w:tcW w:w="208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5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or other jurisdiction of incorporation or organization)</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bl>
    <w:tbl>
      <w:tblPr>
        <w:tblW w:w="5294" w:type="dxa"/>
        <w:jc w:val="center"/>
        <w:tblInd w:w="0" w:type="dxa"/>
        <w:tblLayout w:type="fixed"/>
        <w:tblCellMar>
          <w:top w:w="28" w:type="dxa"/>
          <w:left w:w="28" w:type="dxa"/>
          <w:bottom w:w="28" w:type="dxa"/>
          <w:right w:w="28" w:type="dxa"/>
        </w:tblCellMar>
      </w:tblPr>
      <w:tblGrid>
        <w:gridCol w:w="1516"/>
        <w:gridCol w:w="1332"/>
        <w:gridCol w:w="1336"/>
        <w:gridCol w:w="325"/>
        <w:gridCol w:w="325"/>
        <w:gridCol w:w="460"/>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sans-serif" w:hAnsi="sans-serif"/>
                <w:b/>
                <w:color w:val="000000"/>
                <w:sz w:val="20"/>
              </w:rPr>
            </w:pPr>
            <w:r>
              <w:rPr>
                <w:rFonts w:ascii="sans-serif" w:hAnsi="sans-serif"/>
                <w:b/>
                <w:color w:val="000000"/>
                <w:sz w:val="20"/>
              </w:rPr>
              <w:t>2381 Rosegate, Roseville, Minnesota</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sans-serif" w:hAnsi="sans-serif"/>
                <w:b/>
                <w:color w:val="000000"/>
                <w:sz w:val="16"/>
              </w:rPr>
            </w:pPr>
            <w:r>
              <w:rPr>
                <w:rFonts w:ascii="sans-serif" w:hAnsi="sans-serif"/>
                <w:b/>
                <w:color w:val="000000"/>
                <w:sz w:val="16"/>
              </w:rPr>
              <w:t>(Address of principal executive offices)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tbl>
      <w:tblPr>
        <w:tblW w:w="5159" w:type="dxa"/>
        <w:jc w:val="center"/>
        <w:tblInd w:w="0" w:type="dxa"/>
        <w:tblLayout w:type="fixed"/>
        <w:tblCellMar>
          <w:top w:w="28" w:type="dxa"/>
          <w:left w:w="28" w:type="dxa"/>
          <w:bottom w:w="28" w:type="dxa"/>
          <w:right w:w="28" w:type="dxa"/>
        </w:tblCellMar>
      </w:tblPr>
      <w:tblGrid>
        <w:gridCol w:w="1648"/>
        <w:gridCol w:w="1449"/>
        <w:gridCol w:w="2062"/>
      </w:tblGrid>
      <w:tr>
        <w:trPr/>
        <w:tc>
          <w:tcPr>
            <w:tcW w:w="164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sans-serif" w:hAnsi="sans-serif"/>
                <w:b/>
                <w:color w:val="000000"/>
                <w:sz w:val="20"/>
              </w:rPr>
            </w:pPr>
            <w:r>
              <w:rPr>
                <w:rFonts w:ascii="sans-serif" w:hAnsi="sans-serif"/>
                <w:b/>
                <w:color w:val="000000"/>
                <w:sz w:val="20"/>
              </w:rPr>
              <w:t>(612) 331-6910</w:t>
            </w:r>
          </w:p>
        </w:tc>
      </w:tr>
      <w:tr>
        <w:trPr/>
        <w:tc>
          <w:tcPr>
            <w:tcW w:w="5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(Registrant’s telephone number, including area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lineRule="auto" w:line="288" w:before="180" w:after="283"/>
        <w:jc w:val="left"/>
        <w:rPr/>
      </w:pPr>
      <w:r>
        <w:rPr>
          <w:rFonts w:ascii="sans-serif" w:hAns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sans-serif" w:hAnsi="sans-serif"/>
          <w:b w:val="false"/>
          <w:color w:val="000000"/>
          <w:sz w:val="20"/>
        </w:rPr>
        <w:t>No </w:t>
      </w:r>
      <w:r>
        <w:rPr>
          <w:color w:val="000000"/>
        </w:rPr>
        <w:t> ☐</w:t>
      </w:r>
    </w:p>
    <w:p>
      <w:pPr>
        <w:pStyle w:val="TextBody"/>
        <w:bidi w:val="0"/>
        <w:spacing w:lineRule="auto" w:line="288" w:before="180" w:after="283"/>
        <w:jc w:val="left"/>
        <w:rPr/>
      </w:pPr>
      <w:r>
        <w:rPr>
          <w:rFonts w:ascii="sans-serif" w:hAnsi="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sans-serif" w:hAnsi="sans-serif"/>
          <w:b w:val="false"/>
          <w:color w:val="000000"/>
          <w:sz w:val="20"/>
        </w:rPr>
        <w:t>No  </w:t>
      </w:r>
      <w:r>
        <w:rPr>
          <w:color w:val="000000"/>
        </w:rPr>
        <w:t>☐</w:t>
      </w:r>
    </w:p>
    <w:p>
      <w:pPr>
        <w:pStyle w:val="TextBody"/>
        <w:bidi w:val="0"/>
        <w:spacing w:lineRule="auto" w:line="288" w:before="180" w:after="120"/>
        <w:jc w:val="left"/>
        <w:rPr>
          <w:rFonts w:ascii="sans-serif" w:hAnsi="sans-serif"/>
          <w:b w:val="false"/>
          <w:color w:val="000000"/>
          <w:sz w:val="20"/>
        </w:rPr>
      </w:pPr>
      <w:r>
        <w:rPr>
          <w:rFonts w:ascii="sans-serif" w:hAns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091"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109"/>
        <w:gridCol w:w="109"/>
        <w:gridCol w:w="109"/>
        <w:gridCol w:w="109"/>
        <w:gridCol w:w="109"/>
        <w:gridCol w:w="109"/>
        <w:gridCol w:w="109"/>
        <w:gridCol w:w="109"/>
        <w:gridCol w:w="109"/>
        <w:gridCol w:w="109"/>
        <w:gridCol w:w="109"/>
        <w:gridCol w:w="109"/>
        <w:gridCol w:w="928"/>
        <w:gridCol w:w="928"/>
        <w:gridCol w:w="933"/>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bl>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 shell company (as defined in Rule 12b-2 of the Exchange Act).   </w:t>
      </w:r>
    </w:p>
    <w:p>
      <w:pPr>
        <w:pStyle w:val="TextBody"/>
        <w:bidi w:val="0"/>
        <w:spacing w:lineRule="auto" w:line="288" w:before="0" w:after="0"/>
        <w:ind w:left="0" w:right="0" w:firstLine="720"/>
        <w:jc w:val="left"/>
        <w:rPr/>
      </w:pPr>
      <w:r>
        <w:rPr>
          <w:rFonts w:ascii="sans-serif" w:hAnsi="sans-serif"/>
          <w:b w:val="false"/>
          <w:color w:val="000000"/>
          <w:sz w:val="20"/>
        </w:rPr>
        <w:t>Yes  </w:t>
      </w:r>
      <w:r>
        <w:rPr>
          <w:color w:val="000000"/>
        </w:rPr>
        <w:t>☐    </w:t>
      </w:r>
      <w:r>
        <w:rPr>
          <w:rFonts w:ascii="sans-serif" w:hAnsi="sans-serif"/>
          <w:b w:val="false"/>
          <w:color w:val="000000"/>
          <w:sz w:val="20"/>
        </w:rPr>
        <w:t>No  </w:t>
      </w:r>
      <w:r>
        <w:rPr>
          <w:color w:val="000000"/>
        </w:rPr>
        <w: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color w:val="000000"/>
        </w:rPr>
      </w:pPr>
      <w:r>
        <w:rPr>
          <w:color w:val="000000"/>
        </w:rPr>
        <w:t> </w:t>
      </w:r>
    </w:p>
    <w:tbl>
      <w:tblPr>
        <w:tblW w:w="7541" w:type="dxa"/>
        <w:jc w:val="left"/>
        <w:tblInd w:w="0" w:type="dxa"/>
        <w:tblLayout w:type="fixed"/>
        <w:tblCellMar>
          <w:top w:w="28" w:type="dxa"/>
          <w:left w:w="28" w:type="dxa"/>
          <w:bottom w:w="28" w:type="dxa"/>
          <w:right w:w="28" w:type="dxa"/>
        </w:tblCellMar>
      </w:tblPr>
      <w:tblGrid>
        <w:gridCol w:w="1477"/>
        <w:gridCol w:w="1298"/>
        <w:gridCol w:w="1319"/>
        <w:gridCol w:w="109"/>
        <w:gridCol w:w="109"/>
        <w:gridCol w:w="109"/>
        <w:gridCol w:w="914"/>
        <w:gridCol w:w="914"/>
        <w:gridCol w:w="1292"/>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Shares Outstanding at July 24, 2026</w:t>
            </w:r>
          </w:p>
        </w:tc>
      </w:tr>
      <w:tr>
        <w:trPr/>
        <w:tc>
          <w:tcPr>
            <w:tcW w:w="4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20,875,117</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363"/>
        <w:gridCol w:w="320"/>
        <w:gridCol w:w="323"/>
        <w:gridCol w:w="2755"/>
        <w:gridCol w:w="2755"/>
        <w:gridCol w:w="2759"/>
        <w:gridCol w:w="185"/>
        <w:gridCol w:w="185"/>
        <w:gridCol w:w="186"/>
        <w:gridCol w:w="109"/>
        <w:gridCol w:w="109"/>
        <w:gridCol w:w="15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Page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PART I.</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0">
              <w:r>
                <w:rPr>
                  <w:rStyle w:val="InternetLink"/>
                  <w:rFonts w:ascii="sans-serif" w:hAnsi="sans-serif"/>
                  <w:b/>
                  <w:color w:val="0000FF"/>
                  <w:sz w:val="20"/>
                  <w:u w:val="single"/>
                </w:rPr>
                <w:t>FINANCIAL INFORMATION</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1.</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3">
              <w:r>
                <w:rPr>
                  <w:rStyle w:val="InternetLink"/>
                  <w:rFonts w:ascii="sans-serif" w:hAnsi="sans-serif"/>
                  <w:b w:val="false"/>
                  <w:color w:val="0000FF"/>
                  <w:sz w:val="20"/>
                  <w:u w:val="single"/>
                </w:rPr>
                <w:t>Financial Statements (unaudited):</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6">
              <w:r>
                <w:rPr>
                  <w:rStyle w:val="InternetLink"/>
                  <w:rFonts w:ascii="sans-serif" w:hAnsi="sans-serif"/>
                  <w:b w:val="false"/>
                  <w:color w:val="0000FF"/>
                  <w:sz w:val="20"/>
                  <w:u w:val="single"/>
                </w:rPr>
                <w:t>Condensed Consolidated Balance Sheets – June 28, 2026 and March 29, 2026</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6">
              <w:r>
                <w:rPr>
                  <w:rStyle w:val="InternetLink"/>
                  <w:rFonts w:ascii="sans-serif" w:hAnsi="sans-serif"/>
                  <w:b w:val="false"/>
                  <w:color w:val="0000FF"/>
                  <w:sz w:val="20"/>
                  <w:u w:val="single"/>
                </w:rPr>
                <w:t>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9">
              <w:r>
                <w:rPr>
                  <w:rStyle w:val="InternetLink"/>
                  <w:rFonts w:ascii="sans-serif" w:hAnsi="sans-serif"/>
                  <w:b w:val="false"/>
                  <w:color w:val="0000FF"/>
                  <w:sz w:val="20"/>
                  <w:u w:val="single"/>
                </w:rPr>
                <w:t>Condensed Consolidated Statements of Income – Three Months Ended June 28, 2026 and June 29, 2025</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9">
              <w:r>
                <w:rPr>
                  <w:rStyle w:val="InternetLink"/>
                  <w:rFonts w:ascii="sans-serif" w:hAnsi="sans-serif"/>
                  <w:b w:val="false"/>
                  <w:color w:val="0000FF"/>
                  <w:sz w:val="20"/>
                  <w:u w:val="single"/>
                </w:rPr>
                <w:t>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22">
              <w:r>
                <w:rPr>
                  <w:rStyle w:val="InternetLink"/>
                  <w:rFonts w:ascii="sans-serif" w:hAnsi="sans-serif"/>
                  <w:b w:val="false"/>
                  <w:color w:val="0000FF"/>
                  <w:sz w:val="20"/>
                  <w:u w:val="single"/>
                </w:rPr>
                <w:t>Condensed Consolidated Statements of Comprehensive Income – Three Months Ended June 28, 2026 and June 29, 2025</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22">
              <w:r>
                <w:rPr>
                  <w:rStyle w:val="InternetLink"/>
                  <w:rFonts w:ascii="sans-serif" w:hAnsi="sans-serif"/>
                  <w:b w:val="false"/>
                  <w:color w:val="0000FF"/>
                  <w:sz w:val="20"/>
                  <w:u w:val="single"/>
                </w:rPr>
                <w:t>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25">
              <w:r>
                <w:rPr>
                  <w:rStyle w:val="InternetLink"/>
                  <w:rFonts w:ascii="sans-serif" w:hAnsi="sans-serif"/>
                  <w:b w:val="false"/>
                  <w:color w:val="0000FF"/>
                  <w:sz w:val="20"/>
                  <w:u w:val="single"/>
                </w:rPr>
                <w:t>Condensed Consolidated Statements of Shareholders' Equity – Three Months Ended June 28, 2026 and June 29, 2025</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25">
              <w:r>
                <w:rPr>
                  <w:rStyle w:val="InternetLink"/>
                  <w:rFonts w:ascii="sans-serif" w:hAnsi="sans-serif"/>
                  <w:b w:val="false"/>
                  <w:color w:val="0000FF"/>
                  <w:sz w:val="20"/>
                  <w:u w:val="single"/>
                </w:rPr>
                <w:t>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28">
              <w:r>
                <w:rPr>
                  <w:rStyle w:val="InternetLink"/>
                  <w:rFonts w:ascii="sans-serif" w:hAnsi="sans-serif"/>
                  <w:b w:val="false"/>
                  <w:color w:val="0000FF"/>
                  <w:sz w:val="20"/>
                  <w:u w:val="single"/>
                </w:rPr>
                <w:t>Condensed Consolidated Statements of Cash Flows – Three Months Ended June 28, 2026 and June 29, 2025</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28">
              <w:r>
                <w:rPr>
                  <w:rStyle w:val="InternetLink"/>
                  <w:rFonts w:ascii="sans-serif" w:hAnsi="sans-serif"/>
                  <w:b w:val="false"/>
                  <w:color w:val="0000FF"/>
                  <w:sz w:val="20"/>
                  <w:u w:val="single"/>
                </w:rPr>
                <w:t>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31">
              <w:r>
                <w:rPr>
                  <w:rStyle w:val="InternetLink"/>
                  <w:rFonts w:ascii="sans-serif" w:hAnsi="sans-serif"/>
                  <w:b w:val="false"/>
                  <w:color w:val="0000FF"/>
                  <w:sz w:val="20"/>
                  <w:u w:val="single"/>
                </w:rPr>
                <w:t>Notes to Condensed Consolidated Financial Statements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31">
              <w:r>
                <w:rPr>
                  <w:rStyle w:val="InternetLink"/>
                  <w:rFonts w:ascii="sans-serif" w:hAnsi="sans-serif"/>
                  <w:b w:val="false"/>
                  <w:color w:val="0000FF"/>
                  <w:sz w:val="20"/>
                  <w:u w:val="single"/>
                </w:rPr>
                <w:t>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2.</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82">
              <w:r>
                <w:rPr>
                  <w:rStyle w:val="InternetLink"/>
                  <w:rFonts w:ascii="sans-serif" w:hAnsi="sans-serif"/>
                  <w:b w:val="false"/>
                  <w:color w:val="0000FF"/>
                  <w:sz w:val="20"/>
                  <w:u w:val="single"/>
                </w:rPr>
                <w:t>Management’s Discussion and Analysis of Financial Condition and Results of Operations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82">
              <w:r>
                <w:rPr>
                  <w:rStyle w:val="InternetLink"/>
                  <w:rFonts w:ascii="sans-serif" w:hAnsi="sans-serif"/>
                  <w:b w:val="false"/>
                  <w:color w:val="0000FF"/>
                  <w:sz w:val="20"/>
                  <w:u w:val="singl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3.</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06">
              <w:r>
                <w:rPr>
                  <w:rStyle w:val="InternetLink"/>
                  <w:rFonts w:ascii="sans-serif" w:hAnsi="sans-serif"/>
                  <w:b w:val="false"/>
                  <w:color w:val="0000FF"/>
                  <w:sz w:val="20"/>
                  <w:u w:val="single"/>
                </w:rPr>
                <w:t>Quantitative and Qualitative Disclosures about Market Risk</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06">
              <w:r>
                <w:rPr>
                  <w:rStyle w:val="InternetLink"/>
                  <w:rFonts w:ascii="sans-serif" w:hAnsi="sans-serif"/>
                  <w:b w:val="false"/>
                  <w:color w:val="0000FF"/>
                  <w:sz w:val="20"/>
                  <w:u w:val="single"/>
                </w:rPr>
                <w:t>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4.</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09">
              <w:r>
                <w:rPr>
                  <w:rStyle w:val="InternetLink"/>
                  <w:rFonts w:ascii="sans-serif" w:hAnsi="sans-serif"/>
                  <w:b w:val="false"/>
                  <w:color w:val="0000FF"/>
                  <w:sz w:val="20"/>
                  <w:u w:val="single"/>
                </w:rPr>
                <w:t>Controls and Procedures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09">
              <w:r>
                <w:rPr>
                  <w:rStyle w:val="InternetLink"/>
                  <w:rFonts w:ascii="sans-serif" w:hAnsi="sans-serif"/>
                  <w:b w:val="false"/>
                  <w:color w:val="0000FF"/>
                  <w:sz w:val="20"/>
                  <w:u w:val="single"/>
                </w:rPr>
                <w:t>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PART II.</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12">
              <w:r>
                <w:rPr>
                  <w:rStyle w:val="InternetLink"/>
                  <w:rFonts w:ascii="sans-serif" w:hAnsi="sans-serif"/>
                  <w:b/>
                  <w:color w:val="0000FF"/>
                  <w:sz w:val="20"/>
                  <w:u w:val="single"/>
                </w:rPr>
                <w:t>OTHER INFORMATION</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1.</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15">
              <w:r>
                <w:rPr>
                  <w:rStyle w:val="InternetLink"/>
                  <w:rFonts w:ascii="sans-serif" w:hAnsi="sans-serif"/>
                  <w:b w:val="false"/>
                  <w:color w:val="0000FF"/>
                  <w:sz w:val="20"/>
                  <w:u w:val="single"/>
                </w:rPr>
                <w:t>Legal Proceedings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15">
              <w:r>
                <w:rPr>
                  <w:rStyle w:val="InternetLink"/>
                  <w:rFonts w:ascii="sans-serif" w:hAns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1A.</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18">
              <w:r>
                <w:rPr>
                  <w:rStyle w:val="InternetLink"/>
                  <w:rFonts w:ascii="sans-serif" w:hAnsi="sans-serif"/>
                  <w:b w:val="false"/>
                  <w:color w:val="0000FF"/>
                  <w:sz w:val="20"/>
                  <w:u w:val="single"/>
                </w:rPr>
                <w:t>Risk Factors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18">
              <w:r>
                <w:rPr>
                  <w:rStyle w:val="InternetLink"/>
                  <w:rFonts w:ascii="sans-serif" w:hAns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2.</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21">
              <w:r>
                <w:rPr>
                  <w:rStyle w:val="InternetLink"/>
                  <w:rFonts w:ascii="sans-serif" w:hAnsi="sans-serif"/>
                  <w:b w:val="false"/>
                  <w:color w:val="0000FF"/>
                  <w:sz w:val="20"/>
                  <w:u w:val="single"/>
                </w:rPr>
                <w:t>Unregistered Sales of Equity Securities and Use of Proceeds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21">
              <w:r>
                <w:rPr>
                  <w:rStyle w:val="InternetLink"/>
                  <w:rFonts w:ascii="sans-serif" w:hAns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3.</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24">
              <w:r>
                <w:rPr>
                  <w:rStyle w:val="InternetLink"/>
                  <w:rFonts w:ascii="sans-serif" w:hAnsi="sans-serif"/>
                  <w:b w:val="false"/>
                  <w:color w:val="0000FF"/>
                  <w:sz w:val="20"/>
                  <w:u w:val="single"/>
                </w:rPr>
                <w:t>Defaults Upon Senior Securities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24">
              <w:r>
                <w:rPr>
                  <w:rStyle w:val="InternetLink"/>
                  <w:rFonts w:ascii="sans-serif" w:hAns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4.</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27">
              <w:r>
                <w:rPr>
                  <w:rStyle w:val="InternetLink"/>
                  <w:rFonts w:ascii="sans-serif" w:hAnsi="sans-serif"/>
                  <w:b w:val="false"/>
                  <w:color w:val="0000FF"/>
                  <w:sz w:val="20"/>
                  <w:u w:val="single"/>
                </w:rPr>
                <w:t>Mine Safety Disclosures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27">
              <w:r>
                <w:rPr>
                  <w:rStyle w:val="InternetLink"/>
                  <w:rFonts w:ascii="sans-serif" w:hAns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5.</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30">
              <w:r>
                <w:rPr>
                  <w:rStyle w:val="InternetLink"/>
                  <w:rFonts w:ascii="sans-serif" w:hAnsi="sans-serif"/>
                  <w:b w:val="false"/>
                  <w:color w:val="0000FF"/>
                  <w:sz w:val="20"/>
                  <w:u w:val="single"/>
                </w:rPr>
                <w:t>Other Information</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30">
              <w:r>
                <w:rPr>
                  <w:rStyle w:val="InternetLink"/>
                  <w:rFonts w:ascii="sans-serif" w:hAns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Item 6.</w:t>
            </w:r>
          </w:p>
        </w:tc>
        <w:tc>
          <w:tcPr>
            <w:tcW w:w="8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aefcd711a04cb095d31a191e84982f_133">
              <w:r>
                <w:rPr>
                  <w:rStyle w:val="InternetLink"/>
                  <w:rFonts w:ascii="sans-serif" w:hAnsi="sans-serif"/>
                  <w:b w:val="false"/>
                  <w:color w:val="0000FF"/>
                  <w:sz w:val="20"/>
                  <w:u w:val="single"/>
                </w:rPr>
                <w:t>Exhibits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aefcd711a04cb095d31a191e84982f_133">
              <w:r>
                <w:rPr>
                  <w:rStyle w:val="InternetLink"/>
                  <w:rFonts w:ascii="sans-serif" w:hAnsi="sans-serif"/>
                  <w:b w:val="false"/>
                  <w:color w:val="0000FF"/>
                  <w:sz w:val="20"/>
                  <w:u w:val="single"/>
                </w:rPr>
                <w:t>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811"/>
        <w:gridCol w:w="1968"/>
        <w:gridCol w:w="1984"/>
        <w:gridCol w:w="109"/>
        <w:gridCol w:w="109"/>
        <w:gridCol w:w="109"/>
        <w:gridCol w:w="226"/>
        <w:gridCol w:w="1126"/>
        <w:gridCol w:w="109"/>
        <w:gridCol w:w="109"/>
        <w:gridCol w:w="109"/>
        <w:gridCol w:w="109"/>
        <w:gridCol w:w="226"/>
        <w:gridCol w:w="946"/>
        <w:gridCol w:w="155"/>
      </w:tblGrid>
      <w:tr>
        <w:trPr/>
        <w:tc>
          <w:tcPr>
            <w:tcW w:w="281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March 29,</w:t>
              <w:br/>
              <w:t>2026</w:t>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78,199 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231,465 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489,662 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266,256 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488,569 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1,006,243 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986,290 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Environmental remediation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current liabilities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104,844 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withdrawal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347,437 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458,039 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452,281 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Common stock; authorized: 60,000,000 shares of $0.01 par value; 20,743,884 and 20,752,138 shares issued and outstanding as of June 28, 2026 and March 29,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548,204 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534,009 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1,006,243 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986,290 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60"/>
        <w:jc w:val="left"/>
        <w:rPr>
          <w:rFonts w:ascii="sans-serif" w:hAnsi="sans-serif"/>
          <w:b/>
          <w:color w:val="000000"/>
          <w:sz w:val="20"/>
        </w:rPr>
      </w:pPr>
      <w:r>
        <w:rPr>
          <w:rFonts w:ascii="sans-serif" w:hAnsi="sans-serif"/>
          <w:b/>
          <w:color w:val="000000"/>
          <w:sz w:val="20"/>
        </w:rPr>
        <w:t>CONDENSED CONSOLIDATED STATEMENTS OF INCOME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 except share and per-share data)</w:t>
      </w:r>
    </w:p>
    <w:p>
      <w:pPr>
        <w:pStyle w:val="TextBody"/>
        <w:bidi w:val="0"/>
        <w:spacing w:lineRule="auto" w:line="288" w:before="0" w:after="0"/>
        <w:jc w:val="left"/>
        <w:rPr>
          <w:color w:val="000000"/>
        </w:rPr>
      </w:pPr>
      <w:r>
        <w:rPr>
          <w:color w:val="000000"/>
        </w:rPr>
        <w:t> </w:t>
      </w:r>
    </w:p>
    <w:tbl>
      <w:tblPr>
        <w:tblW w:w="9605" w:type="dxa"/>
        <w:jc w:val="left"/>
        <w:tblInd w:w="0" w:type="dxa"/>
        <w:tblLayout w:type="fixed"/>
        <w:tblCellMar>
          <w:top w:w="28" w:type="dxa"/>
          <w:left w:w="28" w:type="dxa"/>
          <w:bottom w:w="28" w:type="dxa"/>
          <w:right w:w="28" w:type="dxa"/>
        </w:tblCellMar>
      </w:tblPr>
      <w:tblGrid>
        <w:gridCol w:w="2247"/>
        <w:gridCol w:w="1743"/>
        <w:gridCol w:w="1770"/>
        <w:gridCol w:w="109"/>
        <w:gridCol w:w="109"/>
        <w:gridCol w:w="109"/>
        <w:gridCol w:w="240"/>
        <w:gridCol w:w="1006"/>
        <w:gridCol w:w="109"/>
        <w:gridCol w:w="109"/>
        <w:gridCol w:w="109"/>
        <w:gridCol w:w="109"/>
        <w:gridCol w:w="240"/>
        <w:gridCol w:w="1006"/>
        <w:gridCol w:w="109"/>
        <w:gridCol w:w="109"/>
        <w:gridCol w:w="109"/>
        <w:gridCol w:w="109"/>
        <w:gridCol w:w="154"/>
      </w:tblGrid>
      <w:tr>
        <w:trPr/>
        <w:tc>
          <w:tcPr>
            <w:tcW w:w="224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20,777,481 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20,717,485 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20,853,991 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 xml:space="preserve">HAWKINS, INC. </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STATEMENTS OF COMPREHENSIVE INCOME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w:t>
      </w:r>
    </w:p>
    <w:p>
      <w:pPr>
        <w:pStyle w:val="TextBody"/>
        <w:bidi w:val="0"/>
        <w:spacing w:lineRule="auto" w:line="288" w:before="0" w:after="0"/>
        <w:jc w:val="left"/>
        <w:rPr>
          <w:color w:val="000000"/>
        </w:rPr>
      </w:pPr>
      <w:r>
        <w:rPr>
          <w:color w:val="000000"/>
        </w:rPr>
        <w:t> </w:t>
      </w:r>
    </w:p>
    <w:tbl>
      <w:tblPr>
        <w:tblW w:w="7311" w:type="dxa"/>
        <w:jc w:val="left"/>
        <w:tblInd w:w="0" w:type="dxa"/>
        <w:tblLayout w:type="fixed"/>
        <w:tblCellMar>
          <w:top w:w="28" w:type="dxa"/>
          <w:left w:w="28" w:type="dxa"/>
          <w:bottom w:w="28" w:type="dxa"/>
          <w:right w:w="28" w:type="dxa"/>
        </w:tblCellMar>
      </w:tblPr>
      <w:tblGrid>
        <w:gridCol w:w="1391"/>
        <w:gridCol w:w="1227"/>
        <w:gridCol w:w="1236"/>
        <w:gridCol w:w="109"/>
        <w:gridCol w:w="109"/>
        <w:gridCol w:w="109"/>
        <w:gridCol w:w="226"/>
        <w:gridCol w:w="826"/>
        <w:gridCol w:w="109"/>
        <w:gridCol w:w="109"/>
        <w:gridCol w:w="109"/>
        <w:gridCol w:w="109"/>
        <w:gridCol w:w="226"/>
        <w:gridCol w:w="826"/>
        <w:gridCol w:w="109"/>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comprehensive loss,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loss on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STATEMENTS OF SHAREHOLDERS’ EQUITY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 except share data)</w:t>
      </w:r>
    </w:p>
    <w:tbl>
      <w:tblPr>
        <w:tblW w:w="11625" w:type="dxa"/>
        <w:jc w:val="left"/>
        <w:tblInd w:w="0" w:type="dxa"/>
        <w:tblLayout w:type="fixed"/>
        <w:tblCellMar>
          <w:top w:w="28" w:type="dxa"/>
          <w:left w:w="28" w:type="dxa"/>
          <w:bottom w:w="28" w:type="dxa"/>
          <w:right w:w="28" w:type="dxa"/>
        </w:tblCellMar>
      </w:tblPr>
      <w:tblGrid>
        <w:gridCol w:w="888"/>
        <w:gridCol w:w="306"/>
        <w:gridCol w:w="307"/>
        <w:gridCol w:w="109"/>
        <w:gridCol w:w="109"/>
        <w:gridCol w:w="109"/>
        <w:gridCol w:w="623"/>
        <w:gridCol w:w="623"/>
        <w:gridCol w:w="271"/>
        <w:gridCol w:w="109"/>
        <w:gridCol w:w="109"/>
        <w:gridCol w:w="109"/>
        <w:gridCol w:w="244"/>
        <w:gridCol w:w="563"/>
        <w:gridCol w:w="109"/>
        <w:gridCol w:w="109"/>
        <w:gridCol w:w="109"/>
        <w:gridCol w:w="109"/>
        <w:gridCol w:w="226"/>
        <w:gridCol w:w="826"/>
        <w:gridCol w:w="109"/>
        <w:gridCol w:w="109"/>
        <w:gridCol w:w="109"/>
        <w:gridCol w:w="109"/>
        <w:gridCol w:w="226"/>
        <w:gridCol w:w="946"/>
        <w:gridCol w:w="109"/>
        <w:gridCol w:w="109"/>
        <w:gridCol w:w="109"/>
        <w:gridCol w:w="109"/>
        <w:gridCol w:w="368"/>
        <w:gridCol w:w="1150"/>
        <w:gridCol w:w="178"/>
        <w:gridCol w:w="109"/>
        <w:gridCol w:w="109"/>
        <w:gridCol w:w="109"/>
        <w:gridCol w:w="271"/>
        <w:gridCol w:w="1135"/>
        <w:gridCol w:w="185"/>
      </w:tblGrid>
      <w:tr>
        <w:trPr/>
        <w:tc>
          <w:tcPr>
            <w:tcW w:w="8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br/>
              <w:t>Shareholders’</w:t>
              <w:br/>
              <w:t>Equity</w:t>
            </w:r>
          </w:p>
        </w:tc>
      </w:tr>
      <w:tr>
        <w:trPr/>
        <w:tc>
          <w:tcPr>
            <w:tcW w:w="15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1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8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9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March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20,752,138 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534,009 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and paid ($0.19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(3,971)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(3,971)</w:t>
            </w:r>
          </w:p>
        </w:tc>
        <w:tc>
          <w:tcPr>
            <w:tcW w:w="1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20,743,884 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548,204 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br/>
              <w:t>Shareholders’</w:t>
              <w:br/>
              <w:t>Equity</w:t>
            </w:r>
          </w:p>
        </w:tc>
      </w:tr>
      <w:tr>
        <w:trPr/>
        <w:tc>
          <w:tcPr>
            <w:tcW w:w="15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doub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81" w:type="dxa"/>
            <w:gridSpan w:val="3"/>
            <w:vMerge w:val="continue"/>
            <w:tcBorders>
              <w:top w:val="doub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96" w:type="dxa"/>
            <w:gridSpan w:val="3"/>
            <w:vMerge w:val="continue"/>
            <w:tcBorders>
              <w:top w:val="doub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1" w:type="dxa"/>
            <w:gridSpan w:val="3"/>
            <w:vMerge w:val="continue"/>
            <w:tcBorders>
              <w:top w:val="double" w:sz="8" w:space="0" w:color="000000"/>
            </w:tcBorders>
            <w:shd w:fill="FFFFFF" w:val="clear"/>
            <w:tcMar>
              <w:top w:w="52"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20,684,621 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434,259 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460,292 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and paid ($0.18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(3,754)</w:t>
            </w:r>
          </w:p>
        </w:tc>
        <w:tc>
          <w:tcPr>
            <w:tcW w:w="1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61,819 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(28,590)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20,717,850 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459,680 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1,408 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484,572 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CONDENSED CONSOLIDATED STATEMENTS OF CASH FLOWS (UNAUDITED)</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(In thousands)</w:t>
      </w:r>
    </w:p>
    <w:p>
      <w:pPr>
        <w:pStyle w:val="TextBody"/>
        <w:bidi w:val="0"/>
        <w:spacing w:lineRule="auto" w:line="288" w:before="0" w:after="0"/>
        <w:jc w:val="left"/>
        <w:rPr>
          <w:color w:val="000000"/>
        </w:rPr>
      </w:pPr>
      <w:r>
        <w:rPr>
          <w:color w:val="000000"/>
        </w:rPr>
        <w:t> </w:t>
      </w:r>
    </w:p>
    <w:tbl>
      <w:tblPr>
        <w:tblW w:w="9561" w:type="dxa"/>
        <w:jc w:val="left"/>
        <w:tblInd w:w="0" w:type="dxa"/>
        <w:tblLayout w:type="fixed"/>
        <w:tblCellMar>
          <w:top w:w="28" w:type="dxa"/>
          <w:left w:w="28" w:type="dxa"/>
          <w:bottom w:w="28" w:type="dxa"/>
          <w:right w:w="28" w:type="dxa"/>
        </w:tblCellMar>
      </w:tblPr>
      <w:tblGrid>
        <w:gridCol w:w="2371"/>
        <w:gridCol w:w="2081"/>
        <w:gridCol w:w="2088"/>
        <w:gridCol w:w="109"/>
        <w:gridCol w:w="109"/>
        <w:gridCol w:w="109"/>
        <w:gridCol w:w="226"/>
        <w:gridCol w:w="826"/>
        <w:gridCol w:w="109"/>
        <w:gridCol w:w="109"/>
        <w:gridCol w:w="109"/>
        <w:gridCol w:w="109"/>
        <w:gridCol w:w="226"/>
        <w:gridCol w:w="826"/>
        <w:gridCol w:w="154"/>
      </w:tblGrid>
      <w:tr>
        <w:trPr/>
        <w:tc>
          <w:tcPr>
            <w:tcW w:w="237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29,</w:t>
              <w:b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accounts providing (using)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(164,545)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dividends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Payroll taxes paid in exchange for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on 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Borrowings on 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Noncash investing activities - capital expenditures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Note 1 – Summary of Significant Accounting Policies</w:t>
      </w:r>
    </w:p>
    <w:p>
      <w:pPr>
        <w:pStyle w:val="TextBody"/>
        <w:bidi w:val="0"/>
        <w:spacing w:lineRule="auto" w:line="288" w:before="0" w:after="120"/>
        <w:jc w:val="both"/>
        <w:rPr/>
      </w:pPr>
      <w:r>
        <w:rPr>
          <w:rFonts w:ascii="sans-serif" w:hAnsi="sans-serif"/>
          <w:b/>
          <w:i/>
          <w:color w:val="000000"/>
          <w:sz w:val="20"/>
        </w:rPr>
        <w:t>Basis of Presentation.</w:t>
      </w:r>
      <w:r>
        <w:rPr>
          <w:color w:val="000000"/>
        </w:rPr>
        <w:t xml:space="preserve"> </w:t>
      </w:r>
      <w:r>
        <w:rPr>
          <w:rFonts w:ascii="sans-serif" w:hAnsi="sans-serif"/>
          <w:b w:val="false"/>
          <w:color w:val="000000"/>
          <w:sz w:val="20"/>
        </w:rPr>
        <w:t xml:space="preserve">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
        <w:r>
          <w:rPr>
            <w:rStyle w:val="InternetLink"/>
            <w:rFonts w:ascii="sans-serif" w:hAnsi="sans-serif"/>
            <w:b w:val="false"/>
            <w:color w:val="0000FF"/>
            <w:sz w:val="20"/>
            <w:u w:val="single"/>
          </w:rPr>
          <w:t>Annual Report on Form 10-K for the fiscal year ended March 29, 2026</w:t>
        </w:r>
      </w:hyperlink>
      <w:r>
        <w:rPr>
          <w:rFonts w:ascii="sans-serif" w:hAnsi="sans-serif"/>
          <w:b w:val="false"/>
          <w:color w:val="000000"/>
          <w:sz w:val="20"/>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three months ended June 28, 2026 are not necessarily indicative of the results that may be expected for the full year.</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As used in this Form 10-Q, except where otherwise stated or indicated by the context, "Hawkins," "we," "us," "the Company," or "our" means Hawkins, Inc. and its subsidiaries. References to "fiscal 2024" refer to the fiscal year ended March 31, 2024, references to "fiscal 2026" refer to the fiscal year ended March 29, 2026, and references to "fiscal 2027" refer to the fiscal year ending March 28, 2027. </w:t>
      </w:r>
    </w:p>
    <w:p>
      <w:pPr>
        <w:pStyle w:val="TextBody"/>
        <w:bidi w:val="0"/>
        <w:spacing w:lineRule="auto" w:line="288" w:before="0" w:after="120"/>
        <w:jc w:val="both"/>
        <w:rPr/>
      </w:pPr>
      <w:r>
        <w:rPr>
          <w:rFonts w:ascii="sans-serif" w:hAnsi="sans-serif"/>
          <w:b/>
          <w:i/>
          <w:color w:val="000000"/>
          <w:sz w:val="20"/>
        </w:rPr>
        <w:t>Use of Estimates.</w:t>
      </w:r>
      <w:r>
        <w:rPr>
          <w:color w:val="000000"/>
        </w:rPr>
        <w:t xml:space="preserve"> </w:t>
      </w:r>
      <w:r>
        <w:rPr>
          <w:rFonts w:ascii="sans-serif" w:hAnsi="sans-serif"/>
          <w:b w:val="false"/>
          <w:color w:val="000000"/>
          <w:sz w:val="20"/>
        </w:rPr>
        <w:t>The preparation of condensed consolidated financial statements in conformity with accounting principles generally accepted in the United States requires management to make estimates and assumptions that affect the reported amounts of assets and liabilities, particularly receivables, inventories, property, plant and equipment, right-of-use assets, goodwill, intangibles, deferred compensation plan assets, accrued expenses, environmental remediations, short-term and long-term lease liabilities, pension withdrawal liability, deferred compensation liability, earnout liability, income taxes and related accounts and the reported amounts of revenues and expenses during the reporting period. Actual results could differ from those estimates.</w:t>
      </w:r>
    </w:p>
    <w:p>
      <w:pPr>
        <w:pStyle w:val="TextBody"/>
        <w:bidi w:val="0"/>
        <w:spacing w:lineRule="auto" w:line="288" w:before="0" w:after="120"/>
        <w:jc w:val="both"/>
        <w:rPr/>
      </w:pPr>
      <w:r>
        <w:rPr>
          <w:rFonts w:ascii="sans-serif" w:hAnsi="sans-serif"/>
          <w:b/>
          <w:i/>
          <w:color w:val="000000"/>
          <w:sz w:val="20"/>
        </w:rPr>
        <w:t>Accounting Policies.</w:t>
      </w:r>
      <w:r>
        <w:rPr>
          <w:color w:val="000000"/>
        </w:rPr>
        <w:t xml:space="preserve"> </w:t>
      </w:r>
      <w:r>
        <w:rPr>
          <w:rFonts w:ascii="sans-serif" w:hAnsi="sans-serif"/>
          <w:b w:val="false"/>
          <w:color w:val="000000"/>
          <w:sz w:val="20"/>
        </w:rPr>
        <w:t xml:space="preserve">The accounting policies we follow are set forth in Note 1 – Nature of Business and Significant Accounting Policies to our consolidated financial statements in our </w:t>
      </w:r>
      <w:hyperlink r:id="rId3">
        <w:r>
          <w:rPr>
            <w:rStyle w:val="InternetLink"/>
            <w:rFonts w:ascii="sans-serif" w:hAnsi="sans-serif"/>
            <w:b w:val="false"/>
            <w:color w:val="0000FF"/>
            <w:sz w:val="20"/>
            <w:u w:val="single"/>
          </w:rPr>
          <w:t>Annual Report on Form 10-K for fiscal 2026</w:t>
        </w:r>
      </w:hyperlink>
      <w:r>
        <w:rPr>
          <w:rFonts w:ascii="sans-serif" w:hAnsi="sans-serif"/>
          <w:b w:val="false"/>
          <w:color w:val="000000"/>
          <w:sz w:val="20"/>
        </w:rPr>
        <w:t>, previously filed with the SEC. There have been no significant changes in our accounting policies since the end of fiscal 2026.</w:t>
      </w: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Recently Issued Accounting Pronouncements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Financial Accounting Standards Board ("FASB") periodically issues Accounting Standards Updates ("ASUs") that amend the Financial Accounting Standards Codification ("ASC"). We evaluate the impact of the newly issued accounting guidance to determine the effect, if any, on our consolidated financial statements and related disclosures.</w:t>
      </w:r>
    </w:p>
    <w:p>
      <w:pPr>
        <w:pStyle w:val="TextBody"/>
        <w:bidi w:val="0"/>
        <w:spacing w:lineRule="auto" w:line="288" w:before="0" w:after="120"/>
        <w:jc w:val="both"/>
        <w:rPr/>
      </w:pPr>
      <w:r>
        <w:rPr>
          <w:rFonts w:ascii="sans-serif" w:hAnsi="sans-serif"/>
          <w:b w:val="false"/>
          <w:color w:val="000000"/>
          <w:sz w:val="20"/>
        </w:rPr>
        <w:t xml:space="preserve">In December 2025, the FASB issued </w:t>
      </w:r>
      <w:r>
        <w:rPr>
          <w:rFonts w:ascii="sans-serif" w:hAnsi="sans-serif"/>
          <w:b/>
          <w:color w:val="000000"/>
          <w:sz w:val="20"/>
        </w:rPr>
        <w:t xml:space="preserve">ASU No. 2025-11, </w:t>
      </w:r>
      <w:r>
        <w:rPr>
          <w:rFonts w:ascii="sans-serif" w:hAnsi="sans-serif"/>
          <w:b/>
          <w:i/>
          <w:color w:val="000000"/>
          <w:sz w:val="20"/>
        </w:rPr>
        <w:t>Interim Reporting (Topic 270): Narrow-Scope Improvements</w:t>
      </w:r>
      <w:r>
        <w:rPr>
          <w:rFonts w:ascii="sans-serif" w:hAnsi="sans-serif"/>
          <w:b w:val="false"/>
          <w:color w:val="000000"/>
          <w:sz w:val="20"/>
        </w:rPr>
        <w:t>, which clarifies interim reporting requirements, improves the organization of interim disclosure guidance, and introduces a disclosure principle for material events occurring since the end of the last annual reporting period. The guidance is effective for interim periods in fiscal years beginning after December 15, 2027, our fiscal 2029. We are currently evaluating the impact that the adoption of this ASU may have on our consolidated financial statements and interim disclosures in our first quarter, fiscal 2029 Form 10-Q and periodic reports thereafter.</w:t>
      </w:r>
    </w:p>
    <w:p>
      <w:pPr>
        <w:pStyle w:val="TextBody"/>
        <w:bidi w:val="0"/>
        <w:spacing w:lineRule="auto" w:line="288" w:before="0" w:after="120"/>
        <w:jc w:val="both"/>
        <w:rPr/>
      </w:pPr>
      <w:r>
        <w:rPr>
          <w:rFonts w:ascii="sans-serif" w:hAnsi="sans-serif"/>
          <w:b w:val="false"/>
          <w:color w:val="000000"/>
          <w:sz w:val="20"/>
        </w:rPr>
        <w:t xml:space="preserve">In September 2025, the FASB issued </w:t>
      </w:r>
      <w:r>
        <w:rPr>
          <w:rFonts w:ascii="sans-serif" w:hAnsi="sans-serif"/>
          <w:b/>
          <w:color w:val="000000"/>
          <w:sz w:val="20"/>
        </w:rPr>
        <w:t xml:space="preserve">ASU 2025-06, </w:t>
      </w:r>
      <w:r>
        <w:rPr>
          <w:rFonts w:ascii="sans-serif" w:hAnsi="sans-serif"/>
          <w:b/>
          <w:i/>
          <w:color w:val="000000"/>
          <w:sz w:val="20"/>
        </w:rPr>
        <w:t>Intangibles, Goodwill, and Other Internal-Use Software (Subtopic 350-40): Targeted Improvements</w:t>
      </w:r>
      <w:r>
        <w:rPr>
          <w:rFonts w:ascii="sans-serif" w:hAnsi="sans-serif"/>
          <w:b w:val="false"/>
          <w:color w:val="000000"/>
          <w:sz w:val="20"/>
        </w:rPr>
        <w:t>, which modernizes the recognition guidance requiring entities to begin capitalizing software costs when both of the following occur: (1) Management has authorized and committed funding to the software project and (2) It is probable that the project will be completed and the software will be used to perform the function intended. ASU 2025-06 is effective for annual periods beginning after December 15, 2027, our fiscal 2029, and interim periods within those annual reporting periods, with early adoption permitted. We are currently evaluating the impact of the adoption of this standard on our consolidated financial statement disclosures in our first quarter, fiscal 2029 10-Q and periodic reports thereafter.</w:t>
      </w:r>
    </w:p>
    <w:p>
      <w:pPr>
        <w:pStyle w:val="TextBody"/>
        <w:bidi w:val="0"/>
        <w:spacing w:lineRule="auto" w:line="288" w:before="0" w:after="180"/>
        <w:jc w:val="both"/>
        <w:rPr/>
      </w:pPr>
      <w:r>
        <w:rPr>
          <w:rFonts w:ascii="sans-serif" w:hAnsi="sans-serif"/>
          <w:b w:val="false"/>
          <w:color w:val="000000"/>
          <w:sz w:val="20"/>
        </w:rPr>
        <w:t xml:space="preserve">In November 2024, the FASB issued </w:t>
      </w:r>
      <w:r>
        <w:rPr>
          <w:rFonts w:ascii="sans-serif" w:hAnsi="sans-serif"/>
          <w:b/>
          <w:color w:val="000000"/>
          <w:sz w:val="20"/>
        </w:rPr>
        <w:t>ASU 2024-03, Disaggregation of Income Statement Expenses</w:t>
      </w:r>
      <w:r>
        <w:rPr>
          <w:rFonts w:ascii="sans-serif" w:hAnsi="sans-serif"/>
          <w:b w:val="false"/>
          <w:color w:val="000000"/>
          <w:sz w:val="20"/>
        </w:rPr>
        <w:t>, which requires public entities to disclose, within the footnotes to the financial statements, disaggregated information about certain income statement expense captions, including disclosure of amounts for purchases of inventory, employee compensation, depreciation and intangible asset amortization, included in each relevant expense caption. ASU 2024-03 is effective for annual periods beginning after December 15, 2026, our fiscal 2028, and interim periods within fiscal years beginning after December 15, 2027, our fiscal 2029, on a prospective basis, with early adoption and retrospective application permitted. We are currently evaluating the impact of the adoption of this standard on our consolidated financial statement disclosures in our Form 10-K for fiscal 2028 and periodic reports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2 — Acquisitions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General</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generally pursue business combinations to strengthen our position in existing markets, increase our market share and product offerings and expand into new markets. Acquisitions are accounted for under the acquisition method of accounting. For each acquisition, the excess of the purchase consideration over the fair value of the net assets acquired and liabilities assumed is recorded as goodwill, which generally represents the combined value of our existing resources with the organizational talent of the acquired companies’ respective management teams to maximize efficiencies, market share growth and overall financial performance. For each acquisition, we complete our allocation of purchase price to the fair values of acquired assets and liabilities within a one-year measurement period.</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For each acquisition completed in the first quarter of fiscal 2027 and the first quarter of fiscal 2026, the results of operations since the acquisition date and the assets are presented in our Water Treatment segment. Costs associated with each acquisition were not material and were expensed as incurred. </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Fiscal 2027 Material Acquisitions</w:t>
      </w:r>
    </w:p>
    <w:p>
      <w:pPr>
        <w:pStyle w:val="TextBody"/>
        <w:bidi w:val="0"/>
        <w:spacing w:lineRule="auto" w:line="288" w:before="0" w:after="120"/>
        <w:jc w:val="both"/>
        <w:rPr/>
      </w:pPr>
      <w:r>
        <w:rPr>
          <w:rFonts w:ascii="sans-serif" w:hAnsi="sans-serif"/>
          <w:b w:val="false"/>
          <w:color w:val="000000"/>
          <w:sz w:val="20"/>
        </w:rPr>
        <w:t>We completed one immaterial acquisition in the first quarter of fiscal 2027</w:t>
      </w:r>
      <w:r>
        <w:rPr>
          <w:rFonts w:ascii="Times New Roman;serif" w:hAnsi="Times New Roman;serif"/>
          <w:b w:val="false"/>
          <w:color w:val="000000"/>
          <w:sz w:val="20"/>
        </w:rPr>
        <w:t>.</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Fiscal 2026 Material Acquisitions</w:t>
      </w:r>
    </w:p>
    <w:p>
      <w:pPr>
        <w:pStyle w:val="TextBody"/>
        <w:bidi w:val="0"/>
        <w:spacing w:lineRule="auto" w:line="288" w:before="0" w:after="120"/>
        <w:jc w:val="both"/>
        <w:rPr/>
      </w:pPr>
      <w:r>
        <w:rPr>
          <w:rFonts w:ascii="sans-serif" w:hAnsi="sans-serif"/>
          <w:b/>
          <w:color w:val="000000"/>
          <w:sz w:val="20"/>
        </w:rPr>
        <w:t xml:space="preserve">Acquisition of WaterSurplus, Inc.: </w:t>
      </w:r>
      <w:r>
        <w:rPr>
          <w:rFonts w:ascii="sans-serif" w:hAnsi="sans-serif"/>
          <w:b w:val="false"/>
          <w:color w:val="000000"/>
          <w:sz w:val="20"/>
        </w:rPr>
        <w:t xml:space="preserve">On April 25, 2025, we acquired substantially all of the assets and assumed certain liabilities of Surplus Management, Inc. d/b/a WaterSurplus (“WaterSurplus”) for an initial purchase price of approximately $149.9 million under the terms of an asset purchase agreement by and among WaterSurplus and related entities and their shareholders, Panther Acquisition Corporation, and Hawkins, Inc., as well as a related real estate purchase agreement. In addition, we may be obligated to pay an additional earnout amount based on a target of accumulated gross profit for the first five years after the acquisition. The maximum earnout liability of $53.7 million was discounted and recorded at the estimated present value of $43.0 million at the acquisition date. The recognition of the earnout liability represented a noncash investing activity, as no cash was paid at inception. WaterSurplus is based in Rockford, IL and delivers sustainable water treatment solutions to customers throughout the United States.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following table summarizes the purchase consideration and fair values of assets acquired and liabilities assumed as of the date of acquisition:</w:t>
      </w:r>
    </w:p>
    <w:tbl>
      <w:tblPr>
        <w:tblW w:w="7098" w:type="dxa"/>
        <w:jc w:val="left"/>
        <w:tblInd w:w="0" w:type="dxa"/>
        <w:tblLayout w:type="fixed"/>
        <w:tblCellMar>
          <w:top w:w="28" w:type="dxa"/>
          <w:left w:w="28" w:type="dxa"/>
          <w:bottom w:w="28" w:type="dxa"/>
          <w:right w:w="28" w:type="dxa"/>
        </w:tblCellMar>
      </w:tblPr>
      <w:tblGrid>
        <w:gridCol w:w="1906"/>
        <w:gridCol w:w="1671"/>
        <w:gridCol w:w="1679"/>
        <w:gridCol w:w="172"/>
        <w:gridCol w:w="172"/>
        <w:gridCol w:w="172"/>
        <w:gridCol w:w="226"/>
        <w:gridCol w:w="946"/>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thousands)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Present value of earnout liability</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43,000</w:t>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purchase consideration</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192,876 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accounts receivable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4,325</w:t>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assets</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933</w:t>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and equipment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12,887</w:t>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relationships</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76,000</w:t>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names</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6,200</w:t>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Technology</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12,000</w:t>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 trade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(2,169)</w:t>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current liabilities </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(2,934)</w:t>
            </w:r>
          </w:p>
        </w:tc>
      </w:tr>
      <w:tr>
        <w:trPr/>
        <w:tc>
          <w:tcPr>
            <w:tcW w:w="5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fair value of assets acquired and liabilities assumed</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110,272 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sans-serif" w:hAnsi="sans-serif"/>
          <w:b w:val="false"/>
          <w:color w:val="000000"/>
          <w:sz w:val="20"/>
        </w:rPr>
      </w:pPr>
      <w:r>
        <w:rPr>
          <w:rFonts w:ascii="sans-serif" w:hAnsi="sans-serif"/>
          <w:b w:val="false"/>
          <w:color w:val="000000"/>
          <w:sz w:val="20"/>
        </w:rPr>
        <w:t>The expected useful lives of the acquired intangible assets are 15 years for customer relationships, 15 years for trade names and 10 years for technology. The goodwill recognized as a result of this acquisition is expected to be deductible for tax purposes. We have completed the purchase price allocation. The results of operations since the acquisition date and the assets are included in our Water Treatment segment. Costs associated with this transaction were not material and were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3 - Revenue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following tables disaggregate external customer net sales by major revenue stream for the three months ended June 28, 2026 and June 29, 2025:</w:t>
      </w:r>
    </w:p>
    <w:tbl>
      <w:tblPr>
        <w:tblW w:w="10205" w:type="dxa"/>
        <w:jc w:val="left"/>
        <w:tblInd w:w="0" w:type="dxa"/>
        <w:tblLayout w:type="fixed"/>
        <w:tblCellMar>
          <w:top w:w="28" w:type="dxa"/>
          <w:left w:w="28" w:type="dxa"/>
          <w:bottom w:w="28" w:type="dxa"/>
          <w:right w:w="28" w:type="dxa"/>
        </w:tblCellMar>
      </w:tblPr>
      <w:tblGrid>
        <w:gridCol w:w="1245"/>
        <w:gridCol w:w="1058"/>
        <w:gridCol w:w="1026"/>
        <w:gridCol w:w="226"/>
        <w:gridCol w:w="946"/>
        <w:gridCol w:w="109"/>
        <w:gridCol w:w="109"/>
        <w:gridCol w:w="109"/>
        <w:gridCol w:w="109"/>
        <w:gridCol w:w="335"/>
        <w:gridCol w:w="1226"/>
        <w:gridCol w:w="161"/>
        <w:gridCol w:w="109"/>
        <w:gridCol w:w="109"/>
        <w:gridCol w:w="109"/>
        <w:gridCol w:w="304"/>
        <w:gridCol w:w="1113"/>
        <w:gridCol w:w="146"/>
        <w:gridCol w:w="109"/>
        <w:gridCol w:w="109"/>
        <w:gridCol w:w="109"/>
        <w:gridCol w:w="226"/>
        <w:gridCol w:w="946"/>
        <w:gridCol w:w="157"/>
      </w:tblGrid>
      <w:tr>
        <w:trPr/>
        <w:tc>
          <w:tcPr>
            <w:tcW w:w="124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28, 2026</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Food &amp; Health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Industrial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Manufactured, blended, repackaged products or equipment</w:t>
            </w:r>
            <w:r>
              <w:rPr>
                <w:color w:val="000000"/>
              </w:rPr>
              <w:t xml:space="preserve"> </w:t>
            </w:r>
            <w:r>
              <w:rPr>
                <w:rFonts w:ascii="sans-serif" w:hAnsi="sans-serif"/>
                <w:b w:val="false"/>
                <w:color w:val="000000"/>
                <w:sz w:val="12"/>
              </w:rPr>
              <w:t>(1)</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45,860 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185,897 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Bulk products </w:t>
            </w:r>
            <w:r>
              <w:rPr>
                <w:rFonts w:ascii="sans-serif" w:hAnsi="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Nutrition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Pharmaceutical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Agricultural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27,914 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27,914 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external customer sales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97,250 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60,132 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315,675 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29, 2025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Food &amp; Health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Industrial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Manufactured, blended, repackaged products or equipment</w:t>
            </w:r>
            <w:r>
              <w:rPr>
                <w:color w:val="000000"/>
              </w:rPr>
              <w:t xml:space="preserve"> </w:t>
            </w:r>
            <w:r>
              <w:rPr>
                <w:rFonts w:ascii="sans-serif" w:hAnsi="sans-serif"/>
                <w:b w:val="false"/>
                <w:color w:val="000000"/>
                <w:sz w:val="12"/>
              </w:rPr>
              <w:t>(1)</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41,318 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177,665 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Bulk products </w:t>
            </w:r>
            <w:r>
              <w:rPr>
                <w:rFonts w:ascii="sans-serif" w:hAnsi="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23,813 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Nutrition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Pharmaceutical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Agricultural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external customer sales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149,566 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89,177 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54,529 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293,272 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5595" w:type="dxa"/>
            <w:gridSpan w:val="1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5595" w:type="dxa"/>
            <w:gridSpan w:val="1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sans-serif" w:hAnsi="sans-serif"/>
          <w:b w:val="false"/>
          <w:color w:val="000000"/>
          <w:sz w:val="18"/>
        </w:rPr>
      </w:pPr>
      <w:r>
        <w:rPr>
          <w:rFonts w:ascii="sans-serif" w:hAnsi="sans-serif"/>
          <w:b w:val="false"/>
          <w:color w:val="000000"/>
          <w:sz w:val="18"/>
        </w:rPr>
        <w:t xml:space="preserve">(1)This line includes our non-bulk specialty products in our Water Treatment and Industrial Solutions segments that we either manufacture, blend, repackage, resell in their original form, or direct ship to our customers in smaller quantities, and equipment and services we provide for our customers. </w:t>
      </w:r>
    </w:p>
    <w:p>
      <w:pPr>
        <w:pStyle w:val="TextBody"/>
        <w:bidi w:val="0"/>
        <w:spacing w:lineRule="auto" w:line="288" w:before="0" w:after="180"/>
        <w:ind w:left="0" w:right="0" w:hanging="360"/>
        <w:jc w:val="both"/>
        <w:rPr>
          <w:rFonts w:ascii="sans-serif" w:hAnsi="sans-serif"/>
          <w:b w:val="false"/>
          <w:color w:val="000000"/>
          <w:sz w:val="18"/>
        </w:rPr>
      </w:pPr>
      <w:r>
        <w:rPr>
          <w:rFonts w:ascii="sans-serif" w:hAnsi="sans-serif"/>
          <w:b w:val="false"/>
          <w:color w:val="000000"/>
          <w:sz w:val="18"/>
        </w:rPr>
        <w:t>(2)This line includes bulk products in our Water Treatment and Industrial Solutions segments that we do not modify in any way, but receive, store, and ship from our facilities, or direct ship to our customers in large quantities.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4 – Earnings per Share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Basic earnings per share (“EPS”) is computed by dividing net earnings by the weighted-average number of common shares outstanding. Diluted EPS includes the dilutive impact of incremental shares assumed to be issued as performance units and restricted stock.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Basic and diluted EPS were calculated using the following:</w:t>
      </w:r>
    </w:p>
    <w:tbl>
      <w:tblPr>
        <w:tblW w:w="10205" w:type="dxa"/>
        <w:jc w:val="left"/>
        <w:tblInd w:w="0" w:type="dxa"/>
        <w:tblLayout w:type="fixed"/>
        <w:tblCellMar>
          <w:top w:w="28" w:type="dxa"/>
          <w:left w:w="28" w:type="dxa"/>
          <w:bottom w:w="28" w:type="dxa"/>
          <w:right w:w="28" w:type="dxa"/>
        </w:tblCellMar>
      </w:tblPr>
      <w:tblGrid>
        <w:gridCol w:w="1887"/>
        <w:gridCol w:w="1658"/>
        <w:gridCol w:w="1662"/>
        <w:gridCol w:w="109"/>
        <w:gridCol w:w="109"/>
        <w:gridCol w:w="109"/>
        <w:gridCol w:w="692"/>
        <w:gridCol w:w="554"/>
        <w:gridCol w:w="482"/>
        <w:gridCol w:w="244"/>
        <w:gridCol w:w="244"/>
        <w:gridCol w:w="244"/>
        <w:gridCol w:w="692"/>
        <w:gridCol w:w="554"/>
        <w:gridCol w:w="482"/>
        <w:gridCol w:w="109"/>
        <w:gridCol w:w="109"/>
        <w:gridCol w:w="109"/>
        <w:gridCol w:w="156"/>
      </w:tblGrid>
      <w:tr>
        <w:trPr/>
        <w:tc>
          <w:tcPr>
            <w:tcW w:w="1887"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73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20,777,481 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20,717,485 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Dilutive impact of performance units and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76,510 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93,077 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20,853,991 </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20,810,562 </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For each of the periods presented, there were no shares excluded from the calculation of weighted-average common shares for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5 – Fair Value Measurements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approximates fair value because of the short-term nature of these instruments. Because of the variable-rate nature of our debt under our credit facility, the carrying value of our debt also approximates fair value.</w:t>
      </w:r>
    </w:p>
    <w:p>
      <w:pPr>
        <w:pStyle w:val="TextBody"/>
        <w:bidi w:val="0"/>
        <w:spacing w:lineRule="auto" w:line="288" w:before="0" w:after="120"/>
        <w:jc w:val="both"/>
        <w:rPr/>
      </w:pPr>
      <w:r>
        <w:rPr>
          <w:rFonts w:ascii="sans-serif" w:hAnsi="sans-serif"/>
          <w:b/>
          <w:i/>
          <w:color w:val="000000"/>
          <w:sz w:val="20"/>
        </w:rPr>
        <w:t>Assets and Liabilities Measured at Fair Value on a Recurring Basis.</w:t>
      </w:r>
      <w:r>
        <w:rPr>
          <w:color w:val="000000"/>
        </w:rPr>
        <w:t>  </w:t>
      </w:r>
      <w:r>
        <w:rPr>
          <w:rFonts w:ascii="sans-serif" w:hAnsi="sans-serif"/>
          <w:b w:val="false"/>
          <w:color w:val="000000"/>
          <w:sz w:val="20"/>
        </w:rPr>
        <w:t xml:space="preserve">The fair value hierarchy requires the use of observable market data 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Our financial assets that are measured and reported at fair value for each reporting period are an interest rate swap, marketable securities held in a deferred compensation retirement plan, and the earnout liabilities recorded in conjunction with the acquisitions of Water Solutions Unlimited, Inc. ("Water Solutions") and WaterSurplus. The interest rate swap is classified as other current assets on our condensed consolidated balance sheets. Assets held in a deferred compensation retirement plan are classified as other long-term assets on our condensed consolidated balance sheets, with the portion of the deferred compensation retirement plan assets expected to be paid within twelve months classified as current assets. The Water Solutions earnout liability is classified as other current liabilities on our balance sheets. The WaterSurplus earnout liability is classified as a long-term liability on our balance sheets.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earnout liabilities recorded in conjunction with the acquisitions of Water Solutions and WaterSurplus are based upon achieving certain targets. The Water Solutions earnout is based on a target of adjusted earnings before interest, taxes, depreciation and amortization (EBITDA) in year three of the acquisition. The earnout liability was valued based upon a risk-neutral pricing analysis within a Monte Carlo simulation framework, which is a Level 3 input. The WaterSurplus earnout liability is based on a target of accumulated gross profit for the first five years of the acquisition. The earnout liability was discounted and recorded at the present value of the anticipated maximum payout amount, which is a Level 3 input. The earnout liabilities are adjusted to fair value at each reporting date until settled. Changes in fair value are included in selling, general and administrative expenses in our condensed consolidated statements of income.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The following tables summarize the balances of assets and liabilities measured at fair value on a recurring basis as of June 28, 2026 and March 29, 2026. </w:t>
      </w:r>
    </w:p>
    <w:p>
      <w:pPr>
        <w:pStyle w:val="TextBody"/>
        <w:bidi w:val="0"/>
        <w:spacing w:lineRule="auto" w:line="288" w:before="0" w:after="120"/>
        <w:jc w:val="left"/>
        <w:rPr>
          <w:color w:val="000000"/>
        </w:rPr>
      </w:pPr>
      <w:r>
        <w:rPr>
          <w:color w:val="000000"/>
        </w:rPr>
        <w:t> </w:t>
      </w:r>
      <w:r>
        <w:rPr>
          <w:rFonts w:ascii="sans-serif" w:hAnsi="sans-serif"/>
          <w:b w:val="false"/>
          <w:color w:val="000000"/>
          <w:sz w:val="2"/>
        </w:rPr>
        <w:t>0</w:t>
      </w:r>
    </w:p>
    <w:tbl>
      <w:tblPr>
        <w:tblW w:w="8454" w:type="dxa"/>
        <w:jc w:val="left"/>
        <w:tblInd w:w="0" w:type="dxa"/>
        <w:tblLayout w:type="fixed"/>
        <w:tblCellMar>
          <w:top w:w="28" w:type="dxa"/>
          <w:left w:w="28" w:type="dxa"/>
          <w:bottom w:w="28" w:type="dxa"/>
          <w:right w:w="28" w:type="dxa"/>
        </w:tblCellMar>
      </w:tblPr>
      <w:tblGrid>
        <w:gridCol w:w="1318"/>
        <w:gridCol w:w="1161"/>
        <w:gridCol w:w="1165"/>
        <w:gridCol w:w="109"/>
        <w:gridCol w:w="109"/>
        <w:gridCol w:w="109"/>
        <w:gridCol w:w="269"/>
        <w:gridCol w:w="269"/>
        <w:gridCol w:w="271"/>
        <w:gridCol w:w="109"/>
        <w:gridCol w:w="109"/>
        <w:gridCol w:w="109"/>
        <w:gridCol w:w="226"/>
        <w:gridCol w:w="826"/>
        <w:gridCol w:w="109"/>
        <w:gridCol w:w="109"/>
        <w:gridCol w:w="109"/>
        <w:gridCol w:w="109"/>
        <w:gridCol w:w="348"/>
        <w:gridCol w:w="1274"/>
        <w:gridCol w:w="237"/>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29, 2026</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Deferred compensation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14,146 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WaterSurplus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Water Solutions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4810" w:type="dxa"/>
            <w:gridSpan w:val="18"/>
            <w:tcBorders/>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changes in the earnout liability measured at fair value using Level 3 inputs were as follows:</w:t>
      </w:r>
    </w:p>
    <w:tbl>
      <w:tblPr>
        <w:tblW w:w="7147" w:type="dxa"/>
        <w:jc w:val="left"/>
        <w:tblInd w:w="0" w:type="dxa"/>
        <w:tblLayout w:type="fixed"/>
        <w:tblCellMar>
          <w:top w:w="28" w:type="dxa"/>
          <w:left w:w="28" w:type="dxa"/>
          <w:bottom w:w="28" w:type="dxa"/>
          <w:right w:w="28" w:type="dxa"/>
        </w:tblCellMar>
      </w:tblPr>
      <w:tblGrid>
        <w:gridCol w:w="1542"/>
        <w:gridCol w:w="1358"/>
        <w:gridCol w:w="1360"/>
        <w:gridCol w:w="109"/>
        <w:gridCol w:w="109"/>
        <w:gridCol w:w="109"/>
        <w:gridCol w:w="269"/>
        <w:gridCol w:w="269"/>
        <w:gridCol w:w="271"/>
        <w:gridCol w:w="109"/>
        <w:gridCol w:w="109"/>
        <w:gridCol w:w="109"/>
        <w:gridCol w:w="109"/>
        <w:gridCol w:w="109"/>
        <w:gridCol w:w="226"/>
        <w:gridCol w:w="82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2887" w:type="dxa"/>
            <w:gridSpan w:val="14"/>
            <w:tcBorders/>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Earnout liability at March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Accretion of WaterSurplus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Earnout liability at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49,962 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6 – Inventories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Inventories at June 28, 2026 and March 29, 2026 consisted of the following:</w:t>
      </w:r>
    </w:p>
    <w:tbl>
      <w:tblPr>
        <w:tblW w:w="5510" w:type="dxa"/>
        <w:jc w:val="left"/>
        <w:tblInd w:w="0" w:type="dxa"/>
        <w:tblLayout w:type="fixed"/>
        <w:tblCellMar>
          <w:top w:w="28" w:type="dxa"/>
          <w:left w:w="28" w:type="dxa"/>
          <w:bottom w:w="28" w:type="dxa"/>
          <w:right w:w="28" w:type="dxa"/>
        </w:tblCellMar>
      </w:tblPr>
      <w:tblGrid>
        <w:gridCol w:w="814"/>
        <w:gridCol w:w="717"/>
        <w:gridCol w:w="718"/>
        <w:gridCol w:w="109"/>
        <w:gridCol w:w="109"/>
        <w:gridCol w:w="109"/>
        <w:gridCol w:w="226"/>
        <w:gridCol w:w="946"/>
        <w:gridCol w:w="109"/>
        <w:gridCol w:w="109"/>
        <w:gridCol w:w="109"/>
        <w:gridCol w:w="109"/>
        <w:gridCol w:w="226"/>
        <w:gridCol w:w="94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29,</w:t>
              <w:br/>
              <w:t>2026</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 (FIFO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102,589 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LIFO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sans-serif" w:hAnsi="sans-serif"/>
          <w:b w:val="false"/>
          <w:color w:val="000000"/>
          <w:sz w:val="20"/>
        </w:rPr>
      </w:pPr>
      <w:r>
        <w:rPr>
          <w:rFonts w:ascii="sans-serif" w:hAnsi="sans-serif"/>
          <w:b w:val="false"/>
          <w:color w:val="000000"/>
          <w:sz w:val="20"/>
        </w:rPr>
        <w:t>We use the last in, first out (“LIFO”) method of valuing the majority of our inventory, which causes the most recent product costs to be recognized in our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7 – Goodwill and Other Identifiable Intangible Assets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carrying amounts of goodwill for each of our three reportable segments were as follows:</w:t>
      </w:r>
    </w:p>
    <w:tbl>
      <w:tblPr>
        <w:tblW w:w="10205" w:type="dxa"/>
        <w:jc w:val="left"/>
        <w:tblInd w:w="0" w:type="dxa"/>
        <w:tblLayout w:type="fixed"/>
        <w:tblCellMar>
          <w:top w:w="28" w:type="dxa"/>
          <w:left w:w="28" w:type="dxa"/>
          <w:bottom w:w="28" w:type="dxa"/>
          <w:right w:w="28" w:type="dxa"/>
        </w:tblCellMar>
      </w:tblPr>
      <w:tblGrid>
        <w:gridCol w:w="977"/>
        <w:gridCol w:w="828"/>
        <w:gridCol w:w="830"/>
        <w:gridCol w:w="326"/>
        <w:gridCol w:w="1365"/>
        <w:gridCol w:w="156"/>
        <w:gridCol w:w="466"/>
        <w:gridCol w:w="1705"/>
        <w:gridCol w:w="224"/>
        <w:gridCol w:w="432"/>
        <w:gridCol w:w="1354"/>
        <w:gridCol w:w="211"/>
        <w:gridCol w:w="226"/>
        <w:gridCol w:w="946"/>
        <w:gridCol w:w="159"/>
      </w:tblGrid>
      <w:tr>
        <w:trPr/>
        <w:tc>
          <w:tcPr>
            <w:tcW w:w="97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 Treatment</w:t>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xml:space="preserve">Total </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Balance as of March 29, 2026</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170,880 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46,871 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223,042 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 due to acquisitions</w:t>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Balance as of June 28, 2026</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171,666 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46,871 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5,291 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223,828 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The following is a summary of our identifiable intangible assets as of June 28, 2026 and March 29, 2026:</w:t>
      </w:r>
    </w:p>
    <w:tbl>
      <w:tblPr>
        <w:tblW w:w="11439" w:type="dxa"/>
        <w:jc w:val="left"/>
        <w:tblInd w:w="0" w:type="dxa"/>
        <w:tblLayout w:type="fixed"/>
        <w:tblCellMar>
          <w:top w:w="28" w:type="dxa"/>
          <w:left w:w="28" w:type="dxa"/>
          <w:bottom w:w="28" w:type="dxa"/>
          <w:right w:w="28" w:type="dxa"/>
        </w:tblCellMar>
      </w:tblPr>
      <w:tblGrid>
        <w:gridCol w:w="717"/>
        <w:gridCol w:w="354"/>
        <w:gridCol w:w="355"/>
        <w:gridCol w:w="109"/>
        <w:gridCol w:w="109"/>
        <w:gridCol w:w="109"/>
        <w:gridCol w:w="226"/>
        <w:gridCol w:w="946"/>
        <w:gridCol w:w="109"/>
        <w:gridCol w:w="109"/>
        <w:gridCol w:w="109"/>
        <w:gridCol w:w="109"/>
        <w:gridCol w:w="276"/>
        <w:gridCol w:w="1030"/>
        <w:gridCol w:w="135"/>
        <w:gridCol w:w="109"/>
        <w:gridCol w:w="109"/>
        <w:gridCol w:w="109"/>
        <w:gridCol w:w="226"/>
        <w:gridCol w:w="946"/>
        <w:gridCol w:w="109"/>
        <w:gridCol w:w="109"/>
        <w:gridCol w:w="109"/>
        <w:gridCol w:w="109"/>
        <w:gridCol w:w="226"/>
        <w:gridCol w:w="946"/>
        <w:gridCol w:w="109"/>
        <w:gridCol w:w="109"/>
        <w:gridCol w:w="109"/>
        <w:gridCol w:w="109"/>
        <w:gridCol w:w="276"/>
        <w:gridCol w:w="1030"/>
        <w:gridCol w:w="135"/>
        <w:gridCol w:w="109"/>
        <w:gridCol w:w="109"/>
        <w:gridCol w:w="109"/>
        <w:gridCol w:w="226"/>
        <w:gridCol w:w="94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29, 2026</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Gross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Net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(95,658)</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(90,142)</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231,660 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Indefinite-life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324,676 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(95,658)</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229,018 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323,029 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(90,142)</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232,887 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8 – Other Current Liabilities </w:t>
      </w:r>
    </w:p>
    <w:p>
      <w:pPr>
        <w:pStyle w:val="TextBody"/>
        <w:bidi w:val="0"/>
        <w:spacing w:lineRule="auto" w:line="288" w:before="0" w:after="120"/>
        <w:jc w:val="left"/>
        <w:rPr/>
      </w:pPr>
      <w:r>
        <w:rPr>
          <w:rFonts w:ascii="sans-serif" w:hAnsi="sans-serif"/>
          <w:b w:val="false"/>
          <w:color w:val="000000"/>
          <w:sz w:val="20"/>
        </w:rPr>
        <w:t>Other current liabilities at June 28, 2026 and March 29, 2026 consisted of the following:</w:t>
      </w:r>
      <w:r>
        <w:rPr>
          <w:color w:val="000000"/>
        </w:rPr>
        <w:t xml:space="preserve"> </w:t>
      </w:r>
    </w:p>
    <w:tbl>
      <w:tblPr>
        <w:tblW w:w="8024" w:type="dxa"/>
        <w:jc w:val="left"/>
        <w:tblInd w:w="0" w:type="dxa"/>
        <w:tblLayout w:type="fixed"/>
        <w:tblCellMar>
          <w:top w:w="28" w:type="dxa"/>
          <w:left w:w="28" w:type="dxa"/>
          <w:bottom w:w="28" w:type="dxa"/>
          <w:right w:w="28" w:type="dxa"/>
        </w:tblCellMar>
      </w:tblPr>
      <w:tblGrid>
        <w:gridCol w:w="1798"/>
        <w:gridCol w:w="1581"/>
        <w:gridCol w:w="1585"/>
        <w:gridCol w:w="109"/>
        <w:gridCol w:w="109"/>
        <w:gridCol w:w="109"/>
        <w:gridCol w:w="226"/>
        <w:gridCol w:w="826"/>
        <w:gridCol w:w="109"/>
        <w:gridCol w:w="109"/>
        <w:gridCol w:w="109"/>
        <w:gridCol w:w="109"/>
        <w:gridCol w:w="233"/>
        <w:gridCol w:w="853"/>
        <w:gridCol w:w="159"/>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29,</w:t>
              <w:br/>
              <w:t>2026</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Container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17,119 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9 – Debt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(and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related to qualified receivables transactions, as defined in the Credit Agreement. The Revolving Loan Facility includes a $10.0 million letter of credit subfacility and $25.0 million swingline subfacility. The Revolving Loan Facility is secured by substantially all of our personal property assets and those of our subsidiaries, and is scheduled to mature on April 25, 2030.</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 the first quarter of fiscal 2026, we drew approximately $150 million of additional proceeds to acquire substantially all of the assets of WaterSurplus as discussed in Note 2. We may use other proceeds from the Revolving Loan Facility for working capital, capital expenditures, share repurchases, restricted payments and other acquisitions permitted under the Credit Agreement, and other general corporate purposes.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We paid fees of approximately $1.0 million in fiscal 2026 associated with the April 2025 refinancing.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Borrowings under the Revolving Loan Facility bear interest at a variable rate based on term SOFR plus a margin. We have an interest rate swap in place to manage the risk associated with a portion of our variable-rate debt. The notional amount of the swap agreement is $60 million. At June 28, 2026, the effective interest rate on our borrowings was 4.3%.</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As of June 28, 2026, we were in compliance with all required covenants.</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Debt at June 28, 2026 and March 29, 2026 consisted of the following:</w:t>
      </w:r>
    </w:p>
    <w:tbl>
      <w:tblPr>
        <w:tblW w:w="5863" w:type="dxa"/>
        <w:jc w:val="left"/>
        <w:tblInd w:w="0" w:type="dxa"/>
        <w:tblLayout w:type="fixed"/>
        <w:tblCellMar>
          <w:top w:w="28" w:type="dxa"/>
          <w:left w:w="28" w:type="dxa"/>
          <w:bottom w:w="28" w:type="dxa"/>
          <w:right w:w="28" w:type="dxa"/>
        </w:tblCellMar>
      </w:tblPr>
      <w:tblGrid>
        <w:gridCol w:w="863"/>
        <w:gridCol w:w="760"/>
        <w:gridCol w:w="761"/>
        <w:gridCol w:w="109"/>
        <w:gridCol w:w="109"/>
        <w:gridCol w:w="109"/>
        <w:gridCol w:w="226"/>
        <w:gridCol w:w="946"/>
        <w:gridCol w:w="109"/>
        <w:gridCol w:w="109"/>
        <w:gridCol w:w="109"/>
        <w:gridCol w:w="109"/>
        <w:gridCol w:w="226"/>
        <w:gridCol w:w="946"/>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29,</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Revolving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10 – Income Taxes </w:t>
      </w:r>
    </w:p>
    <w:p>
      <w:pPr>
        <w:pStyle w:val="TextBody"/>
        <w:bidi w:val="0"/>
        <w:spacing w:lineRule="auto" w:line="288" w:before="0" w:after="180"/>
        <w:jc w:val="both"/>
        <w:rPr/>
      </w:pPr>
      <w:r>
        <w:rPr>
          <w:rFonts w:ascii="sans-serif" w:hAnsi="sans-serif"/>
          <w:b w:val="false"/>
          <w:color w:val="000000"/>
          <w:sz w:val="20"/>
        </w:rPr>
        <w:t>We are subject to U.S. federal income tax as well as income tax of multiple state jurisdictions. The tax years prior to our fiscal year ended April 2, 2023 are closed to examination by the Internal Revenue Service, and with few exceptions, state and local income tax jurisdictions. Our effective income tax rate was approximately 24% for the three months ended June 28, 2026 and 25% for the</w:t>
      </w:r>
      <w:r>
        <w:rPr>
          <w:color w:val="000000"/>
        </w:rPr>
        <w:t xml:space="preserve"> </w:t>
      </w:r>
      <w:r>
        <w:rPr>
          <w:rFonts w:ascii="sans-serif" w:hAnsi="sans-serif"/>
          <w:b w:val="false"/>
          <w:color w:val="000000"/>
          <w:sz w:val="20"/>
        </w:rPr>
        <w:t xml:space="preserve">three months ended June 29, 2025. The effective tax rate in both years was impacted by favorable tax provision adjustments recorded. The effective tax rate is impacted by projected levels of annual taxable income, permanent items, and state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11 – Share-Based Compensation </w:t>
      </w:r>
    </w:p>
    <w:p>
      <w:pPr>
        <w:pStyle w:val="TextBody"/>
        <w:bidi w:val="0"/>
        <w:spacing w:lineRule="auto" w:line="288" w:before="0" w:after="120"/>
        <w:jc w:val="both"/>
        <w:rPr/>
      </w:pPr>
      <w:r>
        <w:rPr>
          <w:rFonts w:ascii="sans-serif" w:hAnsi="sans-serif"/>
          <w:b/>
          <w:i/>
          <w:color w:val="000000"/>
          <w:sz w:val="20"/>
        </w:rPr>
        <w:t>Performance-Based Restricted Stock Units</w:t>
      </w:r>
      <w:r>
        <w:rPr>
          <w:rFonts w:ascii="sans-serif" w:hAnsi="sans-serif"/>
          <w:b w:val="false"/>
          <w:i/>
          <w:color w:val="000000"/>
          <w:sz w:val="20"/>
        </w:rPr>
        <w:t>.</w:t>
      </w:r>
      <w:r>
        <w:rPr>
          <w:color w:val="000000"/>
        </w:rPr>
        <w:t xml:space="preserve"> </w:t>
      </w:r>
      <w:r>
        <w:rPr>
          <w:rFonts w:ascii="sans-serif" w:hAnsi="sans-serif"/>
          <w:b w:val="false"/>
          <w:color w:val="000000"/>
          <w:sz w:val="20"/>
        </w:rPr>
        <w:t xml:space="preserve">Our Board of Directors (the “Board”) approved a performance-based equity compensation arrangement for our executive officers during the first quarters of each of fiscal 2027 and fiscal 2026. These performance-based arrangements provide for the grant of performance-based restricted stock units under our 2019 Equity Incentive Plan (the "2019 Plan")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40,962 shares in the aggregate for fiscal 2027.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The following table represents the restricted stock activity for the three months ended June 28, 2026: </w:t>
      </w:r>
    </w:p>
    <w:tbl>
      <w:tblPr>
        <w:tblW w:w="6837" w:type="dxa"/>
        <w:jc w:val="left"/>
        <w:tblInd w:w="0" w:type="dxa"/>
        <w:tblLayout w:type="fixed"/>
        <w:tblCellMar>
          <w:top w:w="28" w:type="dxa"/>
          <w:left w:w="28" w:type="dxa"/>
          <w:bottom w:w="28" w:type="dxa"/>
          <w:right w:w="28" w:type="dxa"/>
        </w:tblCellMar>
      </w:tblPr>
      <w:tblGrid>
        <w:gridCol w:w="1177"/>
        <w:gridCol w:w="1036"/>
        <w:gridCol w:w="1042"/>
        <w:gridCol w:w="109"/>
        <w:gridCol w:w="109"/>
        <w:gridCol w:w="109"/>
        <w:gridCol w:w="473"/>
        <w:gridCol w:w="473"/>
        <w:gridCol w:w="271"/>
        <w:gridCol w:w="109"/>
        <w:gridCol w:w="109"/>
        <w:gridCol w:w="109"/>
        <w:gridCol w:w="320"/>
        <w:gridCol w:w="1171"/>
        <w:gridCol w:w="220"/>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Weighted-</w:t>
              <w:br/>
              <w:t>Average Grant</w:t>
              <w:br/>
              <w:t>Date 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136,846 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95.93 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161.83 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(70,859)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104,211 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133.25 </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recorded compensation expense related to performance share units and restricted stock of $1.7 million for the three months ended June 28, 2026 and $1.8 million for the three months ended June 29, 2025. Substantially all of the compensation expense was recorded in selling, general and administrative expenses in the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sans-serif" w:hAnsi="sans-serif"/>
          <w:b/>
          <w:i/>
          <w:color w:val="000000"/>
          <w:sz w:val="20"/>
        </w:rPr>
        <w:t>Restricted Stock Awards</w:t>
      </w:r>
      <w:r>
        <w:rPr>
          <w:rFonts w:ascii="sans-serif" w:hAnsi="sans-serif"/>
          <w:b w:val="false"/>
          <w:i/>
          <w:color w:val="000000"/>
          <w:sz w:val="20"/>
        </w:rPr>
        <w:t>.</w:t>
      </w:r>
      <w:r>
        <w:rPr>
          <w:color w:val="000000"/>
        </w:rPr>
        <w:t xml:space="preserve"> </w:t>
      </w:r>
      <w:r>
        <w:rPr>
          <w:rFonts w:ascii="sans-serif" w:hAnsi="sans-serif"/>
          <w:b w:val="false"/>
          <w:color w:val="000000"/>
          <w:sz w:val="20"/>
        </w:rPr>
        <w:t>As part of their retainer, our directors, other than the Chief Executive Officer, receive restricted stock for their Board services. The restricted stock awards are under our 2019 Plan and are generally expensed over a one-year vesting period, based on the market value on the date of grant. As of June 28, 2026, there were 4,396 shares of restricted stock with an average grant date fair value of $159.16 outstanding under this program. Compensation expense related to restricted stock awards to the Board was $0.2 million for both the three months ended June 28, 2026 and June 29, 2025.</w:t>
      </w:r>
    </w:p>
    <w:p>
      <w:pPr>
        <w:pStyle w:val="TextBody"/>
        <w:bidi w:val="0"/>
        <w:spacing w:lineRule="auto" w:line="288" w:before="0" w:after="180"/>
        <w:jc w:val="both"/>
        <w:rPr>
          <w:rFonts w:ascii="sans-serif" w:hAnsi="sans-serif"/>
          <w:b w:val="false"/>
          <w:color w:val="000000"/>
          <w:sz w:val="20"/>
        </w:rPr>
      </w:pPr>
      <w:r>
        <w:rPr>
          <w:rFonts w:ascii="sans-serif" w:hAnsi="sans-serif"/>
          <w:b w:val="false"/>
          <w:color w:val="000000"/>
          <w:sz w:val="20"/>
        </w:rPr>
        <w:t xml:space="preserve">During the second quarter of fiscal 2026, certain employees from the WaterSurplus acquisition received restricted stock awards under the 2019 Plan, primarily to incentivize their continued service. The restricted stock awards will be expensed over a three-year vesting period, based on the market value on the date of grant. As of June 28, 2026, there were 8,713 shares of restricted stock with an average grant date fair value of $142.10 outstanding under this program. Compensation expense related to restricted stock awards to certain WaterSurplus employees was $0.1 million for the three months ended June 28, 2026. No expense was recorded for the three months ended June 29,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12 – Share Repurchase Program </w:t>
      </w:r>
    </w:p>
    <w:p>
      <w:pPr>
        <w:pStyle w:val="TextBody"/>
        <w:bidi w:val="0"/>
        <w:spacing w:lineRule="auto" w:line="288" w:before="0" w:after="180"/>
        <w:jc w:val="both"/>
        <w:rPr/>
      </w:pPr>
      <w:r>
        <w:rPr>
          <w:rFonts w:ascii="sans-serif" w:hAnsi="sans-serif"/>
          <w:b w:val="false"/>
          <w:color w:val="000000"/>
          <w:sz w:val="20"/>
        </w:rPr>
        <w:t>Our Board has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w:t>
      </w:r>
      <w:r>
        <w:rPr>
          <w:color w:val="EE2724"/>
        </w:rPr>
        <w:t xml:space="preserve"> </w:t>
      </w:r>
      <w:r>
        <w:rPr>
          <w:rFonts w:ascii="sans-serif" w:hAnsi="sans-serif"/>
          <w:b w:val="false"/>
          <w:color w:val="000000"/>
          <w:sz w:val="20"/>
        </w:rPr>
        <w:t>During the three months ended June 28, 2026, 45,196 shares were repurchased at an aggregate purchase price of $7.0 million, and during the three months ended June 29, 2025, no shares were repurchased. As of June 28, 2026, 686,348 shares remained available to be repurchased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 xml:space="preserve">Note 13 – Commitments and Contingencies </w:t>
      </w:r>
    </w:p>
    <w:p>
      <w:pPr>
        <w:pStyle w:val="TextBody"/>
        <w:bidi w:val="0"/>
        <w:spacing w:lineRule="auto" w:line="288" w:before="0" w:after="180"/>
        <w:jc w:val="both"/>
        <w:rPr/>
      </w:pPr>
      <w:r>
        <w:rPr>
          <w:rFonts w:ascii="sans-serif" w:hAnsi="sans-serif"/>
          <w:b/>
          <w:i/>
          <w:color w:val="000000"/>
          <w:sz w:val="20"/>
        </w:rPr>
        <w:t xml:space="preserve">Environmental Remediation. </w:t>
      </w:r>
      <w:r>
        <w:rPr>
          <w:rFonts w:ascii="sans-serif" w:hAnsi="sans-serif"/>
          <w:b w:val="false"/>
          <w:color w:val="000000"/>
          <w:sz w:val="20"/>
        </w:rPr>
        <w:t>In fiscal 2024, we recorded a liability of $7.7 million related to estimated remediation expenses associated with perchlorinated biphenyls ("PCBs") discovered in the soil at our Rosemount, Minnesota facility during an expansion project. This charge was recorded as an operating expense within cost of sales in our fiscal 2024 condensed consolidated statement of income. We acquired the property, which had prior heavy industrial use, in fiscal 2012. While the source of the PCBs is unknown, we have never brought PCBs onto the property or used PCBs on the site. The remediation liability is not discounted as management expects to incur these expenses within the next twelve months. Given the many uncertainties involved in assessing environmental matters, actual remediation expenses could differ from our estimates. While additional remediation expenses are reasonably possible to be incurred in future periods if new information or conditions are identified, we are unable to reasonably estimate the amount or range of any such additional expenses at this time. No additional expenses were incurred related to this liability during the three months ended June 28, 2026 and June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Note 14 – Segment Information</w:t>
      </w:r>
    </w:p>
    <w:p>
      <w:pPr>
        <w:pStyle w:val="TextBody"/>
        <w:bidi w:val="0"/>
        <w:spacing w:lineRule="auto" w:line="288" w:before="0" w:after="120"/>
        <w:jc w:val="both"/>
        <w:rPr/>
      </w:pPr>
      <w:r>
        <w:rPr>
          <w:rFonts w:ascii="sans-serif" w:hAnsi="sans-serif"/>
          <w:b w:val="false"/>
          <w:color w:val="000000"/>
          <w:sz w:val="20"/>
        </w:rPr>
        <w:t xml:space="preserve">We organize and manage our business by the following three segments, each of which meets the definition of reportable segments under ASC 280-10, </w:t>
      </w:r>
      <w:r>
        <w:rPr>
          <w:rFonts w:ascii="sans-serif" w:hAnsi="sans-serif"/>
          <w:b w:val="false"/>
          <w:i/>
          <w:color w:val="000000"/>
          <w:sz w:val="20"/>
        </w:rPr>
        <w:t>Segment Reporting</w:t>
      </w:r>
      <w:r>
        <w:rPr>
          <w:rFonts w:ascii="sans-serif" w:hAnsi="sans-serif"/>
          <w:b w:val="false"/>
          <w:color w:val="000000"/>
          <w:sz w:val="20"/>
        </w:rPr>
        <w:t xml:space="preserve">: Water Treatment, Food &amp; Health Sciences, and Industrial Solutions. These segments are defined primarily by product and type of customer. </w:t>
      </w:r>
    </w:p>
    <w:p>
      <w:pPr>
        <w:pStyle w:val="TextBody"/>
        <w:bidi w:val="0"/>
        <w:spacing w:lineRule="auto" w:line="288" w:before="0" w:after="120"/>
        <w:ind w:left="0" w:right="0" w:hanging="360"/>
        <w:jc w:val="both"/>
        <w:rPr/>
      </w:pPr>
      <w:r>
        <w:rPr>
          <w:color w:val="000000"/>
        </w:rPr>
        <w:t>•</w:t>
      </w:r>
      <w:r>
        <w:rPr>
          <w:rFonts w:ascii="sans-serif" w:hAnsi="sans-serif"/>
          <w:b w:val="false"/>
          <w:i/>
          <w:color w:val="000000"/>
          <w:sz w:val="20"/>
        </w:rPr>
        <w:t>Water Treatment Segment.</w:t>
      </w:r>
      <w:r>
        <w:rPr>
          <w:color w:val="000000"/>
        </w:rPr>
        <w:t>  </w:t>
      </w:r>
      <w:r>
        <w:rPr>
          <w:rFonts w:ascii="sans-serif" w:hAnsi="sans-serif"/>
          <w:b w:val="false"/>
          <w:color w:val="000000"/>
          <w:sz w:val="20"/>
        </w:rPr>
        <w:t>Our Water Treatment Group specializes in providing chemicals, filtration media and systems, equipment, services and solutions for potable water, municipal and industrial wastewater, industrial process water, mainly non-residential swimming pool water and agricultural water. This group has the resources and flexibility to treat systems ranging in size from a single small well to a multi-million-gallon-per-day facility.</w:t>
      </w:r>
    </w:p>
    <w:p>
      <w:pPr>
        <w:pStyle w:val="TextBody"/>
        <w:bidi w:val="0"/>
        <w:spacing w:lineRule="auto" w:line="288" w:before="0" w:after="120"/>
        <w:ind w:left="0" w:right="0" w:hanging="360"/>
        <w:jc w:val="both"/>
        <w:rPr/>
      </w:pPr>
      <w:r>
        <w:rPr>
          <w:color w:val="000000"/>
        </w:rPr>
        <w:t>•</w:t>
      </w:r>
      <w:r>
        <w:rPr>
          <w:rFonts w:ascii="sans-serif" w:hAnsi="sans-serif"/>
          <w:b w:val="false"/>
          <w:i/>
          <w:color w:val="000000"/>
          <w:sz w:val="20"/>
        </w:rPr>
        <w:t xml:space="preserve">Food and Health Sciences Segment. </w:t>
      </w:r>
      <w:r>
        <w:rPr>
          <w:rFonts w:ascii="sans-serif" w:hAnsi="sans-serif"/>
          <w:b w:val="false"/>
          <w:color w:val="000000"/>
          <w:sz w:val="20"/>
        </w:rPr>
        <w:t>Our Food and Health Sciences Group specializes in processing and formulation solutions as well as ingredient distribution to manufacturers in the nutrition, food, pharmaceutical, and agricultural markets. This group offers a diverse product portfolio, including base chemistry, acid based reactions, minerals, vitamins and amino acids, excipients, botanicals and herbs, sweeteners and enzymes, fertilizers, and food-grade and pharmaceutical salts and ingredients.</w:t>
      </w:r>
    </w:p>
    <w:p>
      <w:pPr>
        <w:pStyle w:val="TextBody"/>
        <w:bidi w:val="0"/>
        <w:spacing w:lineRule="auto" w:line="288" w:before="0" w:after="120"/>
        <w:ind w:left="0" w:right="0" w:hanging="360"/>
        <w:jc w:val="both"/>
        <w:rPr/>
      </w:pPr>
      <w:r>
        <w:rPr>
          <w:color w:val="000000"/>
        </w:rPr>
        <w:t>•</w:t>
      </w:r>
      <w:r>
        <w:rPr>
          <w:rFonts w:ascii="sans-serif" w:hAnsi="sans-serif"/>
          <w:b w:val="false"/>
          <w:i/>
          <w:color w:val="000000"/>
          <w:sz w:val="20"/>
        </w:rPr>
        <w:t>Industrial Solutions Segment.</w:t>
      </w:r>
      <w:r>
        <w:rPr>
          <w:color w:val="000000"/>
        </w:rPr>
        <w:t>  </w:t>
      </w:r>
      <w:r>
        <w:rPr>
          <w:rFonts w:ascii="sans-serif" w:hAnsi="sans-serif"/>
          <w:b w:val="false"/>
          <w:color w:val="000000"/>
          <w:sz w:val="20"/>
        </w:rPr>
        <w:t>Our Industrial Solutions Group specializes in providing industrial chemicals, products and services to industries such as industrial manufacturing, chemical processing, electronics, energy, plating, and surface finishing. This group’s principal products are acids and alkalis. This segment receives, stores and distributes various chemicals in bulk quantities, including liquid caustic soda, sulfuric acid, hydrochloric acid, urea, phosphoric acid, aqua ammonia and potassium hydroxide. This group performs customer blending of chemicals according to customer formulas and specifications and repackages bulk industrial chemicals to sell in smaller quantities to our customers. The Industrial Solutions group relies on a specially trained sales staff that works directly with customers on their specific needs. This segment conducts its business primarily through manufacturing locations and terminal operations.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Our chief operating decision-maker (CODM), who is our President and Chief Executive Officer, regularly reviews the consolidated financial statements in their entirety and financial information at the reportable segment level. The CODM uses operating income and considers budget-to-actual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The accounting policies of the segments are the same as those described in the summary of significant accounting policies.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Product costs and expenses for each segment are based on actual costs incurred along with cost allocations of shared and centralized functions. Raw materials are transferred between segments at material cost, capitalized freight, and capitalized internal production and warehousing costs, with the offset settled in a balance sheet clearing account. Capitalized freight and capitalized internal production and warehousing costs are calculated and applied to inventory on an item level basis using per unit estimates that are based on historical costs or time and effort measures as appropriate. We do not record intersegment sales, and no operating segments have been aggregated.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In fiscal 2027 and 2026, none of our customers accounted for 10% or more of our total sales.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Summarized financial information for our reportable segments is presented and reconciled to consolidated financial information in the following tables:</w:t>
      </w:r>
    </w:p>
    <w:tbl>
      <w:tblPr>
        <w:tblW w:w="10205" w:type="dxa"/>
        <w:jc w:val="left"/>
        <w:tblInd w:w="0" w:type="dxa"/>
        <w:tblLayout w:type="fixed"/>
        <w:tblCellMar>
          <w:top w:w="28" w:type="dxa"/>
          <w:left w:w="28" w:type="dxa"/>
          <w:bottom w:w="28" w:type="dxa"/>
          <w:right w:w="28" w:type="dxa"/>
        </w:tblCellMar>
      </w:tblPr>
      <w:tblGrid>
        <w:gridCol w:w="1237"/>
        <w:gridCol w:w="892"/>
        <w:gridCol w:w="895"/>
        <w:gridCol w:w="226"/>
        <w:gridCol w:w="946"/>
        <w:gridCol w:w="109"/>
        <w:gridCol w:w="109"/>
        <w:gridCol w:w="109"/>
        <w:gridCol w:w="109"/>
        <w:gridCol w:w="372"/>
        <w:gridCol w:w="1363"/>
        <w:gridCol w:w="179"/>
        <w:gridCol w:w="109"/>
        <w:gridCol w:w="109"/>
        <w:gridCol w:w="109"/>
        <w:gridCol w:w="326"/>
        <w:gridCol w:w="1192"/>
        <w:gridCol w:w="157"/>
        <w:gridCol w:w="109"/>
        <w:gridCol w:w="109"/>
        <w:gridCol w:w="109"/>
        <w:gridCol w:w="226"/>
        <w:gridCol w:w="946"/>
        <w:gridCol w:w="158"/>
      </w:tblGrid>
      <w:tr>
        <w:trPr/>
        <w:tc>
          <w:tcPr>
            <w:tcW w:w="123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thousands)</w:t>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Three months ended June 28, 2026:</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60,132 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315,675 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(73,345)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11,247 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38,672 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28,254 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Identifiable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249,411 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971,150 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Three months ended June 29, 2025:</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293,272 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(65,814)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10,967 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41,333 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Identifiable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249,315 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132,575 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951,244 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*Unallocated assets not included, consisting primarily of cash and cash equivalents, prepaid expenses, and non-qualified deferred compensation plan assets of $35.1 million at June 28, 2026 and $37.0 million at June 29,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440"/>
        <w:jc w:val="left"/>
        <w:rPr>
          <w:rFonts w:ascii="sans-serif" w:hAnsi="sans-serif"/>
          <w:b w:val="false"/>
          <w:color w:val="000000"/>
          <w:sz w:val="20"/>
        </w:rPr>
      </w:pPr>
      <w:r>
        <w:rPr>
          <w:rFonts w:ascii="sans-serif" w:hAnsi="sans-serif"/>
          <w:b w:val="false"/>
          <w:color w:val="000000"/>
          <w:sz w:val="20"/>
        </w:rPr>
        <w:t>ITEM 2.    MANAGEMENT’S DISCUSSION AND ANALYSIS OF FINANCIAL CONDITION AND RESULTS OF OPERATIONS</w:t>
      </w:r>
    </w:p>
    <w:p>
      <w:pPr>
        <w:pStyle w:val="TextBody"/>
        <w:bidi w:val="0"/>
        <w:spacing w:lineRule="auto" w:line="288" w:before="0" w:after="120"/>
        <w:jc w:val="both"/>
        <w:rPr/>
      </w:pPr>
      <w:r>
        <w:rPr>
          <w:rFonts w:ascii="sans-serif" w:hAnsi="sans-serif"/>
          <w:b w:val="false"/>
          <w:color w:val="000000"/>
          <w:sz w:val="20"/>
        </w:rPr>
        <w:t xml:space="preserve">The following is a discussion and analysis of our financial condition and results of operations for the three months ended June 28, 2026 as compared to the similar period ended June 29, 2025. This discussion should be read in conjunction with the condensed consolidated financial statements and notes to condensed consolidated financial statements included in this quarterly report on Form 10-Q and Part II, Item 8 of our </w:t>
      </w:r>
      <w:hyperlink r:id="rId4">
        <w:r>
          <w:rPr>
            <w:rStyle w:val="InternetLink"/>
            <w:rFonts w:ascii="sans-serif" w:hAnsi="sans-serif"/>
            <w:b w:val="false"/>
            <w:color w:val="0000FF"/>
            <w:sz w:val="20"/>
            <w:u w:val="single"/>
          </w:rPr>
          <w:t>Annual Report on Form 10-K for the fiscal year ended March 29, 2026</w:t>
        </w:r>
      </w:hyperlink>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sans-serif" w:hAnsi="sans-serif"/>
          <w:b w:val="false"/>
          <w:i/>
          <w:color w:val="000000"/>
          <w:sz w:val="20"/>
        </w:rPr>
      </w:pPr>
      <w:r>
        <w:rPr>
          <w:rFonts w:ascii="sans-serif" w:hAnsi="sans-serif"/>
          <w:b w:val="false"/>
          <w:i/>
          <w:color w:val="000000"/>
          <w:sz w:val="20"/>
        </w:rPr>
        <w:t>Overview</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derive substantially all of our revenues from the sale of water treatment, specialty ingredients, and chemistry products to our customers in a wide variety of industries. We believe that we create value for our customers through superb service and support, quality products, personalized applications and trustworthy, and creative employees.</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Business Acquisitions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completed the following acquisitions in the first quarter of fiscal 2027 and fiscal 2026. The results of operations since the date of each acquisition and the assets, including goodwill associated with these acquisitions, are included in our Water Treatment segment with the exception of the MakWood lactate business, which is included in our Food &amp; Health Sciences segment. Certain acquisitions discussed below are not included in Note 2 to our Condensed Consolidated Financial Statements as they were not deemed to be material enough to warrant disclosure.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Fiscal 2027</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On April 30, 2026, we acquired substantially all the assets and assumed certain liabilities of Aqua-Chem, Inc. ("Aqua-Chem") for approximately $3.6 million. Aqua-Chem provides water treatment products to commercial pools, including chemistry, equipment, and service, mainly to Nebraska and Iowa customers.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Fiscal 2026</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On December 3, 2025, we acquired substantially all the assets and assumed certain liabilities of Redbird Chemical, Inc. (“Redbird”) for $4.6 million. Redbird distributed chemicals to its customers in eastern Texas within both the water treatment and industrial markets.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On August 29, 2025, we acquired substantially all the assets and assumed certain liabilities of StillWaters Technology, Inc. ("StillWaters") for $4.3 million. StillWaters distributed water treatment chemicals and equipment for its customers in Alabama.</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On July 2, 2025, we acquired the lactate business of MakWood, Inc. for $1.9 million. We had previously been party to a Distribution Agreement with MakWood for certain lactate products under the Mak Lak trade name. This acquisition agreement terminated the Distribution Agreement, and resulted in our acquisition of the lactate distribution business, including the customer list and associated brand name.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On July 1, 2025, we acquired substantially all the assets and assumed certain liabilities of PhillTech, LLC ("PhillTech") for $5.0 million. Located in Courtland, AL, PhillTech manufactured and distributed coagulants and corrosion control products for its water treatment customers.</w:t>
      </w:r>
    </w:p>
    <w:p>
      <w:pPr>
        <w:pStyle w:val="TextBody"/>
        <w:bidi w:val="0"/>
        <w:spacing w:lineRule="auto" w:line="288" w:before="120" w:after="120"/>
        <w:ind w:left="0" w:right="0" w:hanging="360"/>
        <w:jc w:val="left"/>
        <w:rPr/>
      </w:pPr>
      <w:r>
        <w:rPr>
          <w:color w:val="000000"/>
        </w:rPr>
        <w:t>•</w:t>
      </w:r>
      <w:r>
        <w:rPr>
          <w:rFonts w:ascii="sans-serif" w:hAnsi="sans-serif"/>
          <w:b w:val="false"/>
          <w:color w:val="000000"/>
          <w:sz w:val="20"/>
        </w:rPr>
        <w:t xml:space="preserve">On June 13, 2025, we acquired substantially all the assets and assumed certain liabilities of Hendrickson Enterprises, LLC and Polymer Technologies, LLC (collectively, "Hendrickson") for approximately $1.5 million. Hendrickson distributed water treatment chemicals and equipment to its customers via direct shipments from suppliers.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On April 25, 2025, we acquired substantially all of the assets and assumed certain liabilities of WaterSurplus and related entities for approximately $149.9 million paid at closing, with an additional amount payable as an earnout of up to $53.7 million based on cumulative gross profit for the first five years. WaterSurplus is located in Rockford, IL and delivers sustainable water treatment solutions to customers throughout the United States.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aggregate annual revenue of the seven businesses acquired during fiscal 2026 and the first quarter of fiscal 2027 totaled approximately $52.3 million, as determined using the applicable twelve-month period preceding each respective acquisition date. </w:t>
      </w:r>
    </w:p>
    <w:p>
      <w:pPr>
        <w:pStyle w:val="TextBody"/>
        <w:bidi w:val="0"/>
        <w:spacing w:lineRule="auto" w:line="288" w:before="120" w:after="120"/>
        <w:jc w:val="both"/>
        <w:rPr>
          <w:rFonts w:ascii="sans-serif" w:hAnsi="sans-serif"/>
          <w:b w:val="false"/>
          <w:i/>
          <w:color w:val="000000"/>
          <w:sz w:val="20"/>
        </w:rPr>
      </w:pPr>
      <w:r>
        <w:rPr>
          <w:rFonts w:ascii="sans-serif" w:hAnsi="sans-serif"/>
          <w:b w:val="false"/>
          <w:i/>
          <w:color w:val="000000"/>
          <w:sz w:val="20"/>
        </w:rPr>
        <w:t>Financial Results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focus on total operating income when evaluating our financial results as opposed to profitability as a percentage of sales, as sales dollars tend to fluctuate as raw material prices rise and fall, particularly in our Water Treatment and Industrial Solutions segments. The costs for certain of our raw materials can rise or fall rapidly, causing fluctuations in gross profit as a percentage of sales.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We use the last in, first out (“LIFO”) method of valuing the majority of our inventory, which causes the most recent product costs to be recognized in our income statement. The LIFO inventory valuation method and the resulting cost of sales are consistent with our business practices of pricing to current chemical raw material prices.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disclose the sales of our bulk commodity products as a percentage of total sales dollars for our Water Treatment and Industrial Solutions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Results of Operations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The following table sets forth the percentage relationship of certain items to sales for the period indicated:</w:t>
      </w:r>
    </w:p>
    <w:tbl>
      <w:tblPr>
        <w:tblW w:w="9358" w:type="dxa"/>
        <w:jc w:val="left"/>
        <w:tblInd w:w="0" w:type="dxa"/>
        <w:tblLayout w:type="fixed"/>
        <w:tblCellMar>
          <w:top w:w="28" w:type="dxa"/>
          <w:left w:w="28" w:type="dxa"/>
          <w:bottom w:w="28" w:type="dxa"/>
          <w:right w:w="28" w:type="dxa"/>
        </w:tblCellMar>
      </w:tblPr>
      <w:tblGrid>
        <w:gridCol w:w="1767"/>
        <w:gridCol w:w="1371"/>
        <w:gridCol w:w="1392"/>
        <w:gridCol w:w="109"/>
        <w:gridCol w:w="109"/>
        <w:gridCol w:w="109"/>
        <w:gridCol w:w="449"/>
        <w:gridCol w:w="349"/>
        <w:gridCol w:w="921"/>
        <w:gridCol w:w="194"/>
        <w:gridCol w:w="194"/>
        <w:gridCol w:w="194"/>
        <w:gridCol w:w="449"/>
        <w:gridCol w:w="349"/>
        <w:gridCol w:w="921"/>
        <w:gridCol w:w="109"/>
        <w:gridCol w:w="109"/>
        <w:gridCol w:w="109"/>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23.4 </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24.7 </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12.2 </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14.1 </w:t>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13.3 </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8.9 </w:t>
            </w:r>
          </w:p>
        </w:tc>
        <w:tc>
          <w:tcPr>
            <w:tcW w:w="9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9.9 </w:t>
            </w:r>
          </w:p>
        </w:tc>
        <w:tc>
          <w:tcPr>
            <w:tcW w:w="9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 xml:space="preserve">Three Months Ended June 28, 2026 Compared to Three Months Ended June 29, 2025 </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Sales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Sales were $315.7 million for the three months ended June 28, 2026, an increase of $22.4 million, or 8%, from sales of $293.3 million in the same period a year ago. All of our segments grew by more than 5% as compared to the prior year.</w:t>
      </w:r>
    </w:p>
    <w:p>
      <w:pPr>
        <w:pStyle w:val="TextBody"/>
        <w:bidi w:val="0"/>
        <w:spacing w:lineRule="auto" w:line="288" w:before="0" w:after="120"/>
        <w:jc w:val="both"/>
        <w:rPr/>
      </w:pPr>
      <w:r>
        <w:rPr>
          <w:rFonts w:ascii="sans-serif" w:hAnsi="sans-serif"/>
          <w:b w:val="false"/>
          <w:i/>
          <w:color w:val="000000"/>
          <w:sz w:val="20"/>
        </w:rPr>
        <w:t>Water Treatment Segment.</w:t>
      </w:r>
      <w:r>
        <w:rPr>
          <w:color w:val="000000"/>
        </w:rPr>
        <w:t xml:space="preserve"> </w:t>
      </w:r>
      <w:r>
        <w:rPr>
          <w:rFonts w:ascii="sans-serif" w:hAnsi="sans-serif"/>
          <w:b w:val="false"/>
          <w:color w:val="000000"/>
          <w:sz w:val="20"/>
        </w:rPr>
        <w:t>Water Treatment segment sales increased $8.7 million, or 6%, to $158.3 million for the three months ended June 28, 2026, from sales of $149.6 million in the same period a year ago. Sales of bulk commodity products in the Water Treatment segment were approximately 10% of sales dollars in the current quarter and 8% in the same period a year ago. Sales increased primarily due to improved pricing on certain of our products in our legacy business on higher volumes, along with approximately $6.9 million in additional sales from acquired businesses.</w:t>
      </w:r>
    </w:p>
    <w:p>
      <w:pPr>
        <w:pStyle w:val="TextBody"/>
        <w:bidi w:val="0"/>
        <w:spacing w:lineRule="auto" w:line="288" w:before="0" w:after="120"/>
        <w:jc w:val="both"/>
        <w:rPr/>
      </w:pPr>
      <w:r>
        <w:rPr>
          <w:rFonts w:ascii="sans-serif" w:hAnsi="sans-serif"/>
          <w:b w:val="false"/>
          <w:i/>
          <w:color w:val="000000"/>
          <w:sz w:val="20"/>
        </w:rPr>
        <w:t>Food &amp; Health Sciences Segment.</w:t>
      </w:r>
      <w:r>
        <w:rPr>
          <w:color w:val="000000"/>
        </w:rPr>
        <w:t xml:space="preserve"> </w:t>
      </w:r>
      <w:r>
        <w:rPr>
          <w:rFonts w:ascii="sans-serif" w:hAnsi="sans-serif"/>
          <w:b w:val="false"/>
          <w:color w:val="000000"/>
          <w:sz w:val="20"/>
        </w:rPr>
        <w:t>Food &amp; Health Sciences segment sales increased $8.1 million, or 9%, to $97.3 million for the three months ended June 28, 2026, from sales of $89.2 million in the same period a year ago. Sales dollars increased as a result of increased volumes of our agricultural, nutrition, and pharmaceutical products, partially offset by decreased sales volumes of our food ingredients products.</w:t>
      </w:r>
    </w:p>
    <w:p>
      <w:pPr>
        <w:pStyle w:val="TextBody"/>
        <w:bidi w:val="0"/>
        <w:spacing w:lineRule="auto" w:line="288" w:before="0" w:after="120"/>
        <w:jc w:val="both"/>
        <w:rPr/>
      </w:pPr>
      <w:r>
        <w:rPr>
          <w:rFonts w:ascii="sans-serif" w:hAnsi="sans-serif"/>
          <w:b w:val="false"/>
          <w:i/>
          <w:color w:val="000000"/>
          <w:sz w:val="20"/>
        </w:rPr>
        <w:t>Industrial Solutions Segment.</w:t>
      </w:r>
      <w:r>
        <w:rPr>
          <w:color w:val="000000"/>
        </w:rPr>
        <w:t xml:space="preserve"> </w:t>
      </w:r>
      <w:r>
        <w:rPr>
          <w:rFonts w:ascii="sans-serif" w:hAnsi="sans-serif"/>
          <w:b w:val="false"/>
          <w:color w:val="000000"/>
          <w:sz w:val="20"/>
        </w:rPr>
        <w:t>Industrial Solutions segment sales increased $5.6 million, or 10%, to $60.1 million for the three months ended June 28, 2026, from sales of $54.5 million in the same period a year ago. Sales of bulk commodity products in the Industrial Solutions segment were approximately 21% of sales dollars in the current quarter and 22% in the same period a year ago. Sales increased primarily as a result of increased sales volumes of certain of our manufactured, blended and repackaged products.</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Gross Profit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Gross profit increased $1.6 million, or 2%, to $74.0 million, or 23% of sales, for the three months ended June 28, 2026, from $72.4 million, or 25% of sales, in the same period a year ago. During the current quarter, the LIFO reserve increased, and gross profit decreased, by $1.9 million. In the same period a year ago, the LIFO reserve increased, and gross profit decreased, by $0.6 million. In addition to the $1.3 million impact of the LIFO reserve, gross margin was pressured by higher freight costs that were not fully recovered through freight charges billed to customers.</w:t>
      </w:r>
    </w:p>
    <w:p>
      <w:pPr>
        <w:pStyle w:val="TextBody"/>
        <w:bidi w:val="0"/>
        <w:spacing w:lineRule="auto" w:line="288" w:before="0" w:after="120"/>
        <w:jc w:val="both"/>
        <w:rPr/>
      </w:pPr>
      <w:r>
        <w:rPr>
          <w:rFonts w:ascii="sans-serif" w:hAnsi="sans-serif"/>
          <w:b w:val="false"/>
          <w:i/>
          <w:color w:val="000000"/>
          <w:sz w:val="20"/>
        </w:rPr>
        <w:t>Water Treatment Segment.</w:t>
      </w:r>
      <w:r>
        <w:rPr>
          <w:color w:val="000000"/>
        </w:rPr>
        <w:t xml:space="preserve"> </w:t>
      </w:r>
      <w:r>
        <w:rPr>
          <w:rFonts w:ascii="sans-serif" w:hAnsi="sans-serif"/>
          <w:b w:val="false"/>
          <w:color w:val="000000"/>
          <w:sz w:val="20"/>
        </w:rPr>
        <w:t>Gross profit for the Water Treatment segment increased $1.7 million, or 4%, to $45.5 million, or 29% of sales, for the three months ended June 28, 2026, from $43.7 million, or 29% of sales, in the same period a year ago. During the current quarter, the LIFO reserve increased, and gross profit decreased, by $0.5 million. In the same period a year ago, the LIFO reserve increased, and gross profit decreased, by $0.2 million. The increase in gross profit was primarily driven by higher sales from our acquired and legacy businesses, partially offset by higher LIFO and freight costs.</w:t>
      </w:r>
    </w:p>
    <w:p>
      <w:pPr>
        <w:pStyle w:val="TextBody"/>
        <w:bidi w:val="0"/>
        <w:spacing w:lineRule="auto" w:line="288" w:before="0" w:after="120"/>
        <w:jc w:val="both"/>
        <w:rPr/>
      </w:pPr>
      <w:r>
        <w:rPr>
          <w:rFonts w:ascii="sans-serif" w:hAnsi="sans-serif"/>
          <w:b w:val="false"/>
          <w:i/>
          <w:color w:val="000000"/>
          <w:sz w:val="20"/>
        </w:rPr>
        <w:t>Food &amp; Health Sciences Segment.</w:t>
      </w:r>
      <w:r>
        <w:rPr>
          <w:color w:val="000000"/>
        </w:rPr>
        <w:t xml:space="preserve"> </w:t>
      </w:r>
      <w:r>
        <w:rPr>
          <w:rFonts w:ascii="sans-serif" w:hAnsi="sans-serif"/>
          <w:b w:val="false"/>
          <w:color w:val="000000"/>
          <w:sz w:val="20"/>
        </w:rPr>
        <w:t>Gross profit for the Food &amp; Health Sciences segment was $19.3 million for the three months ended June 28, 2026, unchanged from the same period in the prior year. As a percentage of sales, gross profit decreased to 20% from 22% in the same period a year ago. During the current quarter, the LIFO reserve increased, and gross profit decreased, by $0.8 million. In the same period a year ago, the LIFO reserve increased, and gross profit decreased, by $0.2 million. The benefit of higher sales volumes was offset by higher LIFO and freight costs.</w:t>
      </w:r>
    </w:p>
    <w:p>
      <w:pPr>
        <w:pStyle w:val="TextBody"/>
        <w:bidi w:val="0"/>
        <w:spacing w:lineRule="auto" w:line="288" w:before="0" w:after="120"/>
        <w:jc w:val="both"/>
        <w:rPr/>
      </w:pPr>
      <w:r>
        <w:rPr>
          <w:rFonts w:ascii="sans-serif" w:hAnsi="sans-serif"/>
          <w:b w:val="false"/>
          <w:i/>
          <w:color w:val="000000"/>
          <w:sz w:val="20"/>
        </w:rPr>
        <w:t>Industrial Solutions Segment.</w:t>
      </w:r>
      <w:r>
        <w:rPr>
          <w:color w:val="000000"/>
        </w:rPr>
        <w:t xml:space="preserve"> </w:t>
      </w:r>
      <w:r>
        <w:rPr>
          <w:rFonts w:ascii="sans-serif" w:hAnsi="sans-serif"/>
          <w:b w:val="false"/>
          <w:color w:val="000000"/>
          <w:sz w:val="20"/>
        </w:rPr>
        <w:t>Gross profit for the Industrial Solutions segment of $9.2 million, or 15% of sales, for the three months ended June 28, 2026, was relatively flat compared to $9.3 million, or 17% of sales, in the same period a year ago. During the current quarter, the LIFO reserve increased, and gross profit decreased, by $0.7 million. In the same period a year ago, the LIFO reserve increased, and gross profit decreased, by $0.2 million. The benefit of higher sales volumes was more than offset by higher LIFO and freight costs.</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Selling, General and Administrative Expenses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Selling, general and administrative (“SG&amp;A”) expenses increased $4.3 million, or 14%, to $35.3 million, or 11% of sales, for the three months ended June 28, 2026, from $31.0 million, or 11% of sales, in the same period a year ago. This included $2.1 million due to added costs from the acquired businesses in our Water Treatment segment. In addition, the prior-year period included a $1.9 million favorable fair value adjustment that reduced SG&amp;A, reflecting a downward revision to the estimated Water Solutions earnout liability based on a change in projected estimates related to the earnout target. This benefit did not recur in the current period, resulting in a $1.9 million year-over-year increase in SG&amp;A. SG&amp;A also included a $0.5 million increase in non-qualified deferred compensation expense, which was offset by a corresponding gain within other income. These increases were partially offset by lower acquisition-related costs and other changes across our operating expenses.</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Operating Income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Operating income decreased $2.7 million, or 6%, to $38.7 million, or 12% of sales, for the three months ended June 28, 2026, from $41.3 million, or 14% of sales, in the same period a year ago due to the combined impact of the factors discussed above.</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Interest Expense, Net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Interest expense decreased $0.5 million to $2.8 million for the three months ended June 28, 2026 compared to $3.3 million in the same period a year ago. Interest expense decreased as a result of $55.0 million in net debt repayments since the first quarter of fiscal 2026. </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Other Income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Other income was $1.4 million for the three months ended June 28, 2026 compared to $0.9 million in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pStyle w:val="TextBody"/>
        <w:bidi w:val="0"/>
        <w:spacing w:lineRule="auto" w:line="288" w:before="0" w:after="120"/>
        <w:jc w:val="both"/>
        <w:rPr>
          <w:rFonts w:ascii="sans-serif" w:hAnsi="sans-serif"/>
          <w:b w:val="false"/>
          <w:i/>
          <w:color w:val="000000"/>
          <w:sz w:val="20"/>
        </w:rPr>
      </w:pPr>
      <w:r>
        <w:rPr>
          <w:rFonts w:ascii="sans-serif" w:hAnsi="sans-serif"/>
          <w:b w:val="false"/>
          <w:i/>
          <w:color w:val="000000"/>
          <w:sz w:val="20"/>
        </w:rPr>
        <w:t>Income Tax Provision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effective income tax rate was approximately 24% for the three months ended June 28, 2026 and 25% for the same period a year ago. The effective tax rate in both years was impacted by favorable tax provision adjustments recorded. The effective tax rate is impacted by projected levels of annual taxable income, permanent items, and state taxes. Our effective tax rate for the full year is expected to be approximately 25% to 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sans-serif" w:hAnsi="sans-serif"/>
          <w:b/>
          <w:i/>
          <w:color w:val="000000"/>
          <w:sz w:val="20"/>
        </w:rPr>
      </w:pPr>
      <w:r>
        <w:rPr>
          <w:rFonts w:ascii="sans-serif" w:hAnsi="sans-serif"/>
          <w:b/>
          <w:i/>
          <w:color w:val="000000"/>
          <w:sz w:val="20"/>
        </w:rPr>
        <w:t>Liquidity and Capital Resources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Cash was $8.0 million at June 28, 2026, an increase of $4.1 million as compared with the $3.9 million available as of March 29, 2026.</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Cash provided by operating activities was $35.2 million for the three months ended June 28, 2026, compared to cash provided by operating activities of $31.5 million in the same period a year ago. The year-over-year increase in cash provided by operating activities in the current period was primarily driven by favorable year-over-year changes in inventories and accounts payable compared to the same period a year ago, which was mostly offset by unfavorable changes in accounts receivable. Due to the nature of our operations, which includes purchases of large quantities of bulk chemicals, the timing of purchases can result in significant changes in working capital investment and the resulting operating cash flow. </w:t>
      </w:r>
    </w:p>
    <w:p>
      <w:pPr>
        <w:pStyle w:val="TextBody"/>
        <w:bidi w:val="0"/>
        <w:spacing w:lineRule="auto" w:line="288" w:before="0" w:after="120"/>
        <w:jc w:val="both"/>
        <w:rPr/>
      </w:pPr>
      <w:r>
        <w:rPr>
          <w:rFonts w:ascii="sans-serif" w:hAnsi="sans-serif"/>
          <w:b w:val="false"/>
          <w:color w:val="000000"/>
          <w:sz w:val="20"/>
        </w:rPr>
        <w:t>Cash u</w:t>
      </w:r>
      <w:r>
        <w:rPr>
          <w:rFonts w:ascii="sans-serif" w:hAnsi="sans-serif"/>
          <w:b w:val="false"/>
          <w:color w:val="000000"/>
          <w:sz w:val="20"/>
          <w:shd w:fill="FFFFFF" w:val="clear"/>
        </w:rPr>
        <w:t>sed in investing activities was $14.9 million for the three months ended June 28, 2026, compared to $164.5 million in the sam</w:t>
      </w:r>
      <w:r>
        <w:rPr>
          <w:rFonts w:ascii="sans-serif" w:hAnsi="sans-serif"/>
          <w:b w:val="false"/>
          <w:color w:val="000000"/>
          <w:sz w:val="20"/>
        </w:rPr>
        <w:t xml:space="preserve">e period a year ago. In the current period, we incurred acquisition spending of </w:t>
      </w:r>
      <w:r>
        <w:rPr>
          <w:rFonts w:ascii="sans-serif" w:hAnsi="sans-serif"/>
          <w:b w:val="false"/>
          <w:color w:val="000000"/>
          <w:sz w:val="20"/>
          <w:shd w:fill="FFFFFF" w:val="clear"/>
        </w:rPr>
        <w:t>$3.6 million compared to $151.3 million in the same period a year ago,</w:t>
      </w:r>
      <w:r>
        <w:rPr>
          <w:color w:val="000000"/>
        </w:rPr>
        <w:t xml:space="preserve"> </w:t>
      </w:r>
      <w:r>
        <w:rPr>
          <w:rFonts w:ascii="sans-serif" w:hAnsi="sans-serif"/>
          <w:b w:val="false"/>
          <w:color w:val="000000"/>
          <w:sz w:val="20"/>
        </w:rPr>
        <w:t>including the acquisition of WaterSurplus for approximately $149.9 million paid at closing. Capital expenditures were $11.6 million for the current period, compared to $13.5 million in the same period a year ago. In the current period, we expended less on real estate and building expansions, contributing to the overall decrease in capital expenditures compared to the prior year.</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Cash used in financing activities was $16.1 million for the three months ended June 28, 2026, compared to $142.5 million of cash provided by financing activities in the same period a year ago. Included in financing activities in the current period were no net debt borrowings, compared to net debt borrowings of $150.0 million in the same period a year ago when we drew approximately $150 million of the proceeds from the Revolving Loan Facility for the acquisition of WaterSurplus. In addition, we repurchased $7.0 million of our common stock in the current period, compared to no repurchases in the same period of the prior year.</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We expect our cash balances and funds available under our credit facility, discussed below, along with cash flows generated from operations, will be sufficient to fund the cash requirements of our ongoing operations for the foreseeable future.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three months ended June 28, 2026, we repurchased 45,196 shares of common stock at an aggregate purchase price of $7.0 million. During the three months ended June 29, 2025, we repurchased no shares of common stock. As of June 28, 2026, 686,348 shares remained available to be repurchased under the share repurchase program.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related to qualified receivables transactions, as defined in the Credit Agreement. The Revolving Loan Facility includes a $10.0 million letter of credit subfacility and $25.0 million swingline subfacility. The Revolving Loan Facility has a five-year maturity date, maturing on April 25, 2030.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 At June 28, 2026, we had $244.0 million outstanding under the Revolving Loan Facility.</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1.0% and 1.85%, depending on our leverage ratio. The base rate margin is between 0.00% and 0.85%, depending on our leverage ratio. At June 28, 2026, the effective interest rate on our borrowings was 4.3%.</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 addition to paying interest on the outstanding principal under the Revolving Loan Facility, we are required to pay a commitment fee on the unutilized commitments thereunder. The commitment fee is between 0.15% and 0.25%, depending on our leverage ratio.</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Debt issuance costs paid to the Lenders are being amortized as interest expense over the term of the Credit Agreement. As of June 28, 2026, the unamortized balance of these costs was $0.7 million, and is included within other long-term assets on our condensed consolidated balance sheet.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The Credit Agreement requires that we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are permitted to make distributions, pay dividends and repurchase shares so long as no default or event of default exists or would exist as a result thereof. We were in compliance with all covenants of the Credit Agreement as of June 28, 2026 and expect to remain in compliance with all covenants for the next 12 months.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 Credit Agreement contains customary events of default including failure to make payments under the Revolving Loan Facility, failure to comply with covenants in the Credit Agreement and other loan documents, cross default to other material indebtedness, our failure to pay or discharge material judgments, bankruptcy, and change of control of the Company. The occurrence of an event of default would permit the lenders to terminate their commitments and accelerate loans under the Revolving Loan Facility.</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 We believe that our existing cash and cash equivalents, together with cash generated from operations and available borrowings under our existing Credit Agreement, will be sufficient to meet our working capital expenditure requirements for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Critical Accounting Estimates</w:t>
      </w:r>
    </w:p>
    <w:p>
      <w:pPr>
        <w:pStyle w:val="TextBody"/>
        <w:bidi w:val="0"/>
        <w:spacing w:lineRule="auto" w:line="288" w:before="0" w:after="120"/>
        <w:jc w:val="both"/>
        <w:rPr/>
      </w:pPr>
      <w:r>
        <w:rPr>
          <w:rFonts w:ascii="sans-serif" w:hAnsi="sans-serif"/>
          <w:b w:val="false"/>
          <w:color w:val="000000"/>
          <w:sz w:val="20"/>
        </w:rPr>
        <w:t xml:space="preserve">There have been no material changes in our critical accounting estimates, as disclosed in our </w:t>
      </w:r>
      <w:hyperlink r:id="rId5">
        <w:r>
          <w:rPr>
            <w:rStyle w:val="InternetLink"/>
            <w:rFonts w:ascii="sans-serif" w:hAnsi="sans-serif"/>
            <w:b w:val="false"/>
            <w:color w:val="0000FF"/>
            <w:sz w:val="20"/>
            <w:u w:val="single"/>
          </w:rPr>
          <w:t>Annual Report on Form 10-K for fiscal 2026</w:t>
        </w:r>
      </w:hyperlink>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i/>
          <w:color w:val="000000"/>
          <w:sz w:val="20"/>
        </w:rPr>
      </w:pPr>
      <w:r>
        <w:rPr>
          <w:rFonts w:ascii="sans-serif" w:hAnsi="sans-serif"/>
          <w:b/>
          <w:i/>
          <w:color w:val="000000"/>
          <w:sz w:val="20"/>
        </w:rPr>
        <w:t>Forward-Looking Statements</w:t>
      </w:r>
    </w:p>
    <w:p>
      <w:pPr>
        <w:pStyle w:val="TextBody"/>
        <w:bidi w:val="0"/>
        <w:spacing w:lineRule="auto" w:line="288" w:before="0" w:after="120"/>
        <w:jc w:val="both"/>
        <w:rPr/>
      </w:pPr>
      <w:r>
        <w:rPr>
          <w:rFonts w:ascii="sans-serif" w:hAnsi="sans-serif"/>
          <w:b w:val="false"/>
          <w:color w:val="000000"/>
          <w:sz w:val="20"/>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6">
        <w:r>
          <w:rPr>
            <w:rStyle w:val="InternetLink"/>
            <w:rFonts w:ascii="sans-serif" w:hAnsi="sans-serif"/>
            <w:b w:val="false"/>
            <w:color w:val="0000FF"/>
            <w:sz w:val="20"/>
            <w:u w:val="single"/>
          </w:rPr>
          <w:t>Annual Report on Form 10-K for fiscal 2026</w:t>
        </w:r>
      </w:hyperlink>
      <w:r>
        <w:rPr>
          <w:rFonts w:ascii="sans-serif" w:hAnsi="sans-serif"/>
          <w:b w:val="false"/>
          <w:color w:val="000000"/>
          <w:sz w:val="20"/>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3.        QUANTITATIVE AND QUALITATIVE DISCLOSURES ABOUT MARKET RISK</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June 28, 2026, a 25-basis point change in interest rates on our unhedged variable-rate debt would potentially increase or decrease our annual interest expense by approximately $0.5 million.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Other types of market risk, such as foreign currency risk, do not arise in the normal course of our business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4.        CONTROLS AND PROCEDURES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June 28, 2026.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Changes in Internal Control</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There was no change in our internal control over financial reporting during the first quarter of fiscal 2027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1.        LEGAL PROCEEDINGS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There are no material pending legal proceedings, other than ordinary routine litigation incidental to the business, to which we or any of our subsidiaries are a party or of which any of our property is the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1A.    RISK FACTORS</w:t>
      </w:r>
    </w:p>
    <w:p>
      <w:pPr>
        <w:pStyle w:val="TextBody"/>
        <w:bidi w:val="0"/>
        <w:spacing w:lineRule="auto" w:line="288" w:before="0" w:after="120"/>
        <w:jc w:val="both"/>
        <w:rPr/>
      </w:pPr>
      <w:r>
        <w:rPr>
          <w:rFonts w:ascii="sans-serif" w:hAnsi="sans-serif"/>
          <w:b w:val="false"/>
          <w:color w:val="000000"/>
          <w:sz w:val="20"/>
        </w:rPr>
        <w:t xml:space="preserve">There have been no material changes to our risk factors from those disclosed in our </w:t>
      </w:r>
      <w:hyperlink r:id="rId7">
        <w:r>
          <w:rPr>
            <w:rStyle w:val="InternetLink"/>
            <w:rFonts w:ascii="sans-serif" w:hAnsi="sans-serif"/>
            <w:b w:val="false"/>
            <w:color w:val="0000FF"/>
            <w:sz w:val="20"/>
            <w:u w:val="single"/>
          </w:rPr>
          <w:t>Annual Report on Form 10-K for fiscal 2026</w:t>
        </w:r>
      </w:hyperlink>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2.        UNREGISTERED SALES OF EQUITY SECURITIES AND USE OF PROCEEDS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Board has authorized the repurchase of up to 2.6 million shares of our outstanding common stock, initially approved on May 29, 2014 and subsequently amended from time to time. The repurchase plan has no expiration date. The shares may be purchased on the open market or in privately negotiated transactions subject to applicable securities laws and regulations. The following table sets forth information concerning purchases of our common stock for the three months ended June 28, 2026:</w:t>
      </w:r>
    </w:p>
    <w:tbl>
      <w:tblPr>
        <w:tblW w:w="10205" w:type="dxa"/>
        <w:jc w:val="center"/>
        <w:tblInd w:w="0" w:type="dxa"/>
        <w:tblLayout w:type="fixed"/>
        <w:tblCellMar>
          <w:top w:w="28" w:type="dxa"/>
          <w:left w:w="28" w:type="dxa"/>
          <w:bottom w:w="28" w:type="dxa"/>
          <w:right w:w="28" w:type="dxa"/>
        </w:tblCellMar>
      </w:tblPr>
      <w:tblGrid>
        <w:gridCol w:w="683"/>
        <w:gridCol w:w="313"/>
        <w:gridCol w:w="316"/>
        <w:gridCol w:w="109"/>
        <w:gridCol w:w="109"/>
        <w:gridCol w:w="109"/>
        <w:gridCol w:w="534"/>
        <w:gridCol w:w="503"/>
        <w:gridCol w:w="504"/>
        <w:gridCol w:w="109"/>
        <w:gridCol w:w="109"/>
        <w:gridCol w:w="109"/>
        <w:gridCol w:w="275"/>
        <w:gridCol w:w="1006"/>
        <w:gridCol w:w="132"/>
        <w:gridCol w:w="109"/>
        <w:gridCol w:w="109"/>
        <w:gridCol w:w="109"/>
        <w:gridCol w:w="745"/>
        <w:gridCol w:w="745"/>
        <w:gridCol w:w="747"/>
        <w:gridCol w:w="109"/>
        <w:gridCol w:w="109"/>
        <w:gridCol w:w="109"/>
        <w:gridCol w:w="836"/>
        <w:gridCol w:w="640"/>
        <w:gridCol w:w="918"/>
      </w:tblGrid>
      <w:tr>
        <w:trPr/>
        <w:tc>
          <w:tcPr>
            <w:tcW w:w="6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 Number of Shares Purchased as Part of a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Maximum Number of Shares that May Yet be Purchased under Plans or Programs</w:t>
            </w:r>
          </w:p>
        </w:tc>
      </w:tr>
      <w:tr>
        <w:trPr/>
        <w:tc>
          <w:tcPr>
            <w:tcW w:w="13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03/30/2026-04/26/2026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33,917 </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(1)</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151.62 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731,544 </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04/27/2026-05/24/2026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731,544 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05/25/2026-06/28/2026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45,196 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45,196 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686,348 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79,113 </w:t>
            </w:r>
          </w:p>
        </w:tc>
        <w:tc>
          <w:tcPr>
            <w:tcW w:w="5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45,196 </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(1) The shares of common stock represent shares that were surrendered to us by stock plan participants in order to satisfy minimum withholding tax obligations related to the vesting of restricted stock awards and are not shares purchased under the Board authorization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3.        DEFAULTS UPON SENIOR SECURITIES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4.        MINE SAFETY DISCLOSURES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ITEM 5.        OTHER INFORMATION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three months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9"/>
        <w:gridCol w:w="282"/>
        <w:gridCol w:w="255"/>
        <w:gridCol w:w="109"/>
        <w:gridCol w:w="109"/>
        <w:gridCol w:w="109"/>
        <w:gridCol w:w="2412"/>
        <w:gridCol w:w="2243"/>
        <w:gridCol w:w="2263"/>
        <w:gridCol w:w="109"/>
        <w:gridCol w:w="109"/>
        <w:gridCol w:w="109"/>
        <w:gridCol w:w="519"/>
        <w:gridCol w:w="519"/>
        <w:gridCol w:w="739"/>
      </w:tblGrid>
      <w:tr>
        <w:trPr/>
        <w:tc>
          <w:tcPr>
            <w:tcW w:w="3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Method of Filing</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sans-serif" w:hAnsi="sans-serif"/>
                  <w:b w:val="false"/>
                  <w:color w:val="0000FF"/>
                  <w:sz w:val="20"/>
                  <w:u w:val="single"/>
                </w:rPr>
                <w:t>Restated Articles of Incorporation.</w:t>
              </w:r>
            </w:hyperlink>
            <w:r>
              <w:rPr>
                <w:color w:val="000000"/>
              </w:rPr>
              <w:t xml:space="preserve"> </w:t>
            </w:r>
            <w:r>
              <w:rPr>
                <w:rFonts w:ascii="sans-serif" w:hAnsi="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Incorporated by Reference</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sans-serif" w:hAnsi="sans-serif"/>
                  <w:b w:val="false"/>
                  <w:color w:val="0000FF"/>
                  <w:sz w:val="20"/>
                  <w:u w:val="single"/>
                </w:rPr>
                <w:t>Amended and Restated By-Laws.</w:t>
              </w:r>
            </w:hyperlink>
            <w:r>
              <w:rPr>
                <w:color w:val="000000"/>
              </w:rPr>
              <w:t xml:space="preserve"> </w:t>
            </w:r>
            <w:r>
              <w:rPr>
                <w:rFonts w:ascii="sans-serif" w:hAnsi="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Incorporated by Reference</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7q1062826ex311.htm">
              <w:r>
                <w:rPr>
                  <w:rStyle w:val="InternetLink"/>
                  <w:rFonts w:ascii="sans-serif" w:hAnsi="sans-serif"/>
                  <w:b w:val="false"/>
                  <w:color w:val="0000FF"/>
                  <w:sz w:val="20"/>
                  <w:u w:val="single"/>
                </w:rPr>
                <w:t>Certification by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7q1062826ex312.htm">
              <w:r>
                <w:rPr>
                  <w:rStyle w:val="InternetLink"/>
                  <w:rFonts w:ascii="sans-serif" w:hAnsi="sans-serif"/>
                  <w:b w:val="false"/>
                  <w:color w:val="0000FF"/>
                  <w:sz w:val="20"/>
                  <w:u w:val="single"/>
                </w:rPr>
                <w:t>Certification by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7q1062826ex321.htm">
              <w:r>
                <w:rPr>
                  <w:rStyle w:val="InternetLink"/>
                  <w:rFonts w:ascii="sans-serif" w:hAnsi="sans-serif"/>
                  <w:b w:val="false"/>
                  <w:color w:val="0000FF"/>
                  <w:sz w:val="20"/>
                  <w:u w:val="single"/>
                </w:rPr>
                <w:t>Section 1350 Certification by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7q1062826ex322.htm">
              <w:r>
                <w:rPr>
                  <w:rStyle w:val="InternetLink"/>
                  <w:rFonts w:ascii="sans-serif" w:hAnsi="sans-serif"/>
                  <w:b w:val="false"/>
                  <w:color w:val="0000FF"/>
                  <w:sz w:val="20"/>
                  <w:u w:val="single"/>
                </w:rPr>
                <w:t>Section 1350 Certification by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Financial statements from the Quarterly Report on Form 10-Q of Hawkins, Inc. for the period ended June 28, 2026 formatted in Inline Extensible Business Reporting Language (iXBRL); (i) the Condensed Consolidated Balance Sheets at June 28, 2026 and March 29, 2026, (ii) the Condensed Consolidated Statements of Income for the three months ended June 28, 2026 and June 29, 2025, (iii) the Condensed Consolidated Statements of Comprehensive Income for the three months ended June 28, 2026 and June 29, 2025, (iv) the Condensed Consolidated Statements of Shareholders' Equity for the three months ended June 28, 2026 and June 29, 2025, (v) the Condensed Consolidated Statements of Cash Flows for the three months ended June 28, 2026 and June 29, 2025, (vi) Notes to Condensed Consolidated Financial Statements, and (vii) the information set forth in Part II, 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bl>
    <w:p>
      <w:pPr>
        <w:pStyle w:val="TextBody"/>
        <w:bidi w:val="0"/>
        <w:spacing w:lineRule="auto" w:line="288" w:before="0" w:after="120"/>
        <w:ind w:left="0" w:right="0" w:hanging="360"/>
        <w:jc w:val="left"/>
        <w:rPr>
          <w:rFonts w:ascii="sans-serif" w:hAnsi="sans-serif"/>
          <w:b w:val="false"/>
          <w:color w:val="000000"/>
          <w:sz w:val="20"/>
        </w:rPr>
      </w:pPr>
      <w:r>
        <w:rPr>
          <w:rFonts w:ascii="sans-serif" w:hAnsi="sans-serif"/>
          <w:b w:val="false"/>
          <w:color w:val="000000"/>
          <w:sz w:val="20"/>
        </w:rPr>
        <w:t>(1)Incorporated by reference to Exhibit 3.2 to our Current Report on Form 8-K filed March 2, 2021.</w:t>
      </w:r>
    </w:p>
    <w:p>
      <w:pPr>
        <w:pStyle w:val="TextBody"/>
        <w:bidi w:val="0"/>
        <w:spacing w:lineRule="auto" w:line="288" w:before="0" w:after="120"/>
        <w:ind w:left="0" w:right="0" w:hanging="360"/>
        <w:jc w:val="left"/>
        <w:rPr>
          <w:rFonts w:ascii="sans-serif" w:hAnsi="sans-serif"/>
          <w:b w:val="false"/>
          <w:color w:val="000000"/>
          <w:sz w:val="20"/>
        </w:rPr>
      </w:pPr>
      <w:r>
        <w:rPr>
          <w:rFonts w:ascii="sans-serif" w:hAnsi="sans-serif"/>
          <w:b w:val="false"/>
          <w:color w:val="000000"/>
          <w:sz w:val="20"/>
        </w:rPr>
        <w:t>(2)Incorporated by reference to Exhibit 3.1 to our Current Report on Form 8-K filed November 3, 2009.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12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7"/>
        <w:gridCol w:w="165"/>
        <w:gridCol w:w="165"/>
        <w:gridCol w:w="165"/>
        <w:gridCol w:w="165"/>
        <w:gridCol w:w="165"/>
        <w:gridCol w:w="2923"/>
        <w:gridCol w:w="2923"/>
        <w:gridCol w:w="2972"/>
        <w:gridCol w:w="109"/>
        <w:gridCol w:w="109"/>
        <w:gridCol w:w="157"/>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Jeffrey P. Oldenkamp</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Jeffrey P. Oldenkamp</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Executive Vice President and Chief Financial Officer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(On behalf of the registrant as a duly authorized officer and as principal financial and accounting officer)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sans-serif" w:hAnsi="sans-serif"/>
          <w:b w:val="false"/>
          <w:color w:val="000000"/>
          <w:sz w:val="20"/>
        </w:rPr>
      </w:pPr>
      <w:r>
        <w:rPr>
          <w:rFonts w:ascii="sans-serif" w:hAnsi="sans-serif"/>
          <w:b w:val="false"/>
          <w:color w:val="000000"/>
          <w:sz w:val="20"/>
        </w:rPr>
        <w:t xml:space="preserve">Dated: July 29,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31.1</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302 OF</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THE SARBANES-OXLEY ACT OF 2002</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CERTIFICATIONS</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I, Patrick H. Hawkins, certify that:</w:t>
      </w:r>
    </w:p>
    <w:p>
      <w:pPr>
        <w:pStyle w:val="TextBody"/>
        <w:bidi w:val="0"/>
        <w:spacing w:before="0" w:after="0"/>
        <w:jc w:val="left"/>
        <w:rPr/>
      </w:pPr>
      <w:r>
        <w:rPr/>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Date: July 29, 2026 </w:t>
      </w:r>
    </w:p>
    <w:p>
      <w:pPr>
        <w:pStyle w:val="TextBody"/>
        <w:bidi w:val="0"/>
        <w:spacing w:lineRule="auto" w:line="288" w:before="0" w:after="0"/>
        <w:jc w:val="left"/>
        <w:rPr>
          <w:color w:val="000000"/>
        </w:rPr>
      </w:pPr>
      <w:r>
        <w:rPr>
          <w:color w:val="000000"/>
        </w:rPr>
        <w:t> </w:t>
      </w:r>
    </w:p>
    <w:tbl>
      <w:tblPr>
        <w:tblW w:w="4121" w:type="dxa"/>
        <w:jc w:val="left"/>
        <w:tblInd w:w="0" w:type="dxa"/>
        <w:tblLayout w:type="fixed"/>
        <w:tblCellMar>
          <w:top w:w="28" w:type="dxa"/>
          <w:left w:w="28" w:type="dxa"/>
          <w:bottom w:w="28" w:type="dxa"/>
          <w:right w:w="28" w:type="dxa"/>
        </w:tblCellMar>
      </w:tblPr>
      <w:tblGrid>
        <w:gridCol w:w="124"/>
        <w:gridCol w:w="109"/>
        <w:gridCol w:w="109"/>
        <w:gridCol w:w="1106"/>
        <w:gridCol w:w="1106"/>
        <w:gridCol w:w="1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Patrick H. Hawkins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Patrick H.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31.2</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302 OF</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THE SARBANES-OXLEY ACT OF 2002</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CERTIFICATIONS</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I, Jeffrey P. Oldenkamp, certify that:</w:t>
      </w:r>
    </w:p>
    <w:p>
      <w:pPr>
        <w:pStyle w:val="TextBody"/>
        <w:bidi w:val="0"/>
        <w:spacing w:before="100" w:after="283"/>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72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Date: July 29, 2026 </w:t>
      </w:r>
    </w:p>
    <w:p>
      <w:pPr>
        <w:pStyle w:val="TextBody"/>
        <w:bidi w:val="0"/>
        <w:spacing w:lineRule="auto" w:line="288" w:before="0" w:after="0"/>
        <w:jc w:val="left"/>
        <w:rPr>
          <w:color w:val="000000"/>
        </w:rPr>
      </w:pPr>
      <w:r>
        <w:rPr>
          <w:color w:val="000000"/>
        </w:rPr>
        <w:t> </w:t>
      </w:r>
    </w:p>
    <w:tbl>
      <w:tblPr>
        <w:tblW w:w="5532" w:type="dxa"/>
        <w:jc w:val="left"/>
        <w:tblInd w:w="0" w:type="dxa"/>
        <w:tblLayout w:type="fixed"/>
        <w:tblCellMar>
          <w:top w:w="28" w:type="dxa"/>
          <w:left w:w="28" w:type="dxa"/>
          <w:bottom w:w="28" w:type="dxa"/>
          <w:right w:w="28" w:type="dxa"/>
        </w:tblCellMar>
      </w:tblPr>
      <w:tblGrid>
        <w:gridCol w:w="124"/>
        <w:gridCol w:w="109"/>
        <w:gridCol w:w="109"/>
        <w:gridCol w:w="1517"/>
        <w:gridCol w:w="1517"/>
        <w:gridCol w:w="2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Jeffrey P. Oldenkamp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P. Oldenkamp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32.1</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In connection with the Quarterly Report of Hawkins, Inc. (the Company) on Form 10-Q for the period ended June 28, 2026, as filed with the Securities and Exchange Commission on the date hereof (the Report), I, Patrick H. Hawkins, Chief Executive Officer and President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sans-serif" w:hAnsi="sans-serif"/>
          <w:b w:val="false"/>
          <w:color w:val="000000"/>
          <w:sz w:val="20"/>
        </w:rPr>
      </w:pPr>
      <w:r>
        <w:rPr>
          <w:rFonts w:ascii="sans-serif" w:hAns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and</w:t>
      </w:r>
    </w:p>
    <w:p>
      <w:pPr>
        <w:pStyle w:val="TextBody"/>
        <w:bidi w:val="0"/>
        <w:spacing w:lineRule="auto" w:line="288" w:before="180" w:after="180"/>
        <w:ind w:left="0" w:right="0" w:firstLine="495"/>
        <w:jc w:val="left"/>
        <w:rPr>
          <w:rFonts w:ascii="sans-serif" w:hAnsi="sans-serif"/>
          <w:b w:val="false"/>
          <w:color w:val="000000"/>
          <w:sz w:val="20"/>
        </w:rPr>
      </w:pPr>
      <w:r>
        <w:rPr>
          <w:rFonts w:ascii="sans-serif" w:hAns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795" w:type="dxa"/>
        <w:jc w:val="left"/>
        <w:tblInd w:w="0" w:type="dxa"/>
        <w:tblLayout w:type="fixed"/>
        <w:tblCellMar>
          <w:top w:w="28" w:type="dxa"/>
          <w:left w:w="28" w:type="dxa"/>
          <w:bottom w:w="28" w:type="dxa"/>
          <w:right w:w="28" w:type="dxa"/>
        </w:tblCellMar>
      </w:tblPr>
      <w:tblGrid>
        <w:gridCol w:w="1215"/>
        <w:gridCol w:w="1067"/>
        <w:gridCol w:w="1513"/>
      </w:tblGrid>
      <w:tr>
        <w:trPr/>
        <w:tc>
          <w:tcPr>
            <w:tcW w:w="121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Patrick H. Hawkins </w:t>
            </w:r>
          </w:p>
        </w:tc>
      </w:tr>
      <w:tr>
        <w:trPr/>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Patrick H. Hawkins</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 and President</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32.2</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In connection with the Quarterly Report of Hawkins, Inc. (the Company) on Form 10-Q for the period ended June 28, 2026, as filed with the Securities and Exchange Commission on the date hereof (the Report), I, Jeffrey P. Oldenkamp, Chief Financial Officer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sans-serif" w:hAnsi="sans-serif"/>
          <w:b w:val="false"/>
          <w:color w:val="000000"/>
          <w:sz w:val="20"/>
        </w:rPr>
      </w:pPr>
      <w:r>
        <w:rPr>
          <w:rFonts w:ascii="sans-serif" w:hAns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and</w:t>
      </w:r>
    </w:p>
    <w:p>
      <w:pPr>
        <w:pStyle w:val="TextBody"/>
        <w:bidi w:val="0"/>
        <w:spacing w:lineRule="auto" w:line="288" w:before="180" w:after="180"/>
        <w:ind w:left="0" w:right="0" w:firstLine="495"/>
        <w:jc w:val="left"/>
        <w:rPr>
          <w:rFonts w:ascii="sans-serif" w:hAnsi="sans-serif"/>
          <w:b w:val="false"/>
          <w:color w:val="000000"/>
          <w:sz w:val="20"/>
        </w:rPr>
      </w:pPr>
      <w:r>
        <w:rPr>
          <w:rFonts w:ascii="sans-serif" w:hAns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04" w:type="dxa"/>
        <w:jc w:val="left"/>
        <w:tblInd w:w="0" w:type="dxa"/>
        <w:tblLayout w:type="fixed"/>
        <w:tblCellMar>
          <w:top w:w="28" w:type="dxa"/>
          <w:left w:w="28" w:type="dxa"/>
          <w:bottom w:w="28" w:type="dxa"/>
          <w:right w:w="28" w:type="dxa"/>
        </w:tblCellMar>
      </w:tblPr>
      <w:tblGrid>
        <w:gridCol w:w="1664"/>
        <w:gridCol w:w="1463"/>
        <w:gridCol w:w="2077"/>
      </w:tblGrid>
      <w:tr>
        <w:trPr/>
        <w:tc>
          <w:tcPr>
            <w:tcW w:w="166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 Jeffrey P. Oldenkamp </w:t>
            </w:r>
          </w:p>
        </w:tc>
      </w:tr>
      <w:tr>
        <w:trPr/>
        <w:tc>
          <w:tcPr>
            <w:tcW w:w="5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Jeffrey P. Oldenkamp </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 and Chief Financial Officer</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29,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46250/000004625026000018/hwkn-20260329.htm" TargetMode="External"/><Relationship Id="rId3" Type="http://schemas.openxmlformats.org/officeDocument/2006/relationships/hyperlink" Target="https://www.sec.gov/ix?doc=/Archives/edgar/data/0000046250/000004625026000018/hwkn-20260329.htm" TargetMode="External"/><Relationship Id="rId4" Type="http://schemas.openxmlformats.org/officeDocument/2006/relationships/hyperlink" Target="https://www.sec.gov/ix?doc=/Archives/edgar/data/0000046250/000004625026000018/hwkn-20260329.htm" TargetMode="External"/><Relationship Id="rId5" Type="http://schemas.openxmlformats.org/officeDocument/2006/relationships/hyperlink" Target="https://www.sec.gov/ix?doc=/Archives/edgar/data/0000046250/000004625026000018/hwkn-20260329.htm" TargetMode="External"/><Relationship Id="rId6" Type="http://schemas.openxmlformats.org/officeDocument/2006/relationships/hyperlink" Target="https://www.sec.gov/ix?doc=/Archives/edgar/data/0000046250/000004625026000018/hwkn-20260329.htm" TargetMode="External"/><Relationship Id="rId7" Type="http://schemas.openxmlformats.org/officeDocument/2006/relationships/hyperlink" Target="https://www.sec.gov/ix?doc=/Archives/edgar/data/46250/000004625026000018/hwkn-20260329.htm" TargetMode="External"/><Relationship Id="rId8" Type="http://schemas.openxmlformats.org/officeDocument/2006/relationships/hyperlink" Target="https://www.sec.gov/Archives/edgar/data/46250/000004625021000012/exhibit32.htm" TargetMode="External"/><Relationship Id="rId9" Type="http://schemas.openxmlformats.org/officeDocument/2006/relationships/hyperlink" Target="https://www.sec.gov/Archives/edgar/data/46250/000089710109002205/hawkins095018_ex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12388</Words>
  <Characters>68948</Characters>
  <CharactersWithSpaces>80645</CharactersWithSpaces>
  <Paragraphs>1464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