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 INFORMATION</w:t>
      </w:r>
    </w:p>
    <w:p>
      <w:pPr>
        <w:spacing w:after="0" w:line="201"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3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Exchange Act of 1934</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20" w:right="3159" w:firstLine="6"/>
        <w:spacing w:after="0" w:line="273" w:lineRule="exact"/>
        <w:tabs>
          <w:tab w:leader="none" w:pos="66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1"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80" w:lineRule="exact"/>
        <w:rPr>
          <w:sz w:val="24"/>
          <w:szCs w:val="24"/>
          <w:color w:val="auto"/>
        </w:rPr>
      </w:pPr>
    </w:p>
    <w:p>
      <w:pPr>
        <w:ind w:left="4900"/>
        <w:spacing w:after="0"/>
        <w:rPr>
          <w:sz w:val="20"/>
          <w:szCs w:val="20"/>
          <w:color w:val="auto"/>
        </w:rPr>
      </w:pPr>
      <w:r>
        <w:rPr>
          <w:rFonts w:ascii="Arial" w:cs="Arial" w:eastAsia="Arial" w:hAnsi="Arial"/>
          <w:sz w:val="29"/>
          <w:szCs w:val="29"/>
          <w:b w:val="1"/>
          <w:bCs w:val="1"/>
          <w:u w:val="single" w:color="auto"/>
          <w:color w:val="auto"/>
        </w:rPr>
        <w:t>HAWKINS, INC.</w:t>
      </w:r>
    </w:p>
    <w:p>
      <w:pPr>
        <w:spacing w:after="0" w:line="5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86"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7"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5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80" w:hanging="554"/>
        <w:spacing w:after="0"/>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 (1)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688975</wp:posOffset>
            </wp:positionV>
            <wp:extent cx="1637030" cy="848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3703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HAWKINS,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2381 Rosegate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Roseville, Minnesota 55113</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July 29,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Annual Meeting of Shareholders of Hawkins, Inc. will be held on Wednesday, July 29, 2026, at 8:00 a.m., Central Time. The meeting will be completely virtual, incorporating technology designed to increase efficiency and provide greater opportunity for shareholder participation. In addition to on-line attendance, shareholders will have an opportunity to hear all portions of the official meeting, vote on-line during the open poll portion of the meeting, and listen to live responses to shareholder questions immediately following the formal meeting.</w:t>
      </w:r>
    </w:p>
    <w:p>
      <w:pPr>
        <w:spacing w:after="0" w:line="203"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color w:val="auto"/>
        </w:rPr>
        <w:t xml:space="preserve">You may attend the meeting, vote your shares, and submit questions electronically during the meeting via live webcast by logging in using your control number at: </w:t>
      </w:r>
      <w:r>
        <w:rPr>
          <w:rFonts w:ascii="Arial" w:cs="Arial" w:eastAsia="Arial" w:hAnsi="Arial"/>
          <w:sz w:val="18"/>
          <w:szCs w:val="18"/>
          <w:b w:val="1"/>
          <w:bCs w:val="1"/>
          <w:color w:val="auto"/>
        </w:rPr>
        <w:t>www.virtualshareholdermeeting.com/HWKN2026</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002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2915" cy="8255"/>
                    </a:xfrm>
                    <a:prstGeom prst="rect">
                      <a:avLst/>
                    </a:prstGeom>
                    <a:noFill/>
                  </pic:spPr>
                </pic:pic>
              </a:graphicData>
            </a:graphic>
          </wp:anchor>
        </w:drawing>
      </w:r>
    </w:p>
    <w:p>
      <w:pPr>
        <w:spacing w:after="0" w:line="74" w:lineRule="exact"/>
        <w:rPr>
          <w:sz w:val="20"/>
          <w:szCs w:val="20"/>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103" w:lineRule="exact"/>
        <w:rPr>
          <w:rFonts w:ascii="Arial" w:cs="Arial" w:eastAsia="Arial" w:hAnsi="Arial"/>
          <w:sz w:val="18"/>
          <w:szCs w:val="18"/>
          <w:color w:val="auto"/>
        </w:rPr>
      </w:pPr>
    </w:p>
    <w:p>
      <w:pPr>
        <w:ind w:left="500" w:right="360" w:hanging="168"/>
        <w:spacing w:after="0" w:line="287" w:lineRule="auto"/>
        <w:tabs>
          <w:tab w:leader="none" w:pos="5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to serve as our independent registered public accounting firm for the fiscal year ending March 28, 2027.</w:t>
      </w:r>
    </w:p>
    <w:p>
      <w:pPr>
        <w:spacing w:after="0" w:line="17" w:lineRule="exact"/>
        <w:rPr>
          <w:rFonts w:ascii="Arial" w:cs="Arial" w:eastAsia="Arial" w:hAnsi="Arial"/>
          <w:sz w:val="18"/>
          <w:szCs w:val="18"/>
          <w:color w:val="auto"/>
        </w:rPr>
      </w:pPr>
    </w:p>
    <w:p>
      <w:pPr>
        <w:ind w:left="500" w:right="440" w:hanging="168"/>
        <w:spacing w:after="0" w:line="287" w:lineRule="auto"/>
        <w:tabs>
          <w:tab w:leader="none" w:pos="5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 as disclosed in the attached proxy statement, or a “say-on-pay” vote.</w:t>
      </w:r>
    </w:p>
    <w:p>
      <w:pPr>
        <w:spacing w:after="0" w:line="31" w:lineRule="exact"/>
        <w:rPr>
          <w:rFonts w:ascii="Arial" w:cs="Arial" w:eastAsia="Arial" w:hAnsi="Arial"/>
          <w:sz w:val="18"/>
          <w:szCs w:val="18"/>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550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0160" cy="8255"/>
                    </a:xfrm>
                    <a:prstGeom prst="rect">
                      <a:avLst/>
                    </a:prstGeom>
                    <a:noFill/>
                  </pic:spPr>
                </pic:pic>
              </a:graphicData>
            </a:graphic>
          </wp:anchor>
        </w:drawing>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Board of Directors has fixed the close of business on June 5, 2026 as the record date for determining the shareholders entitled to vote at the meeting. Accordingly, only shareholders of record at the close of business on that date will be entitled to vote. Our transfer books will not be closed.</w:t>
      </w:r>
    </w:p>
    <w:p>
      <w:pPr>
        <w:spacing w:after="0" w:line="29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383155"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Daniel A. Louismet, </w:t>
      </w:r>
      <w:r>
        <w:rPr>
          <w:rFonts w:ascii="Arial" w:cs="Arial" w:eastAsia="Arial" w:hAnsi="Arial"/>
          <w:sz w:val="18"/>
          <w:szCs w:val="18"/>
          <w:i w:val="1"/>
          <w:iCs w:val="1"/>
          <w:color w:val="auto"/>
        </w:rPr>
        <w:t>Secretary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June 18, 2026</w:t>
      </w:r>
    </w:p>
    <w:p>
      <w:pPr>
        <w:spacing w:after="0" w:line="2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IMPORTANT: To assure the necessary representation at the meeting, you are urged to VOTE YOUR SHARES PROMPTLY to save the company the expense of additional solicitation. You may revoke your proxy at any time prior to the meeting, and voting in advance will not affect your right to vote by attending the virtual meeting via the website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2720" w:type="dxa"/>
            <w:vAlign w:val="bottom"/>
            <w:gridSpan w:val="7"/>
          </w:tcPr>
          <w:p>
            <w:pPr>
              <w:jc w:val="center"/>
              <w:ind w:right="1420"/>
              <w:spacing w:after="0"/>
              <w:rPr>
                <w:sz w:val="20"/>
                <w:szCs w:val="20"/>
                <w:color w:val="auto"/>
              </w:rPr>
            </w:pPr>
            <w:r>
              <w:rPr>
                <w:rFonts w:ascii="Arial" w:cs="Arial" w:eastAsia="Arial" w:hAnsi="Arial"/>
                <w:sz w:val="18"/>
                <w:szCs w:val="18"/>
                <w:b w:val="1"/>
                <w:bCs w:val="1"/>
                <w:color w:val="auto"/>
                <w:w w:val="97"/>
              </w:rPr>
              <w:t>Page</w:t>
            </w: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Proxy Statement</w:t>
            </w:r>
          </w:p>
        </w:tc>
        <w:tc>
          <w:tcPr>
            <w:tcW w:w="440" w:type="dxa"/>
            <w:vAlign w:val="bottom"/>
          </w:tcPr>
          <w:p>
            <w:pPr>
              <w:spacing w:after="0"/>
              <w:rPr>
                <w:sz w:val="18"/>
                <w:szCs w:val="18"/>
                <w:color w:val="auto"/>
              </w:rPr>
            </w:pPr>
          </w:p>
        </w:tc>
        <w:tc>
          <w:tcPr>
            <w:tcW w:w="260" w:type="dxa"/>
            <w:vAlign w:val="bottom"/>
            <w:tcBorders>
              <w:top w:val="single" w:sz="8" w:color="auto"/>
            </w:tcBorders>
            <w:gridSpan w:val="3"/>
          </w:tcPr>
          <w:p>
            <w:pPr>
              <w:jc w:val="center"/>
              <w:ind w:left="70"/>
              <w:spacing w:after="0"/>
              <w:rPr>
                <w:sz w:val="20"/>
                <w:szCs w:val="20"/>
                <w:color w:val="auto"/>
              </w:rPr>
            </w:pPr>
            <w:r>
              <w:rPr>
                <w:rFonts w:ascii="Arial" w:cs="Arial" w:eastAsia="Arial" w:hAnsi="Arial"/>
                <w:sz w:val="18"/>
                <w:szCs w:val="18"/>
                <w:color w:val="0000FF"/>
                <w:w w:val="99"/>
              </w:rPr>
              <w:t>1</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About the Annual Meeting</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 One – Election of Directors</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Corporate Governance</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 Two - Ratification of Appointment of Independent Registered Public Accounting Firm</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Compensation Discussion and Analysis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Compensation Committee Report</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Compensation Committee Interlocks and Insider Participation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Summary Compensation Table</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21</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Grants of Plan-Based Awards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22</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Outstanding Equity Awards at 2026 Fiscal Year-End</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23</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Stock Vested</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24</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Nonqualified Deferred Compensation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24</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Potential Payments Upon Termination or Change in Control</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25</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380"/>
              <w:spacing w:after="0"/>
              <w:rPr>
                <w:sz w:val="20"/>
                <w:szCs w:val="20"/>
                <w:color w:val="auto"/>
              </w:rPr>
            </w:pPr>
            <w:r>
              <w:rPr>
                <w:rFonts w:ascii="Arial" w:cs="Arial" w:eastAsia="Arial" w:hAnsi="Arial"/>
                <w:sz w:val="18"/>
                <w:szCs w:val="18"/>
                <w:color w:val="auto"/>
              </w:rPr>
              <w:t>CEO Pay Ratio</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380"/>
              <w:spacing w:after="0"/>
              <w:rPr>
                <w:sz w:val="20"/>
                <w:szCs w:val="20"/>
                <w:color w:val="auto"/>
              </w:rPr>
            </w:pPr>
            <w:r>
              <w:rPr>
                <w:rFonts w:ascii="Arial" w:cs="Arial" w:eastAsia="Arial" w:hAnsi="Arial"/>
                <w:sz w:val="18"/>
                <w:szCs w:val="18"/>
                <w:color w:val="auto"/>
              </w:rPr>
              <w:t>Director Compensation for Fiscal 2026</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29</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Pay Versus Performance</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Equity Compensation Plan Information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34</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Security Ownership of Management and Beneficial Ownership</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35</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Delinquent Section 16(a) Reports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36</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Related Party Transactions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36</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 Three – Advisory Vote to Approve Executive Compensation</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37</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Other Matters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Proposals by Shareholders</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Form 10-K</w:t>
            </w:r>
          </w:p>
        </w:tc>
        <w:tc>
          <w:tcPr>
            <w:tcW w:w="54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Householding</w:t>
            </w:r>
          </w:p>
        </w:tc>
        <w:tc>
          <w:tcPr>
            <w:tcW w:w="740" w:type="dxa"/>
            <w:vAlign w:val="bottom"/>
            <w:gridSpan w:val="5"/>
          </w:tcPr>
          <w:p>
            <w:pPr>
              <w:jc w:val="center"/>
              <w:ind w:left="450"/>
              <w:spacing w:after="0"/>
              <w:rPr>
                <w:sz w:val="20"/>
                <w:szCs w:val="20"/>
                <w:color w:val="auto"/>
              </w:rPr>
            </w:pPr>
            <w:r>
              <w:rPr>
                <w:rFonts w:ascii="Arial" w:cs="Arial" w:eastAsia="Arial" w:hAnsi="Arial"/>
                <w:sz w:val="18"/>
                <w:szCs w:val="18"/>
                <w:color w:val="0000FF"/>
                <w:w w:val="99"/>
              </w:rPr>
              <w:t>38</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243"/>
        </w:trPr>
        <w:tc>
          <w:tcPr>
            <w:tcW w:w="8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PROXY STATEMENT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HAWKINS, INC.</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2381 Rosegate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Roseville, Minnesota 55113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June 18, 2026</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proxy statement is furnished in connection with the solicitation of proxies by the Board of Directors (the “Board”) of Hawkins, Inc. to be voted at its Annual Meeting of Shareholders (the “Annual Meeting”) to be held on Wednesday, July 29, 2026, commencing at 8:00 a.m., Central Time. The Annual Meeting will be completely virtual, incorporating technology designed to increase efficiency and provide greater opportunities for shareholder participation. In addition to on-line attendance, shareholders will have an opportunity to hear all portions of the official Annual Meeting and vote on-line during the open poll portion of the meeting.</w:t>
      </w:r>
    </w:p>
    <w:p>
      <w:pPr>
        <w:spacing w:after="0" w:line="210" w:lineRule="exact"/>
        <w:rPr>
          <w:sz w:val="20"/>
          <w:szCs w:val="20"/>
          <w:color w:val="auto"/>
        </w:rPr>
      </w:pPr>
    </w:p>
    <w:p>
      <w:pPr>
        <w:ind w:right="440"/>
        <w:spacing w:after="0" w:line="285" w:lineRule="auto"/>
        <w:rPr>
          <w:sz w:val="20"/>
          <w:szCs w:val="20"/>
          <w:color w:val="auto"/>
        </w:rPr>
      </w:pPr>
      <w:r>
        <w:rPr>
          <w:rFonts w:ascii="Arial" w:cs="Arial" w:eastAsia="Arial" w:hAnsi="Arial"/>
          <w:sz w:val="22"/>
          <w:szCs w:val="22"/>
          <w:b w:val="1"/>
          <w:bCs w:val="1"/>
          <w:color w:val="auto"/>
        </w:rPr>
        <w:t>IMPORTANT NOTICE REGARDING THE AVAILABILITY OF PROXY MATERIALS FOR THE SHAREHOLDER MEETING TO BE HELD ON JULY 29, 2026</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expect to mail to our shareholders a Notice of Internet Availability of Proxy Materials (the "Notice") on or about June 18, 2026. You may not receive a printed copy of our proxy statement, annual report or a proxy card. Instead, the Notice or another voting instruction form from your broker or nominee (a "VIF") will instruct you as to how you may access and review our proxy statement and annual report electronically. The Notice or VIF will also provide instructions on how to vote online or by telephone or request a full set of printed materials and a physical proxy card for voting by mail. This proxy statement and our annual report can be accessed directly at the Internet address </w:t>
      </w:r>
      <w:r>
        <w:rPr>
          <w:rFonts w:ascii="Arial" w:cs="Arial" w:eastAsia="Arial" w:hAnsi="Arial"/>
          <w:sz w:val="18"/>
          <w:szCs w:val="18"/>
          <w:b w:val="1"/>
          <w:bCs w:val="1"/>
          <w:color w:val="auto"/>
        </w:rPr>
        <w:t xml:space="preserve">https://materials.proxyvote.com/420261 </w:t>
      </w:r>
      <w:r>
        <w:rPr>
          <w:rFonts w:ascii="Arial" w:cs="Arial" w:eastAsia="Arial" w:hAnsi="Arial"/>
          <w:sz w:val="18"/>
          <w:szCs w:val="18"/>
          <w:color w:val="auto"/>
        </w:rPr>
        <w:t>or at www.proxyvote.com using the 16-digit control number located on your proxy card.</w:t>
      </w:r>
    </w:p>
    <w:p>
      <w:pPr>
        <w:spacing w:after="0" w:line="1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You may attend the Annual Meeting, vote your shares and submit questions electronically during the meeting via live webcast by logging in at: </w:t>
      </w:r>
      <w:r>
        <w:rPr>
          <w:rFonts w:ascii="Arial" w:cs="Arial" w:eastAsia="Arial" w:hAnsi="Arial"/>
          <w:sz w:val="18"/>
          <w:szCs w:val="18"/>
          <w:b w:val="1"/>
          <w:bCs w:val="1"/>
          <w:color w:val="auto"/>
        </w:rPr>
        <w:t>www.virtualshareholdermeeting.com/HWKN2026</w:t>
      </w:r>
      <w:r>
        <w:rPr>
          <w:rFonts w:ascii="Arial" w:cs="Arial" w:eastAsia="Arial" w:hAnsi="Arial"/>
          <w:sz w:val="18"/>
          <w:szCs w:val="18"/>
          <w:color w:val="auto"/>
        </w:rPr>
        <w:t>. You will need the 16-digit control number included on your proxy card or on the Notice to join the online Annual Meeting. We recommend that you log in at least fifteen minutes before the Annual Meeting to ensure you are logged in when the meeting starts.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reasonable expenses incurred.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ABOUT THE ANNUAL MEETING</w:t>
      </w:r>
    </w:p>
    <w:p>
      <w:pPr>
        <w:spacing w:after="0" w:line="12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Board is soliciting your proxy to vote at the meeting because you were a shareholder of Hawkins, Inc. as of June 5, 2026, or the “record date,” and are entitled to vote. This proxy statement summarizes information you need to know to cast a vote at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are voting on three items:</w:t>
      </w:r>
    </w:p>
    <w:p>
      <w:pPr>
        <w:spacing w:after="0" w:line="2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eight directors named in this proxy statement;</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to serve as our independent registered public accounting firm for the fiscal year ending March 28, 2027; and</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non-binding advisory vote, of the compensation of our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there are four ways to vote:</w:t>
      </w:r>
    </w:p>
    <w:p>
      <w:pPr>
        <w:spacing w:after="0" w:line="2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1-800-690-6903</w:t>
      </w:r>
    </w:p>
    <w:p>
      <w:pPr>
        <w:spacing w:after="0" w:line="9" w:lineRule="exact"/>
        <w:rPr>
          <w:rFonts w:ascii="Arial" w:cs="Arial" w:eastAsia="Arial" w:hAnsi="Arial"/>
          <w:sz w:val="18"/>
          <w:szCs w:val="18"/>
          <w:color w:val="auto"/>
        </w:rPr>
      </w:pPr>
    </w:p>
    <w:p>
      <w:pPr>
        <w:ind w:left="620" w:hanging="288"/>
        <w:spacing w:after="0" w:line="196"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By Internet: </w:t>
      </w:r>
      <w:r>
        <w:rPr>
          <w:rFonts w:ascii="Arial" w:cs="Arial" w:eastAsia="Arial" w:hAnsi="Arial"/>
          <w:sz w:val="18"/>
          <w:szCs w:val="18"/>
          <w:b w:val="1"/>
          <w:bCs w:val="1"/>
          <w:color w:val="auto"/>
        </w:rPr>
        <w:t>www.proxyvote.com</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Complete and return the physical proxy card, if any, you received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During the Annual Meeting: </w:t>
      </w:r>
      <w:r>
        <w:rPr>
          <w:rFonts w:ascii="Arial" w:cs="Arial" w:eastAsia="Arial" w:hAnsi="Arial"/>
          <w:sz w:val="18"/>
          <w:szCs w:val="18"/>
          <w:b w:val="1"/>
          <w:bCs w:val="1"/>
          <w:color w:val="auto"/>
        </w:rPr>
        <w:t>www.virtualshareholdermeeting.com/HWKN2026</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spacing w:after="0" w:line="41" w:lineRule="exact"/>
        <w:rPr>
          <w:rFonts w:ascii="Arial" w:cs="Arial" w:eastAsia="Arial" w:hAnsi="Arial"/>
          <w:sz w:val="18"/>
          <w:szCs w:val="18"/>
          <w:color w:val="auto"/>
        </w:rPr>
      </w:pPr>
    </w:p>
    <w:p>
      <w:pPr>
        <w:ind w:left="900" w:right="100" w:hanging="244"/>
        <w:spacing w:after="0" w:line="287" w:lineRule="auto"/>
        <w:tabs>
          <w:tab w:leader="none" w:pos="927"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will need the 16-digit control number included on your proxy card, Notice, or other instructions that accompanied your proxy materials to vote on-line or to join the online Annual Meeting</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your shares are held in a brokerage account or by another nominee, your shares are said to be held in “street name” and you are considered the beneficial owner of the shares. Technically, the bank or broker is the shareholder of record with respect to those shares. Your bank or broker will collect the voting instructions from all their respective customers who hold our shares, including you, and then submit those votes to us.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voting recommendations of the Board of Directors?</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8040" w:type="dxa"/>
            <w:vAlign w:val="bottom"/>
            <w:tcBorders>
              <w:left w:val="single" w:sz="8" w:color="auto"/>
            </w:tcBorders>
            <w:gridSpan w:val="2"/>
            <w:shd w:val="clear" w:color="auto" w:fill="000000"/>
          </w:tcPr>
          <w:p>
            <w:pPr>
              <w:ind w:left="40"/>
              <w:spacing w:after="0"/>
              <w:rPr>
                <w:sz w:val="20"/>
                <w:szCs w:val="20"/>
                <w:color w:val="auto"/>
              </w:rPr>
            </w:pPr>
            <w:r>
              <w:rPr>
                <w:rFonts w:ascii="Arial" w:cs="Arial" w:eastAsia="Arial" w:hAnsi="Arial"/>
                <w:sz w:val="20"/>
                <w:szCs w:val="20"/>
                <w:b w:val="1"/>
                <w:bCs w:val="1"/>
                <w:color w:val="FFFFFF"/>
              </w:rPr>
              <w:t>Matter</w:t>
            </w:r>
          </w:p>
        </w:tc>
        <w:tc>
          <w:tcPr>
            <w:tcW w:w="3120" w:type="dxa"/>
            <w:vAlign w:val="bottom"/>
            <w:tcBorders>
              <w:right w:val="single" w:sz="8" w:color="auto"/>
            </w:tcBorders>
            <w:shd w:val="clear" w:color="auto" w:fill="000000"/>
          </w:tcPr>
          <w:p>
            <w:pPr>
              <w:ind w:left="500"/>
              <w:spacing w:after="0"/>
              <w:rPr>
                <w:sz w:val="20"/>
                <w:szCs w:val="20"/>
                <w:color w:val="auto"/>
              </w:rPr>
            </w:pPr>
            <w:r>
              <w:rPr>
                <w:rFonts w:ascii="Arial" w:cs="Arial" w:eastAsia="Arial" w:hAnsi="Arial"/>
                <w:sz w:val="20"/>
                <w:szCs w:val="20"/>
                <w:b w:val="1"/>
                <w:bCs w:val="1"/>
                <w:color w:val="FFFFFF"/>
              </w:rPr>
              <w:t>Board Recommendation</w:t>
            </w: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7820" w:type="dxa"/>
            <w:vAlign w:val="bottom"/>
          </w:tcPr>
          <w:p>
            <w:pPr>
              <w:ind w:left="20"/>
              <w:spacing w:after="0"/>
              <w:rPr>
                <w:sz w:val="20"/>
                <w:szCs w:val="20"/>
                <w:color w:val="auto"/>
              </w:rPr>
            </w:pPr>
            <w:r>
              <w:rPr>
                <w:rFonts w:ascii="Arial" w:cs="Arial" w:eastAsia="Arial" w:hAnsi="Arial"/>
                <w:sz w:val="18"/>
                <w:szCs w:val="18"/>
                <w:color w:val="auto"/>
              </w:rPr>
              <w:t>Election of the eight directors named in this proxy statement</w:t>
            </w:r>
          </w:p>
        </w:tc>
        <w:tc>
          <w:tcPr>
            <w:tcW w:w="3120" w:type="dxa"/>
            <w:vAlign w:val="bottom"/>
            <w:tcBorders>
              <w:right w:val="single" w:sz="8" w:color="auto"/>
            </w:tcBorders>
          </w:tcPr>
          <w:p>
            <w:pPr>
              <w:jc w:val="center"/>
              <w:ind w:left="368"/>
              <w:spacing w:after="0"/>
              <w:rPr>
                <w:sz w:val="20"/>
                <w:szCs w:val="20"/>
                <w:color w:val="auto"/>
              </w:rPr>
            </w:pPr>
            <w:r>
              <w:rPr>
                <w:rFonts w:ascii="Arial" w:cs="Arial" w:eastAsia="Arial" w:hAnsi="Arial"/>
                <w:sz w:val="18"/>
                <w:szCs w:val="18"/>
                <w:b w:val="1"/>
                <w:bCs w:val="1"/>
                <w:color w:val="auto"/>
                <w:w w:val="99"/>
              </w:rPr>
              <w:t>FOR ALL</w:t>
            </w:r>
          </w:p>
        </w:tc>
        <w:tc>
          <w:tcPr>
            <w:tcW w:w="0" w:type="dxa"/>
            <w:vAlign w:val="bottom"/>
          </w:tcPr>
          <w:p>
            <w:pPr>
              <w:spacing w:after="0"/>
              <w:rPr>
                <w:sz w:val="1"/>
                <w:szCs w:val="1"/>
                <w:color w:val="auto"/>
              </w:rPr>
            </w:pPr>
          </w:p>
        </w:tc>
      </w:tr>
      <w:tr>
        <w:trPr>
          <w:trHeight w:val="175"/>
        </w:trPr>
        <w:tc>
          <w:tcPr>
            <w:tcW w:w="220" w:type="dxa"/>
            <w:vAlign w:val="bottom"/>
            <w:tcBorders>
              <w:left w:val="single" w:sz="8" w:color="auto"/>
            </w:tcBorders>
            <w:shd w:val="clear" w:color="auto" w:fill="DBDBDB"/>
          </w:tcPr>
          <w:p>
            <w:pPr>
              <w:ind w:left="40"/>
              <w:spacing w:after="0" w:line="176" w:lineRule="exact"/>
              <w:rPr>
                <w:sz w:val="20"/>
                <w:szCs w:val="20"/>
                <w:color w:val="auto"/>
              </w:rPr>
            </w:pPr>
            <w:r>
              <w:rPr>
                <w:rFonts w:ascii="Arial" w:cs="Arial" w:eastAsia="Arial" w:hAnsi="Arial"/>
                <w:sz w:val="18"/>
                <w:szCs w:val="18"/>
                <w:color w:val="auto"/>
              </w:rPr>
              <w:t>2.</w:t>
            </w:r>
          </w:p>
        </w:tc>
        <w:tc>
          <w:tcPr>
            <w:tcW w:w="78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Ratification of appointment of Deloitte &amp; Touche LLP to serve as our independent registered</w:t>
            </w:r>
          </w:p>
        </w:tc>
        <w:tc>
          <w:tcPr>
            <w:tcW w:w="3120" w:type="dxa"/>
            <w:vAlign w:val="bottom"/>
            <w:tcBorders>
              <w:right w:val="single" w:sz="8" w:color="auto"/>
            </w:tcBorders>
            <w:vMerge w:val="restart"/>
            <w:shd w:val="clear" w:color="auto" w:fill="DBDBDB"/>
          </w:tcPr>
          <w:p>
            <w:pPr>
              <w:jc w:val="center"/>
              <w:ind w:left="368"/>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43"/>
        </w:trPr>
        <w:tc>
          <w:tcPr>
            <w:tcW w:w="8040" w:type="dxa"/>
            <w:vAlign w:val="bottom"/>
            <w:tcBorders>
              <w:left w:val="single" w:sz="8" w:color="auto"/>
            </w:tcBorders>
            <w:gridSpan w:val="2"/>
            <w:shd w:val="clear" w:color="auto" w:fill="DBDBDB"/>
          </w:tcPr>
          <w:p>
            <w:pPr>
              <w:ind w:left="40"/>
              <w:spacing w:after="0"/>
              <w:rPr>
                <w:sz w:val="20"/>
                <w:szCs w:val="20"/>
                <w:color w:val="auto"/>
              </w:rPr>
            </w:pPr>
            <w:r>
              <w:rPr>
                <w:rFonts w:ascii="Arial" w:cs="Arial" w:eastAsia="Arial" w:hAnsi="Arial"/>
                <w:sz w:val="18"/>
                <w:szCs w:val="18"/>
                <w:color w:val="auto"/>
              </w:rPr>
              <w:t>public accounting firm for our fiscal year ending March 28, 2027</w:t>
            </w:r>
          </w:p>
        </w:tc>
        <w:tc>
          <w:tcPr>
            <w:tcW w:w="312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Advisory vote to approve executive compensation disclosed in the proxy statement</w:t>
            </w:r>
          </w:p>
        </w:tc>
        <w:tc>
          <w:tcPr>
            <w:tcW w:w="312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If you return a properly executed proxy card without instructions, the persons named as proxy holders will vote your shares in accordance with the recommendations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any other matters be voted on?</w:t>
      </w:r>
    </w:p>
    <w:p>
      <w:pPr>
        <w:spacing w:after="0" w:line="10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do not know of any other matters that will be brought before the shareholders for a vote at the Annual Meeting. If any other matters properly come before the Annual Meeting calling for a vote of shareholders, proxies in the enclosed form returned to us will be voted in accordance with the recommendation of the Board or, in the absence of such a recommendation, in accordance with the judgment of the proxy holders.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 at the Annual Meeting?</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Only shareholders of record at the close of business on the record date of June 5, 2026 are entitled to receive notice of and participate in the Annual Meeting. If you were a shareholder of record on that date, you will be entitled to vote all of the shares you held on that date.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do I have?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You will have one vote for each share of our common stock you owned as of the close of business on the record date.</w:t>
      </w:r>
    </w:p>
    <w:p>
      <w:pPr>
        <w:sectPr>
          <w:pgSz w:w="11900" w:h="16838" w:orient="portrait"/>
          <w:cols w:equalWidth="0" w:num="1">
            <w:col w:w="11180"/>
          </w:cols>
          <w:pgMar w:left="320" w:top="8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How many votes can be cast by all shareholders?</w:t>
      </w:r>
    </w:p>
    <w:p>
      <w:pPr>
        <w:spacing w:after="0" w:line="10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On the record date there were 20,906,400 outstanding shares of our common stock, each of which is entitled to one vote at the Annual Meeting. There is no cumulative voting for directors.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must be present to hold the Annual Meeting?</w:t>
      </w:r>
    </w:p>
    <w:p>
      <w:pPr>
        <w:spacing w:after="0" w:line="10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holders of a majority of the aggregate voting power of our common stock outstanding and entitled to vote on the record date must be present in person, or by proxy, at the Annual Meeting to constitute a quorum necessary to conduct the meeting.</w:t>
      </w:r>
    </w:p>
    <w:p>
      <w:pPr>
        <w:spacing w:after="0" w:line="180" w:lineRule="exact"/>
        <w:rPr>
          <w:sz w:val="20"/>
          <w:szCs w:val="20"/>
          <w:color w:val="auto"/>
        </w:rPr>
      </w:pPr>
    </w:p>
    <w:p>
      <w:pPr>
        <w:jc w:val="both"/>
        <w:ind w:right="820"/>
        <w:spacing w:after="0" w:line="318" w:lineRule="auto"/>
        <w:rPr>
          <w:sz w:val="20"/>
          <w:szCs w:val="20"/>
          <w:color w:val="auto"/>
        </w:rPr>
      </w:pPr>
      <w:r>
        <w:rPr>
          <w:rFonts w:ascii="Arial" w:cs="Arial" w:eastAsia="Arial" w:hAnsi="Arial"/>
          <w:sz w:val="17"/>
          <w:szCs w:val="17"/>
          <w:color w:val="auto"/>
        </w:rPr>
        <w:t>Abstentions will be counted as present for purposes of determining the existence of a quorum at the meeting. However, shares of a shareholder who does not vote online at the Annual Meeting or by proxy will not be counted for purposes of establishing a quorum.</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broker submits a proxy which indicates that the broker does not have discretionary authority as to certain shares to vote on proposals at the Annual Meeting, such “broker non-votes” will be counted for purposes of determining the presence of a quorum at the Annual Meeting, but will not be considered as present in person or by proxy and entitled to vote for purposes of determining the approval or disapproval of any proposal that requires the affirmative vote of the holders of a majority of the number of shares of common stock present in person or by proxy at the Annual Meeting and entitled to vote.</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urge you to vote in advance even if you plan to attend the virtual Annual Meeting so that we will know as soon as possible that a quorum has been achieved.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proposal?</w:t>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With respect to Proposal One, </w:t>
      </w:r>
      <w:r>
        <w:rPr>
          <w:rFonts w:ascii="Arial" w:cs="Arial" w:eastAsia="Arial" w:hAnsi="Arial"/>
          <w:sz w:val="18"/>
          <w:szCs w:val="18"/>
          <w:i w:val="1"/>
          <w:iCs w:val="1"/>
          <w:color w:val="auto"/>
        </w:rPr>
        <w:t>Election of Directors</w:t>
      </w:r>
      <w:r>
        <w:rPr>
          <w:rFonts w:ascii="Arial" w:cs="Arial" w:eastAsia="Arial" w:hAnsi="Arial"/>
          <w:sz w:val="18"/>
          <w:szCs w:val="18"/>
          <w:color w:val="auto"/>
        </w:rPr>
        <w:t>,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outcome of the election of directors.</w:t>
      </w:r>
    </w:p>
    <w:p>
      <w:pPr>
        <w:spacing w:after="0" w:line="2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With respect to Proposal Two, </w:t>
      </w:r>
      <w:r>
        <w:rPr>
          <w:rFonts w:ascii="Arial" w:cs="Arial" w:eastAsia="Arial" w:hAnsi="Arial"/>
          <w:sz w:val="18"/>
          <w:szCs w:val="18"/>
          <w:i w:val="1"/>
          <w:iCs w:val="1"/>
          <w:color w:val="auto"/>
        </w:rPr>
        <w:t>Ratification of Appointment of Independent Registered Public Accounting Firm</w:t>
      </w:r>
      <w:r>
        <w:rPr>
          <w:rFonts w:ascii="Arial" w:cs="Arial" w:eastAsia="Arial" w:hAnsi="Arial"/>
          <w:sz w:val="18"/>
          <w:szCs w:val="18"/>
          <w:color w:val="auto"/>
        </w:rPr>
        <w:t>, the shareholders will have ratified the appointment of our independent registered public accounting firm upon the affirmative vote of the holders of a majority of the shares of common stock present or represented by proxy at the meeting and entitled to vote. Accordingly, an abstention will have the same effect as a vote “against” the proposal. Brokers and nominees have discretion to vote on routine matters such as this proposal. As a result, we do not expect that any broker non-votes will be cast with respect to Proposal Two. Notwithstanding that, we urge you to direct the voting of your shares by following the instructions provided to you by your broker or nominee.</w:t>
      </w:r>
    </w:p>
    <w:p>
      <w:pPr>
        <w:spacing w:after="0" w:line="209"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 xml:space="preserve">With respect to Proposal Three, </w:t>
      </w:r>
      <w:r>
        <w:rPr>
          <w:rFonts w:ascii="Arial" w:cs="Arial" w:eastAsia="Arial" w:hAnsi="Arial"/>
          <w:sz w:val="17"/>
          <w:szCs w:val="17"/>
          <w:i w:val="1"/>
          <w:iCs w:val="1"/>
          <w:color w:val="auto"/>
        </w:rPr>
        <w:t>Advisory Vote to Approve Executive Compensation</w:t>
      </w:r>
      <w:r>
        <w:rPr>
          <w:rFonts w:ascii="Arial" w:cs="Arial" w:eastAsia="Arial" w:hAnsi="Arial"/>
          <w:sz w:val="17"/>
          <w:szCs w:val="17"/>
          <w:color w:val="auto"/>
        </w:rPr>
        <w:t>, we will consider our shareholders to have approved our executive compensation if the number of votes cast “for” this proposal exceeds the number of votes cast “against” this proposal. Accordingly, an abstention or failure to vote on this proposal (including a broker non-vote) will have no effect on the outcome of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 or revoke my proxy?</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that proxy unless the proxy is properly revoked prior to the meeting. Any shareholder giving a proxy may revoke it prior to its exercise at the meeting by: (1) delivering a written notice expressly revoking the proxy to our Secretary at our principal executive offices, (2) signing and forwarding to us at our principal executive offices a later dated proxy, or (3) attending the Annual Meeting via the Internet and voting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 xml:space="preserve">PROPOSAL ONE </w:t>
      </w:r>
      <w:r>
        <w:rPr>
          <w:rFonts w:ascii="Arial" w:cs="Arial" w:eastAsia="Arial" w:hAnsi="Arial"/>
          <w:sz w:val="25"/>
          <w:szCs w:val="25"/>
          <w:color w:val="auto"/>
        </w:rPr>
        <w:t>—</w:t>
      </w:r>
      <w:r>
        <w:rPr>
          <w:rFonts w:ascii="Arial" w:cs="Arial" w:eastAsia="Arial" w:hAnsi="Arial"/>
          <w:sz w:val="25"/>
          <w:szCs w:val="25"/>
          <w:b w:val="1"/>
          <w:bCs w:val="1"/>
          <w:color w:val="auto"/>
        </w:rPr>
        <w:t xml:space="preserve"> ELECTION OF DIRECTORS</w:t>
      </w:r>
    </w:p>
    <w:p>
      <w:pPr>
        <w:spacing w:after="0" w:line="12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Board has fixed at eight the number of directors to be elected at the Annual Meeting. Our Amended and Restated By-Laws (our "By-Laws") provide for a Board of not fewer than three and not more than eleven directors. Our Board currently consists of eight directors.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Board has nominated James A. Faulconbridge, Patrick H. Hawkins, Mary J. Schumacher, Jeffrey E. Spethmann, Daniel J. Stauber, Yi "Faith" Tang, James T. Thompson and Jeffrey L. Wright for election to the Board, each to hold office for the ensuing year and until his or her successor is duly elected and qualified.</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Executed and delivered proxies, including any submitted electronically, will be voted for the election of all nominees unless you direct otherwise. Should any nominee decline or be unable to accept such nomination or to serve as a director (an event which our management does not expect to occur), proxies will be voted for a substitute nominee or nominees in accordance with the best judgment of the person or persons acting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OUR BOARD RECOMMENDS THAT SHAREHOLDERS VOTE “FOR” THE ELECTION OF EACH NOMINEE FOR DIRECTOR.</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Directors</w:t>
      </w:r>
    </w:p>
    <w:p>
      <w:pPr>
        <w:spacing w:after="0" w:line="10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directors have served as our directors continuously since the years indicated below. The following information, including the principal occupation or employment of each director nominee, has been furnished to us by the respective 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director nominee brings unique capabilities to our Board. The Board believes the nominees as a group have the experience and skills in areas such as general business management, corporate governance, manufacturing, finance, strategic planning and risk management, including cybersecurity, which are necessary to effectively oversee our company. In addition, the Board believes that each of our directors possesses high standards of ethics, integrity and professionalism, sound judgment and a commitment to representing the long-term interests of our shareholders. Set forth below for each director nominee are the name, age, principal occupation, and the year of their first election as a director of our Board.</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760" w:type="dxa"/>
            <w:vAlign w:val="bottom"/>
            <w:tcBorders>
              <w:left w:val="single" w:sz="8" w:color="auto"/>
              <w:right w:val="single" w:sz="8" w:color="auto"/>
            </w:tcBorders>
            <w:shd w:val="clear" w:color="auto" w:fill="000000"/>
          </w:tcPr>
          <w:p>
            <w:pPr>
              <w:spacing w:after="0"/>
              <w:rPr>
                <w:sz w:val="23"/>
                <w:szCs w:val="23"/>
                <w:color w:val="auto"/>
              </w:rPr>
            </w:pPr>
          </w:p>
        </w:tc>
        <w:tc>
          <w:tcPr>
            <w:tcW w:w="800" w:type="dxa"/>
            <w:vAlign w:val="bottom"/>
            <w:tcBorders>
              <w:right w:val="single" w:sz="8" w:color="auto"/>
            </w:tcBorders>
            <w:shd w:val="clear" w:color="auto" w:fill="000000"/>
          </w:tcPr>
          <w:p>
            <w:pPr>
              <w:spacing w:after="0"/>
              <w:rPr>
                <w:sz w:val="23"/>
                <w:szCs w:val="23"/>
                <w:color w:val="auto"/>
              </w:rPr>
            </w:pPr>
          </w:p>
        </w:tc>
        <w:tc>
          <w:tcPr>
            <w:tcW w:w="6480" w:type="dxa"/>
            <w:vAlign w:val="bottom"/>
            <w:tcBorders>
              <w:right w:val="single" w:sz="8" w:color="auto"/>
            </w:tcBorders>
            <w:shd w:val="clear" w:color="auto" w:fill="000000"/>
          </w:tcPr>
          <w:p>
            <w:pPr>
              <w:spacing w:after="0"/>
              <w:rPr>
                <w:sz w:val="23"/>
                <w:szCs w:val="23"/>
                <w:color w:val="auto"/>
              </w:rPr>
            </w:pPr>
          </w:p>
        </w:tc>
        <w:tc>
          <w:tcPr>
            <w:tcW w:w="11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Director</w:t>
            </w:r>
          </w:p>
        </w:tc>
      </w:tr>
      <w:tr>
        <w:trPr>
          <w:trHeight w:val="312"/>
        </w:trPr>
        <w:tc>
          <w:tcPr>
            <w:tcW w:w="2760" w:type="dxa"/>
            <w:vAlign w:val="bottom"/>
            <w:tcBorders>
              <w:left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Name of Nominee</w:t>
            </w:r>
          </w:p>
        </w:tc>
        <w:tc>
          <w:tcPr>
            <w:tcW w:w="8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Age</w:t>
            </w:r>
          </w:p>
        </w:tc>
        <w:tc>
          <w:tcPr>
            <w:tcW w:w="6480" w:type="dxa"/>
            <w:vAlign w:val="bottom"/>
            <w:tcBorders>
              <w:right w:val="single" w:sz="8" w:color="auto"/>
            </w:tcBorders>
            <w:shd w:val="clear" w:color="auto" w:fill="000000"/>
          </w:tcPr>
          <w:p>
            <w:pPr>
              <w:ind w:left="2140"/>
              <w:spacing w:after="0"/>
              <w:rPr>
                <w:sz w:val="20"/>
                <w:szCs w:val="20"/>
                <w:color w:val="auto"/>
              </w:rPr>
            </w:pPr>
            <w:r>
              <w:rPr>
                <w:rFonts w:ascii="Arial" w:cs="Arial" w:eastAsia="Arial" w:hAnsi="Arial"/>
                <w:sz w:val="22"/>
                <w:szCs w:val="22"/>
                <w:b w:val="1"/>
                <w:bCs w:val="1"/>
                <w:color w:val="FFFFFF"/>
              </w:rPr>
              <w:t>Principal Occupation</w:t>
            </w:r>
          </w:p>
        </w:tc>
        <w:tc>
          <w:tcPr>
            <w:tcW w:w="11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Since</w:t>
            </w:r>
          </w:p>
        </w:tc>
      </w:tr>
      <w:tr>
        <w:trPr>
          <w:trHeight w:val="24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58</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Karges-Faulconbridge,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2006</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55</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and Chief Executive Officer, Hawkins,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J. Schumacher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69</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2012</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E. Spethmann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61</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CEO, Phillips &amp; Temro Industries</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64</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Brand Officer, Stauber Performance Ingredients,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2016</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Information Officer, Mortenson Construction</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2020</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63</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certain additional information regarding each director nominee.</w:t>
      </w:r>
    </w:p>
    <w:p>
      <w:pPr>
        <w:spacing w:after="0" w:line="252" w:lineRule="exact"/>
        <w:rPr>
          <w:sz w:val="20"/>
          <w:szCs w:val="20"/>
          <w:color w:val="auto"/>
        </w:rPr>
      </w:pPr>
    </w:p>
    <w:p>
      <w:pPr>
        <w:ind w:left="340" w:right="80"/>
        <w:spacing w:after="0" w:line="268" w:lineRule="auto"/>
        <w:rPr>
          <w:sz w:val="20"/>
          <w:szCs w:val="20"/>
          <w:color w:val="auto"/>
        </w:rPr>
      </w:pPr>
      <w:r>
        <w:rPr>
          <w:rFonts w:ascii="Arial" w:cs="Arial" w:eastAsia="Arial" w:hAnsi="Arial"/>
          <w:sz w:val="18"/>
          <w:szCs w:val="18"/>
          <w:b w:val="1"/>
          <w:bCs w:val="1"/>
          <w:i w:val="1"/>
          <w:iCs w:val="1"/>
          <w:color w:val="auto"/>
        </w:rPr>
        <w:t xml:space="preserve">James A. Faulconbridge </w:t>
      </w:r>
      <w:r>
        <w:rPr>
          <w:rFonts w:ascii="Arial" w:cs="Arial" w:eastAsia="Arial" w:hAnsi="Arial"/>
          <w:sz w:val="18"/>
          <w:szCs w:val="18"/>
          <w:color w:val="auto"/>
        </w:rPr>
        <w:t>has served as President of Karges-Faulconbridge, Inc., an engineering and technical services firm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 broad variety of industries since 2006. His background provides the company with technical expertise and insight into various industries we serve, and in capital planning and carbon footprint techniques.</w:t>
      </w:r>
    </w:p>
    <w:p>
      <w:pPr>
        <w:spacing w:after="0" w:line="198"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b w:val="1"/>
          <w:bCs w:val="1"/>
          <w:i w:val="1"/>
          <w:iCs w:val="1"/>
          <w:color w:val="auto"/>
        </w:rPr>
        <w:t xml:space="preserve">Patrick H. Hawkins </w:t>
      </w:r>
      <w:r>
        <w:rPr>
          <w:rFonts w:ascii="Arial" w:cs="Arial" w:eastAsia="Arial" w:hAnsi="Arial"/>
          <w:sz w:val="18"/>
          <w:szCs w:val="18"/>
          <w:color w:val="auto"/>
        </w:rPr>
        <w:t>has been with the company since 1992, has served as Chief Executive Officer since 2011; President since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Director - Food and Pharmaceuticals from 2009 to 2010; Business Manager - Food and Co-Extrusion Products from 2007 to 2009; Sales Representative - Food Ingredients from 2002 to 2009; and various other positions with the company from 1992 to 2002. Mr. Hawkins holds a bachelor's degree in chemistry from the University of Saint Thomas. His vast experience with our company has given him an intimate knowledge of our company and its business and a deep passion for our continued success.</w:t>
      </w:r>
    </w:p>
    <w:p>
      <w:pPr>
        <w:sectPr>
          <w:pgSz w:w="11900" w:h="16838" w:orient="portrait"/>
          <w:cols w:equalWidth="0" w:num="1">
            <w:col w:w="11220"/>
          </w:cols>
          <w:pgMar w:left="320" w:top="8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type w:val="continuous"/>
        </w:sectPr>
      </w:pPr>
    </w:p>
    <w:bookmarkStart w:id="7" w:name="page8"/>
    <w:bookmarkEnd w:id="7"/>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Mary J. Schumacher </w:t>
      </w:r>
      <w:r>
        <w:rPr>
          <w:rFonts w:ascii="Arial" w:cs="Arial" w:eastAsia="Arial" w:hAnsi="Arial"/>
          <w:sz w:val="18"/>
          <w:szCs w:val="18"/>
          <w:color w:val="auto"/>
        </w:rPr>
        <w:t>served as Chief Operating Officer of Twin Cities Habitat for Humanity from 2010 to 2016;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General Manager at Andersen Corporation from 2008 to 2010 and Senior Vice President, Research, Technology, Quality and Engineering from 2003 to 2008; various positions at Ecolab Inc. from 1992 to 2003; and various positions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pacing w:after="0" w:line="20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 xml:space="preserve">Jeffrey E. Spethmann </w:t>
      </w:r>
      <w:r>
        <w:rPr>
          <w:rFonts w:ascii="Arial" w:cs="Arial" w:eastAsia="Arial" w:hAnsi="Arial"/>
          <w:sz w:val="17"/>
          <w:szCs w:val="17"/>
          <w:color w:val="auto"/>
        </w:rPr>
        <w:t>has served as Chief Executive Officer of Phillips &amp; Temro Industries, a global OEM and aftermarket provider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 engineered thermal and electrical solutions, since April 2025; Chief Executive Officer of HydrogenPro, Inc., a U.S. subsidiary of Norway based HydrogenPro ASA, from January 2024 through March 2025; Senior Vice President of Industrial Products of Donaldson Company, Inc. from April 2016 through October 2023, and held various positions at Donaldson Company since joining the company in 2013; Prior to joining Donaldson, Mr. Spethmann held the positions of General Manager and President of Blow Molded Specialties, Inc., from 1999 to 2012. Mr. Spethmann has a bachelor’s degree in mechanical engineering and an M.B.A. from the University of Minnesota. His experience and knowledge in sales and manufacturing processes at a large corporation adds valuable insight to our Board.</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Daniel J. Stauber </w:t>
      </w:r>
      <w:r>
        <w:rPr>
          <w:rFonts w:ascii="Arial" w:cs="Arial" w:eastAsia="Arial" w:hAnsi="Arial"/>
          <w:sz w:val="18"/>
          <w:szCs w:val="18"/>
          <w:color w:val="auto"/>
        </w:rPr>
        <w:t>has served as Chief Brand Officer of Stauber Performance Ingredients, Inc, (“Stauber”), a wholly owned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since our acquisition of Stauber in 2015. Mr. Stauber also served as Vice President - Health and Nutrition and as President of Stauber, from 2018 through 2019; Chief Executive Officer of Stauber from 1998 until its acquisition in 2015; President from 1994 to 1998; and various other positions with Stauber from 1984 to 1994. His extensive knowledge of the nutraceutical industry is valuable in formulating and executing our business plans and growth strategies for this segment of our business.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Yi "Faith" Tang </w:t>
      </w:r>
      <w:r>
        <w:rPr>
          <w:rFonts w:ascii="Arial" w:cs="Arial" w:eastAsia="Arial" w:hAnsi="Arial"/>
          <w:sz w:val="18"/>
          <w:szCs w:val="18"/>
          <w:color w:val="auto"/>
        </w:rPr>
        <w:t>has served as Chief Information Officer of Mortenson Construction since October 2023; Global Chief Information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Digital Officer of MiTek, Inc. (a Berkshire Hathaway company) from September 2021 to September 2023, and held various positions at H.B. Fuller Company from 2010 to September 2021, most recently as Global Chief Information Officer. Prior to that, Ms. Tang held various positions at Baxter, Johnson &amp; Johnson and Eli Lilly. Ms. Tang holds a bachelor’s degree in Computer Software from Shanghai University of China and an M.B.A. from Renmin University of China. Her experience in information technology at a large industrial manufacturing company adds valuable insight to our Board.</w:t>
      </w:r>
    </w:p>
    <w:p>
      <w:pPr>
        <w:spacing w:after="0" w:line="20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James T. Thompson </w:t>
      </w:r>
      <w:r>
        <w:rPr>
          <w:rFonts w:ascii="Arial" w:cs="Arial" w:eastAsia="Arial" w:hAnsi="Arial"/>
          <w:sz w:val="18"/>
          <w:szCs w:val="18"/>
          <w:color w:val="auto"/>
        </w:rPr>
        <w:t>served as Executive Vice President - Commercial of The Mosaic Company from 2004 to 2007, and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at Cargill, Inc. from 1974 to 2004, most recently as President of Cargill Steel from 1996 to 2004. His experience with major manufacturing and commodity companies is valuable to us across our specialty and commodity product businesses.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Jeffrey L. Wright </w:t>
      </w:r>
      <w:r>
        <w:rPr>
          <w:rFonts w:ascii="Arial" w:cs="Arial" w:eastAsia="Arial" w:hAnsi="Arial"/>
          <w:sz w:val="18"/>
          <w:szCs w:val="18"/>
          <w:color w:val="auto"/>
        </w:rPr>
        <w:t>served as Chief Financial Officer of G&amp;K Services, Inc. from 1999 to 2014, Executive Vice President and Director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to 2014, Senior Vice President from 2004 to 2009, and Treasurer and Secretary from 1999 to 2003; Treasurer at BMC Industries, Inc. from 1998 to 1999 and Controller from 1996 to 1998; various positions at Employee Benefit Plans, Inc. from 1993 to 1996; and was employed by Arthur Andersen &amp; Co. from 1984 to 1993. His extensive public company finance and audit experience provides us with valuable financial and accounting experience as well as public company board experience.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Board has determined that, of the director nominees, each of Messrs. Faulconbridge, Spethmann, Thompson and Wright, and Mmes. Schumacher and Tang, are “Independent Directors” as that term is defined under the applicable listing standards of The Nasdaq Stock Market LLC (“Nasdaq”). Accordingly, a majority of our Board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890" w:right="35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of Directors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Board held five meetings during the fiscal year ended March 29, 2026 (“fiscal 2026”). All directors attended at least 75% of the meetings</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of our Board and the committees on which they served. All directors attended our Annual Meeting of Shareholders virtually in 2025. Our Board encourages, but does not require, director attendance at annual meetings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of the Board of Directors</w:t>
      </w:r>
    </w:p>
    <w:p>
      <w:pPr>
        <w:spacing w:after="0" w:line="12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Board does not have a policy regarding the separation of the roles of Chief Executive Officer and Chair of the Board, as the Board believes it is in the best interests of the company to make that determination based on the position and direction of the company and the membership of the Board. Mr. Hawkins currently serves as our Chief Executive Officer and Mr. Thompson currently serves as Chair of the Board. Our Board believes current leadership structure allows us to more fully utilize the skills of Mr. Thompson and ensure active participation of the directors in setting agendas and establishing Board priorities and procedures. To the extent the roles of Chief Executive Officer and Chair of the Board may be combined in the future, our Board is likely to appoint an individual to serve as “lead independent director.”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0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Board has an Audit Committee, Compensation Committee and Governance and Nominating Committee, each of which is described in more detail below. The current members of each of the committees of the Board are as follows:</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140" w:type="dxa"/>
            <w:vAlign w:val="bottom"/>
            <w:tcBorders>
              <w:left w:val="single" w:sz="8" w:color="auto"/>
              <w:right w:val="single" w:sz="8" w:color="auto"/>
            </w:tcBorders>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1600" w:type="dxa"/>
            <w:vAlign w:val="bottom"/>
            <w:tcBorders>
              <w:right w:val="single" w:sz="8" w:color="auto"/>
            </w:tcBorders>
            <w:shd w:val="clear" w:color="auto" w:fill="000000"/>
          </w:tcPr>
          <w:p>
            <w:pPr>
              <w:spacing w:after="0"/>
              <w:rPr>
                <w:sz w:val="24"/>
                <w:szCs w:val="24"/>
                <w:color w:val="auto"/>
              </w:rPr>
            </w:pPr>
          </w:p>
        </w:tc>
        <w:tc>
          <w:tcPr>
            <w:tcW w:w="660" w:type="dxa"/>
            <w:vAlign w:val="bottom"/>
            <w:tcBorders>
              <w:right w:val="single" w:sz="8" w:color="auto"/>
            </w:tcBorders>
            <w:shd w:val="clear" w:color="auto" w:fill="000000"/>
          </w:tcPr>
          <w:p>
            <w:pPr>
              <w:spacing w:after="0"/>
              <w:rPr>
                <w:sz w:val="24"/>
                <w:szCs w:val="24"/>
                <w:color w:val="auto"/>
              </w:rPr>
            </w:pPr>
          </w:p>
        </w:tc>
        <w:tc>
          <w:tcPr>
            <w:tcW w:w="1320" w:type="dxa"/>
            <w:vAlign w:val="bottom"/>
            <w:tcBorders>
              <w:right w:val="single" w:sz="8" w:color="auto"/>
            </w:tcBorders>
            <w:shd w:val="clear" w:color="auto" w:fill="000000"/>
          </w:tcPr>
          <w:p>
            <w:pPr>
              <w:spacing w:after="0"/>
              <w:rPr>
                <w:sz w:val="24"/>
                <w:szCs w:val="24"/>
                <w:color w:val="auto"/>
              </w:rPr>
            </w:pPr>
          </w:p>
        </w:tc>
        <w:tc>
          <w:tcPr>
            <w:tcW w:w="2100" w:type="dxa"/>
            <w:vAlign w:val="bottom"/>
            <w:tcBorders>
              <w:right w:val="single" w:sz="8" w:color="auto"/>
            </w:tcBorders>
            <w:shd w:val="clear" w:color="auto" w:fill="000000"/>
          </w:tcPr>
          <w:p>
            <w:pPr>
              <w:spacing w:after="0"/>
              <w:rPr>
                <w:sz w:val="24"/>
                <w:szCs w:val="24"/>
                <w:color w:val="auto"/>
              </w:rPr>
            </w:pP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Governance and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40" w:type="dxa"/>
            <w:vAlign w:val="bottom"/>
            <w:tcBorders>
              <w:left w:val="single" w:sz="8" w:color="auto"/>
              <w:right w:val="single" w:sz="8" w:color="auto"/>
            </w:tcBorders>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1600" w:type="dxa"/>
            <w:vAlign w:val="bottom"/>
            <w:tcBorders>
              <w:right w:val="single" w:sz="8" w:color="auto"/>
            </w:tcBorders>
            <w:shd w:val="clear" w:color="auto" w:fill="000000"/>
          </w:tcPr>
          <w:p>
            <w:pPr>
              <w:jc w:val="center"/>
              <w:ind w:right="146"/>
              <w:spacing w:after="0"/>
              <w:rPr>
                <w:sz w:val="20"/>
                <w:szCs w:val="20"/>
                <w:color w:val="auto"/>
              </w:rPr>
            </w:pPr>
            <w:r>
              <w:rPr>
                <w:rFonts w:ascii="Arial" w:cs="Arial" w:eastAsia="Arial" w:hAnsi="Arial"/>
                <w:sz w:val="22"/>
                <w:szCs w:val="22"/>
                <w:b w:val="1"/>
                <w:bCs w:val="1"/>
                <w:color w:val="FFFFFF"/>
                <w:w w:val="97"/>
              </w:rPr>
              <w:t>Independent</w:t>
            </w:r>
          </w:p>
        </w:tc>
        <w:tc>
          <w:tcPr>
            <w:tcW w:w="66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shd w:val="clear" w:color="auto" w:fill="000000"/>
          </w:tcPr>
          <w:p>
            <w:pPr>
              <w:spacing w:after="0"/>
              <w:rPr>
                <w:sz w:val="22"/>
                <w:szCs w:val="22"/>
                <w:color w:val="auto"/>
              </w:rPr>
            </w:pPr>
          </w:p>
        </w:tc>
        <w:tc>
          <w:tcPr>
            <w:tcW w:w="21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Nominating</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3140" w:type="dxa"/>
            <w:vAlign w:val="bottom"/>
            <w:tcBorders>
              <w:left w:val="single" w:sz="8" w:color="auto"/>
              <w:bottom w:val="single" w:sz="8" w:color="CBCBCB"/>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Board Member</w:t>
            </w:r>
          </w:p>
        </w:tc>
        <w:tc>
          <w:tcPr>
            <w:tcW w:w="220" w:type="dxa"/>
            <w:vAlign w:val="bottom"/>
            <w:tcBorders>
              <w:bottom w:val="single" w:sz="8" w:color="auto"/>
            </w:tcBorders>
            <w:shd w:val="clear" w:color="auto" w:fill="000000"/>
          </w:tcPr>
          <w:p>
            <w:pPr>
              <w:spacing w:after="0"/>
              <w:rPr>
                <w:sz w:val="24"/>
                <w:szCs w:val="24"/>
                <w:color w:val="auto"/>
              </w:rPr>
            </w:pPr>
          </w:p>
        </w:tc>
        <w:tc>
          <w:tcPr>
            <w:tcW w:w="1600" w:type="dxa"/>
            <w:vAlign w:val="bottom"/>
            <w:tcBorders>
              <w:bottom w:val="single" w:sz="8" w:color="auto"/>
              <w:right w:val="single" w:sz="8" w:color="auto"/>
            </w:tcBorders>
            <w:shd w:val="clear" w:color="auto" w:fill="000000"/>
          </w:tcPr>
          <w:p>
            <w:pPr>
              <w:jc w:val="center"/>
              <w:ind w:right="126"/>
              <w:spacing w:after="0"/>
              <w:rPr>
                <w:sz w:val="20"/>
                <w:szCs w:val="20"/>
                <w:color w:val="auto"/>
              </w:rPr>
            </w:pPr>
            <w:r>
              <w:rPr>
                <w:rFonts w:ascii="Arial" w:cs="Arial" w:eastAsia="Arial" w:hAnsi="Arial"/>
                <w:sz w:val="22"/>
                <w:szCs w:val="22"/>
                <w:b w:val="1"/>
                <w:bCs w:val="1"/>
                <w:color w:val="FFFFFF"/>
                <w:w w:val="97"/>
              </w:rPr>
              <w:t>Director</w:t>
            </w:r>
          </w:p>
        </w:tc>
        <w:tc>
          <w:tcPr>
            <w:tcW w:w="1980" w:type="dxa"/>
            <w:vAlign w:val="bottom"/>
            <w:tcBorders>
              <w:bottom w:val="single" w:sz="8" w:color="auto"/>
              <w:right w:val="single" w:sz="8" w:color="auto"/>
            </w:tcBorders>
            <w:gridSpan w:val="2"/>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Audit Committee</w:t>
            </w:r>
          </w:p>
        </w:tc>
        <w:tc>
          <w:tcPr>
            <w:tcW w:w="21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Committee</w:t>
            </w:r>
          </w:p>
        </w:tc>
        <w:tc>
          <w:tcPr>
            <w:tcW w:w="20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Committee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Patrick H. Hawkins</w:t>
            </w: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center"/>
              <w:ind w:right="146"/>
              <w:spacing w:after="0"/>
              <w:rPr>
                <w:sz w:val="20"/>
                <w:szCs w:val="20"/>
                <w:color w:val="auto"/>
              </w:rPr>
            </w:pPr>
            <w:r>
              <w:rPr>
                <w:rFonts w:ascii="Arial" w:cs="Arial" w:eastAsia="Arial" w:hAnsi="Arial"/>
                <w:sz w:val="18"/>
                <w:szCs w:val="18"/>
                <w:color w:val="auto"/>
              </w:rPr>
              <w:t>No</w:t>
            </w: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A. Faulconbridge</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rPr>
              <w:t>M</w:t>
            </w:r>
          </w:p>
        </w:tc>
        <w:tc>
          <w:tcPr>
            <w:tcW w:w="210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Mary J. Schumacher</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rPr>
              <w:t>M</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E. Spethmann</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rPr>
              <w:t>M</w:t>
            </w:r>
          </w:p>
        </w:tc>
        <w:tc>
          <w:tcPr>
            <w:tcW w:w="210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Daniel J. Stauber</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46"/>
              <w:spacing w:after="0"/>
              <w:rPr>
                <w:sz w:val="20"/>
                <w:szCs w:val="20"/>
                <w:color w:val="auto"/>
              </w:rPr>
            </w:pPr>
            <w:r>
              <w:rPr>
                <w:rFonts w:ascii="Arial" w:cs="Arial" w:eastAsia="Arial" w:hAnsi="Arial"/>
                <w:sz w:val="18"/>
                <w:szCs w:val="18"/>
                <w:color w:val="auto"/>
              </w:rPr>
              <w:t>No</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Yi "Faith" Tang</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08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T. Thompson, Chair</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4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L. Wright</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8"/>
                <w:szCs w:val="18"/>
                <w:color w:val="auto"/>
                <w:w w:val="96"/>
              </w:rPr>
              <w:t>Yes</w:t>
            </w: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589"/>
              <w:spacing w:after="0"/>
              <w:rPr>
                <w:sz w:val="20"/>
                <w:szCs w:val="20"/>
                <w:color w:val="auto"/>
              </w:rPr>
            </w:pPr>
            <w:r>
              <w:rPr>
                <w:rFonts w:ascii="Arial" w:cs="Arial" w:eastAsia="Arial" w:hAnsi="Arial"/>
                <w:sz w:val="18"/>
                <w:szCs w:val="18"/>
                <w:color w:val="auto"/>
                <w:w w:val="91"/>
              </w:rPr>
              <w:t>C</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5"/>
        </w:trPr>
        <w:tc>
          <w:tcPr>
            <w:tcW w:w="3360" w:type="dxa"/>
            <w:vAlign w:val="bottom"/>
            <w:gridSpan w:val="2"/>
          </w:tcPr>
          <w:p>
            <w:pPr>
              <w:spacing w:after="0"/>
              <w:rPr>
                <w:sz w:val="20"/>
                <w:szCs w:val="20"/>
                <w:color w:val="auto"/>
              </w:rPr>
            </w:pPr>
            <w:r>
              <w:rPr>
                <w:rFonts w:ascii="Arial" w:cs="Arial" w:eastAsia="Arial" w:hAnsi="Arial"/>
                <w:sz w:val="18"/>
                <w:szCs w:val="18"/>
                <w:color w:val="auto"/>
              </w:rPr>
              <w:t>C: Chair</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60" w:type="dxa"/>
            <w:vAlign w:val="bottom"/>
            <w:gridSpan w:val="2"/>
          </w:tcPr>
          <w:p>
            <w:pPr>
              <w:spacing w:after="0"/>
              <w:rPr>
                <w:sz w:val="20"/>
                <w:szCs w:val="20"/>
                <w:color w:val="auto"/>
              </w:rPr>
            </w:pPr>
            <w:r>
              <w:rPr>
                <w:rFonts w:ascii="Arial" w:cs="Arial" w:eastAsia="Arial" w:hAnsi="Arial"/>
                <w:sz w:val="18"/>
                <w:szCs w:val="18"/>
                <w:color w:val="auto"/>
              </w:rPr>
              <w:t>M: Member</w:t>
            </w:r>
          </w:p>
        </w:tc>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3"/>
                <w:szCs w:val="23"/>
                <w:color w:val="auto"/>
              </w:rPr>
            </w:pPr>
          </w:p>
        </w:tc>
        <w:tc>
          <w:tcPr>
            <w:tcW w:w="1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360" w:type="dxa"/>
            <w:vAlign w:val="bottom"/>
            <w:tcBorders>
              <w:left w:val="single" w:sz="8" w:color="auto"/>
            </w:tcBorders>
            <w:gridSpan w:val="2"/>
            <w:shd w:val="clear" w:color="auto" w:fill="000000"/>
          </w:tcPr>
          <w:p>
            <w:pPr>
              <w:ind w:left="40"/>
              <w:spacing w:after="0"/>
              <w:rPr>
                <w:sz w:val="20"/>
                <w:szCs w:val="20"/>
                <w:color w:val="auto"/>
              </w:rPr>
            </w:pPr>
            <w:r>
              <w:rPr>
                <w:rFonts w:ascii="Arial" w:cs="Arial" w:eastAsia="Arial" w:hAnsi="Arial"/>
                <w:sz w:val="22"/>
                <w:szCs w:val="22"/>
                <w:b w:val="1"/>
                <w:bCs w:val="1"/>
                <w:color w:val="FFFFFF"/>
              </w:rPr>
              <w:t>AUDIT COMMITTEE</w:t>
            </w:r>
          </w:p>
        </w:tc>
        <w:tc>
          <w:tcPr>
            <w:tcW w:w="1600" w:type="dxa"/>
            <w:vAlign w:val="bottom"/>
            <w:tcBorders>
              <w:right w:val="single" w:sz="8" w:color="auto"/>
            </w:tcBorders>
            <w:shd w:val="clear" w:color="auto" w:fill="000000"/>
          </w:tcPr>
          <w:p>
            <w:pPr>
              <w:spacing w:after="0"/>
              <w:rPr>
                <w:sz w:val="24"/>
                <w:szCs w:val="24"/>
                <w:color w:val="auto"/>
              </w:rPr>
            </w:pPr>
          </w:p>
        </w:tc>
        <w:tc>
          <w:tcPr>
            <w:tcW w:w="660" w:type="dxa"/>
            <w:vAlign w:val="bottom"/>
            <w:tcBorders>
              <w:right w:val="single" w:sz="8" w:color="auto"/>
            </w:tcBorders>
            <w:shd w:val="clear" w:color="auto" w:fill="000000"/>
          </w:tcPr>
          <w:p>
            <w:pPr>
              <w:spacing w:after="0"/>
              <w:rPr>
                <w:sz w:val="24"/>
                <w:szCs w:val="24"/>
                <w:color w:val="auto"/>
              </w:rPr>
            </w:pPr>
          </w:p>
        </w:tc>
        <w:tc>
          <w:tcPr>
            <w:tcW w:w="1320" w:type="dxa"/>
            <w:vAlign w:val="bottom"/>
            <w:tcBorders>
              <w:right w:val="single" w:sz="8" w:color="auto"/>
            </w:tcBorders>
            <w:shd w:val="clear" w:color="auto" w:fill="000000"/>
          </w:tcPr>
          <w:p>
            <w:pPr>
              <w:spacing w:after="0"/>
              <w:rPr>
                <w:sz w:val="24"/>
                <w:szCs w:val="24"/>
                <w:color w:val="auto"/>
              </w:rPr>
            </w:pPr>
          </w:p>
        </w:tc>
        <w:tc>
          <w:tcPr>
            <w:tcW w:w="2100" w:type="dxa"/>
            <w:vAlign w:val="bottom"/>
            <w:tcBorders>
              <w:right w:val="single" w:sz="8" w:color="auto"/>
            </w:tcBorders>
            <w:shd w:val="clear" w:color="auto" w:fill="000000"/>
          </w:tcPr>
          <w:p>
            <w:pPr>
              <w:spacing w:after="0"/>
              <w:rPr>
                <w:sz w:val="24"/>
                <w:szCs w:val="24"/>
                <w:color w:val="auto"/>
              </w:rPr>
            </w:pPr>
          </w:p>
        </w:tc>
        <w:tc>
          <w:tcPr>
            <w:tcW w:w="2080" w:type="dxa"/>
            <w:vAlign w:val="bottom"/>
            <w:tcBorders>
              <w:right w:val="single" w:sz="8" w:color="auto"/>
            </w:tcBorders>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60" w:type="dxa"/>
            <w:vAlign w:val="bottom"/>
            <w:tcBorders>
              <w:left w:val="single" w:sz="8" w:color="auto"/>
              <w:bottom w:val="single" w:sz="8" w:color="auto"/>
            </w:tcBorders>
            <w:gridSpan w:val="2"/>
            <w:shd w:val="clear" w:color="auto" w:fill="DBDBDB"/>
          </w:tcPr>
          <w:p>
            <w:pPr>
              <w:ind w:left="40"/>
              <w:spacing w:after="0"/>
              <w:rPr>
                <w:sz w:val="20"/>
                <w:szCs w:val="20"/>
                <w:color w:val="auto"/>
              </w:rPr>
            </w:pPr>
            <w:r>
              <w:rPr>
                <w:rFonts w:ascii="Arial" w:cs="Arial" w:eastAsia="Arial" w:hAnsi="Arial"/>
                <w:sz w:val="22"/>
                <w:szCs w:val="22"/>
                <w:b w:val="1"/>
                <w:bCs w:val="1"/>
                <w:color w:val="auto"/>
              </w:rPr>
              <w:t>Audit Committee Members</w:t>
            </w:r>
          </w:p>
        </w:tc>
        <w:tc>
          <w:tcPr>
            <w:tcW w:w="1600" w:type="dxa"/>
            <w:vAlign w:val="bottom"/>
            <w:tcBorders>
              <w:bottom w:val="single" w:sz="8" w:color="auto"/>
              <w:right w:val="single" w:sz="8" w:color="DBDBDB"/>
            </w:tcBorders>
            <w:shd w:val="clear" w:color="auto" w:fill="DBDBDB"/>
          </w:tcPr>
          <w:p>
            <w:pPr>
              <w:spacing w:after="0"/>
              <w:rPr>
                <w:sz w:val="24"/>
                <w:szCs w:val="24"/>
                <w:color w:val="auto"/>
              </w:rPr>
            </w:pPr>
          </w:p>
        </w:tc>
        <w:tc>
          <w:tcPr>
            <w:tcW w:w="660" w:type="dxa"/>
            <w:vAlign w:val="bottom"/>
            <w:tcBorders>
              <w:bottom w:val="single" w:sz="8" w:color="auto"/>
              <w:right w:val="single" w:sz="8" w:color="auto"/>
            </w:tcBorders>
            <w:shd w:val="clear" w:color="auto" w:fill="DBDBDB"/>
          </w:tcPr>
          <w:p>
            <w:pPr>
              <w:spacing w:after="0"/>
              <w:rPr>
                <w:sz w:val="24"/>
                <w:szCs w:val="24"/>
                <w:color w:val="auto"/>
              </w:rPr>
            </w:pPr>
          </w:p>
        </w:tc>
        <w:tc>
          <w:tcPr>
            <w:tcW w:w="5500" w:type="dxa"/>
            <w:vAlign w:val="bottom"/>
            <w:tcBorders>
              <w:bottom w:val="single" w:sz="8" w:color="auto"/>
              <w:right w:val="single" w:sz="8" w:color="DBDBDB"/>
            </w:tcBorders>
            <w:gridSpan w:val="3"/>
            <w:shd w:val="clear" w:color="auto" w:fill="DBDBDB"/>
          </w:tcPr>
          <w:p>
            <w:pPr>
              <w:spacing w:after="0"/>
              <w:rPr>
                <w:sz w:val="20"/>
                <w:szCs w:val="20"/>
                <w:color w:val="auto"/>
              </w:rPr>
            </w:pPr>
            <w:r>
              <w:rPr>
                <w:rFonts w:ascii="Arial" w:cs="Arial" w:eastAsia="Arial" w:hAnsi="Arial"/>
                <w:sz w:val="22"/>
                <w:szCs w:val="22"/>
                <w:b w:val="1"/>
                <w:bCs w:val="1"/>
                <w:color w:val="auto"/>
              </w:rPr>
              <w:t>Representative Functions of the Audit Committee</w:t>
            </w:r>
          </w:p>
        </w:tc>
        <w:tc>
          <w:tcPr>
            <w:tcW w:w="100" w:type="dxa"/>
            <w:vAlign w:val="bottom"/>
            <w:tcBorders>
              <w:bottom w:val="single" w:sz="8" w:color="auto"/>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James A. Faulconbridge</w:t>
            </w:r>
          </w:p>
        </w:tc>
        <w:tc>
          <w:tcPr>
            <w:tcW w:w="16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   Select and appoint our independent auditors and meet with</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the independent auditors and financial management to</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E. Spethmann</w:t>
            </w: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review the scope of the audit and the audit procedures.</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L. Wright, Chair</w:t>
            </w:r>
          </w:p>
        </w:tc>
        <w:tc>
          <w:tcPr>
            <w:tcW w:w="16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   Provide independent, objective oversight with respect to our</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company’s accounting and financial reporting functions,</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5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internal and external audit functions, systems of internal</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Number of meetings during fiscal 2026: 4</w:t>
            </w:r>
          </w:p>
        </w:tc>
        <w:tc>
          <w:tcPr>
            <w:tcW w:w="16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500" w:type="dxa"/>
            <w:vAlign w:val="bottom"/>
            <w:gridSpan w:val="3"/>
          </w:tcPr>
          <w:p>
            <w:pPr>
              <w:ind w:left="660"/>
              <w:spacing w:after="0"/>
              <w:rPr>
                <w:sz w:val="20"/>
                <w:szCs w:val="20"/>
                <w:color w:val="auto"/>
              </w:rPr>
            </w:pPr>
            <w:r>
              <w:rPr>
                <w:rFonts w:ascii="Arial" w:cs="Arial" w:eastAsia="Arial" w:hAnsi="Arial"/>
                <w:sz w:val="18"/>
                <w:szCs w:val="18"/>
                <w:color w:val="auto"/>
              </w:rPr>
              <w:t>controls regarding financial matters, and compliance.</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tcBorders>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500" w:type="dxa"/>
            <w:vAlign w:val="bottom"/>
            <w:gridSpan w:val="3"/>
            <w:vMerge w:val="restart"/>
          </w:tcPr>
          <w:p>
            <w:pPr>
              <w:ind w:left="340"/>
              <w:spacing w:after="0" w:line="202" w:lineRule="exact"/>
              <w:rPr>
                <w:sz w:val="20"/>
                <w:szCs w:val="20"/>
                <w:color w:val="auto"/>
              </w:rPr>
            </w:pPr>
            <w:r>
              <w:rPr>
                <w:rFonts w:ascii="Arial" w:cs="Arial" w:eastAsia="Arial" w:hAnsi="Arial"/>
                <w:sz w:val="18"/>
                <w:szCs w:val="18"/>
                <w:color w:val="auto"/>
              </w:rPr>
              <w:t>•   Provide oversight with respect to matters of cybersecurity</w:t>
            </w: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14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5500" w:type="dxa"/>
            <w:vAlign w:val="bottom"/>
            <w:gridSpan w:val="3"/>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14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342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impacting the company.</w:t>
            </w:r>
          </w:p>
        </w:tc>
        <w:tc>
          <w:tcPr>
            <w:tcW w:w="208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9" w:name="page10"/>
    <w:bookmarkEnd w:id="9"/>
    <w:p>
      <w:pPr>
        <w:jc w:val="both"/>
        <w:ind w:left="660" w:right="140" w:hanging="328"/>
        <w:spacing w:after="0" w:line="272"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Board has determined that all members of the Audit Committee are “independent” as that term is used in Section 10A(m) of the Securities Exchange Act of 1934, as amended (the "Exchange Act"), and “Independent Directors” as that term is defined under the applicable listing standards of Nasdaq. Our Board has determined that Messrs. Faulconbridge, Spethmann and Wright, and Ms.</w:t>
      </w:r>
    </w:p>
    <w:p>
      <w:pPr>
        <w:spacing w:after="0" w:line="1" w:lineRule="exact"/>
        <w:rPr>
          <w:rFonts w:ascii="Arial" w:cs="Arial" w:eastAsia="Arial" w:hAnsi="Arial"/>
          <w:sz w:val="17"/>
          <w:szCs w:val="17"/>
          <w:color w:val="auto"/>
        </w:rPr>
      </w:pPr>
    </w:p>
    <w:p>
      <w:pPr>
        <w:ind w:left="660" w:right="640"/>
        <w:spacing w:after="0" w:line="266" w:lineRule="auto"/>
        <w:rPr>
          <w:rFonts w:ascii="Arial" w:cs="Arial" w:eastAsia="Arial" w:hAnsi="Arial"/>
          <w:sz w:val="17"/>
          <w:szCs w:val="17"/>
          <w:color w:val="auto"/>
        </w:rPr>
      </w:pPr>
      <w:r>
        <w:rPr>
          <w:rFonts w:ascii="Arial" w:cs="Arial" w:eastAsia="Arial" w:hAnsi="Arial"/>
          <w:sz w:val="18"/>
          <w:szCs w:val="18"/>
          <w:color w:val="auto"/>
        </w:rPr>
        <w:t>Schumacher, are “audit committee financial experts,” as the term is defined by regulations promulgated by the Securities and Exchange Commission ("SEC").</w:t>
      </w:r>
    </w:p>
    <w:p>
      <w:pPr>
        <w:spacing w:after="0" w:line="198" w:lineRule="exact"/>
        <w:rPr>
          <w:rFonts w:ascii="Arial" w:cs="Arial" w:eastAsia="Arial" w:hAnsi="Arial"/>
          <w:sz w:val="17"/>
          <w:szCs w:val="17"/>
          <w:color w:val="auto"/>
        </w:rPr>
      </w:pPr>
    </w:p>
    <w:p>
      <w:pPr>
        <w:ind w:left="660" w:right="100" w:hanging="328"/>
        <w:spacing w:after="0" w:line="287"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15175" cy="142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23035"/>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COMPENSATION COMMITTEE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Borders>
              <w:top w:val="single" w:sz="8" w:color="auto"/>
              <w:right w:val="single" w:sz="8" w:color="auto"/>
            </w:tcBorders>
            <w:shd w:val="clear" w:color="auto" w:fill="DBDBDB"/>
          </w:tcPr>
          <w:p>
            <w:pPr>
              <w:ind w:left="40"/>
              <w:spacing w:after="0" w:line="236" w:lineRule="exact"/>
              <w:rPr>
                <w:sz w:val="20"/>
                <w:szCs w:val="20"/>
                <w:color w:val="auto"/>
              </w:rPr>
            </w:pPr>
            <w:r>
              <w:rPr>
                <w:rFonts w:ascii="Arial" w:cs="Arial" w:eastAsia="Arial" w:hAnsi="Arial"/>
                <w:sz w:val="22"/>
                <w:szCs w:val="22"/>
                <w:b w:val="1"/>
                <w:bCs w:val="1"/>
                <w:color w:val="auto"/>
              </w:rPr>
              <w:t>Compensation Committee Members</w:t>
            </w:r>
          </w:p>
        </w:tc>
        <w:tc>
          <w:tcPr>
            <w:tcW w:w="5580" w:type="dxa"/>
            <w:vAlign w:val="bottom"/>
            <w:tcBorders>
              <w:top w:val="single" w:sz="8" w:color="auto"/>
            </w:tcBorders>
            <w:shd w:val="clear" w:color="auto" w:fill="DBDBDB"/>
          </w:tcPr>
          <w:p>
            <w:pPr>
              <w:spacing w:after="0" w:line="236" w:lineRule="exact"/>
              <w:rPr>
                <w:sz w:val="20"/>
                <w:szCs w:val="20"/>
                <w:color w:val="auto"/>
              </w:rPr>
            </w:pPr>
            <w:r>
              <w:rPr>
                <w:rFonts w:ascii="Arial" w:cs="Arial" w:eastAsia="Arial" w:hAnsi="Arial"/>
                <w:sz w:val="22"/>
                <w:szCs w:val="22"/>
                <w:b w:val="1"/>
                <w:bCs w:val="1"/>
                <w:color w:val="auto"/>
              </w:rPr>
              <w:t>Representative Functions of the Compensation</w:t>
            </w:r>
          </w:p>
        </w:tc>
        <w:tc>
          <w:tcPr>
            <w:tcW w:w="20" w:type="dxa"/>
            <w:vAlign w:val="bottom"/>
            <w:tcBorders>
              <w:top w:val="single" w:sz="8" w:color="auto"/>
            </w:tcBorders>
          </w:tcPr>
          <w:p>
            <w:pPr>
              <w:spacing w:after="0"/>
              <w:rPr>
                <w:sz w:val="20"/>
                <w:szCs w:val="20"/>
                <w:color w:val="auto"/>
              </w:rPr>
            </w:pPr>
          </w:p>
        </w:tc>
      </w:tr>
      <w:tr>
        <w:trPr>
          <w:trHeight w:val="305"/>
        </w:trPr>
        <w:tc>
          <w:tcPr>
            <w:tcW w:w="5620" w:type="dxa"/>
            <w:vAlign w:val="bottom"/>
            <w:tcBorders>
              <w:bottom w:val="single" w:sz="8" w:color="auto"/>
              <w:right w:val="single" w:sz="8" w:color="auto"/>
            </w:tcBorders>
            <w:shd w:val="clear" w:color="auto" w:fill="DBDBDB"/>
          </w:tcPr>
          <w:p>
            <w:pPr>
              <w:spacing w:after="0"/>
              <w:rPr>
                <w:sz w:val="24"/>
                <w:szCs w:val="24"/>
                <w:color w:val="auto"/>
              </w:rPr>
            </w:pPr>
          </w:p>
        </w:tc>
        <w:tc>
          <w:tcPr>
            <w:tcW w:w="55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22"/>
                <w:szCs w:val="22"/>
                <w:b w:val="1"/>
                <w:bCs w:val="1"/>
                <w:color w:val="auto"/>
              </w:rPr>
              <w:t>Committee</w:t>
            </w:r>
          </w:p>
        </w:tc>
        <w:tc>
          <w:tcPr>
            <w:tcW w:w="20" w:type="dxa"/>
            <w:vAlign w:val="bottom"/>
            <w:tcBorders>
              <w:bottom w:val="single" w:sz="8" w:color="auto"/>
            </w:tcBorders>
          </w:tcPr>
          <w:p>
            <w:pPr>
              <w:spacing w:after="0"/>
              <w:rPr>
                <w:sz w:val="24"/>
                <w:szCs w:val="24"/>
                <w:color w:val="auto"/>
              </w:rPr>
            </w:pPr>
          </w:p>
        </w:tc>
      </w:tr>
      <w:tr>
        <w:trPr>
          <w:trHeight w:val="211"/>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Mary J. Schumacher, Chair</w:t>
            </w:r>
          </w:p>
        </w:tc>
        <w:tc>
          <w:tcPr>
            <w:tcW w:w="5580" w:type="dxa"/>
            <w:vAlign w:val="bottom"/>
          </w:tcPr>
          <w:p>
            <w:pPr>
              <w:ind w:left="340"/>
              <w:spacing w:after="0"/>
              <w:rPr>
                <w:sz w:val="20"/>
                <w:szCs w:val="20"/>
                <w:color w:val="auto"/>
              </w:rPr>
            </w:pPr>
            <w:r>
              <w:rPr>
                <w:rFonts w:ascii="Arial" w:cs="Arial" w:eastAsia="Arial" w:hAnsi="Arial"/>
                <w:sz w:val="18"/>
                <w:szCs w:val="18"/>
                <w:color w:val="auto"/>
              </w:rPr>
              <w:t>•   Review compensation policies and benefit plans for our</w:t>
            </w:r>
          </w:p>
        </w:tc>
        <w:tc>
          <w:tcPr>
            <w:tcW w:w="20" w:type="dxa"/>
            <w:vAlign w:val="bottom"/>
          </w:tcPr>
          <w:p>
            <w:pPr>
              <w:spacing w:after="0"/>
              <w:rPr>
                <w:sz w:val="18"/>
                <w:szCs w:val="18"/>
                <w:color w:val="auto"/>
              </w:rPr>
            </w:pPr>
          </w:p>
        </w:tc>
      </w:tr>
      <w:tr>
        <w:trPr>
          <w:trHeight w:val="216"/>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5580" w:type="dxa"/>
            <w:vAlign w:val="bottom"/>
          </w:tcPr>
          <w:p>
            <w:pPr>
              <w:ind w:left="660"/>
              <w:spacing w:after="0"/>
              <w:rPr>
                <w:sz w:val="20"/>
                <w:szCs w:val="20"/>
                <w:color w:val="auto"/>
              </w:rPr>
            </w:pPr>
            <w:r>
              <w:rPr>
                <w:rFonts w:ascii="Arial" w:cs="Arial" w:eastAsia="Arial" w:hAnsi="Arial"/>
                <w:sz w:val="18"/>
                <w:szCs w:val="18"/>
                <w:color w:val="auto"/>
              </w:rPr>
              <w:t>company.</w:t>
            </w:r>
          </w:p>
        </w:tc>
        <w:tc>
          <w:tcPr>
            <w:tcW w:w="20" w:type="dxa"/>
            <w:vAlign w:val="bottom"/>
          </w:tcPr>
          <w:p>
            <w:pPr>
              <w:spacing w:after="0"/>
              <w:rPr>
                <w:sz w:val="18"/>
                <w:szCs w:val="18"/>
                <w:color w:val="auto"/>
              </w:rPr>
            </w:pP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James T. Thompson</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Review and set compensation for our executive officers.</w:t>
            </w:r>
          </w:p>
        </w:tc>
        <w:tc>
          <w:tcPr>
            <w:tcW w:w="20" w:type="dxa"/>
            <w:vAlign w:val="bottom"/>
          </w:tcPr>
          <w:p>
            <w:pPr>
              <w:spacing w:after="0"/>
              <w:rPr>
                <w:sz w:val="17"/>
                <w:szCs w:val="17"/>
                <w:color w:val="auto"/>
              </w:rPr>
            </w:pPr>
          </w:p>
        </w:tc>
      </w:tr>
      <w:tr>
        <w:trPr>
          <w:trHeight w:val="239"/>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 meetings during fiscal 2026: 4</w:t>
            </w: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56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left="660" w:right="340" w:hanging="328"/>
        <w:spacing w:after="0" w:line="268"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has determined that all members of the Compensation Committee are “Independent Directors” as that term is defined under the applicable listing standards of Nasdaq and “non-employee directors” as that term is defined in Rule 16b-3 promulgated under the Exchange Act.</w:t>
      </w:r>
    </w:p>
    <w:p>
      <w:pPr>
        <w:spacing w:after="0" w:line="197" w:lineRule="exact"/>
        <w:rPr>
          <w:rFonts w:ascii="Arial" w:cs="Arial" w:eastAsia="Arial" w:hAnsi="Arial"/>
          <w:sz w:val="18"/>
          <w:szCs w:val="18"/>
          <w:color w:val="auto"/>
        </w:rPr>
      </w:pPr>
    </w:p>
    <w:p>
      <w:pPr>
        <w:ind w:left="660" w:right="80" w:hanging="328"/>
        <w:spacing w:after="0" w:line="287"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Committee retained independent compensation consultant McLagan Data &amp; Analytics ("McLagan"), which is part of Aon plc, to provide the Compensation Committee with independent advice regarding industry practices for fiscal 2026.</w:t>
      </w:r>
    </w:p>
    <w:p>
      <w:pPr>
        <w:spacing w:after="0" w:line="179" w:lineRule="exact"/>
        <w:rPr>
          <w:rFonts w:ascii="Arial" w:cs="Arial" w:eastAsia="Arial" w:hAnsi="Arial"/>
          <w:sz w:val="18"/>
          <w:szCs w:val="18"/>
          <w:color w:val="auto"/>
        </w:rPr>
      </w:pPr>
    </w:p>
    <w:p>
      <w:pPr>
        <w:ind w:left="660" w:right="400" w:hanging="328"/>
        <w:spacing w:after="0" w:line="287"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15175" cy="1920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92024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GOVERNANCE AND NOMINATING COMMITTEE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Borders>
              <w:top w:val="single" w:sz="8" w:color="auto"/>
              <w:right w:val="single" w:sz="8" w:color="auto"/>
            </w:tcBorders>
            <w:shd w:val="clear" w:color="auto" w:fill="DBDBDB"/>
          </w:tcPr>
          <w:p>
            <w:pPr>
              <w:ind w:left="40"/>
              <w:spacing w:after="0" w:line="236" w:lineRule="exact"/>
              <w:rPr>
                <w:sz w:val="20"/>
                <w:szCs w:val="20"/>
                <w:color w:val="auto"/>
              </w:rPr>
            </w:pPr>
            <w:r>
              <w:rPr>
                <w:rFonts w:ascii="Arial" w:cs="Arial" w:eastAsia="Arial" w:hAnsi="Arial"/>
                <w:sz w:val="22"/>
                <w:szCs w:val="22"/>
                <w:b w:val="1"/>
                <w:bCs w:val="1"/>
                <w:color w:val="auto"/>
              </w:rPr>
              <w:t>Governance and Nominating Committee Members</w:t>
            </w:r>
          </w:p>
        </w:tc>
        <w:tc>
          <w:tcPr>
            <w:tcW w:w="5580" w:type="dxa"/>
            <w:vAlign w:val="bottom"/>
            <w:tcBorders>
              <w:top w:val="single" w:sz="8" w:color="auto"/>
            </w:tcBorders>
            <w:shd w:val="clear" w:color="auto" w:fill="DBDBDB"/>
          </w:tcPr>
          <w:p>
            <w:pPr>
              <w:spacing w:after="0" w:line="236" w:lineRule="exact"/>
              <w:rPr>
                <w:sz w:val="20"/>
                <w:szCs w:val="20"/>
                <w:color w:val="auto"/>
              </w:rPr>
            </w:pPr>
            <w:r>
              <w:rPr>
                <w:rFonts w:ascii="Arial" w:cs="Arial" w:eastAsia="Arial" w:hAnsi="Arial"/>
                <w:sz w:val="22"/>
                <w:szCs w:val="22"/>
                <w:b w:val="1"/>
                <w:bCs w:val="1"/>
                <w:color w:val="auto"/>
              </w:rPr>
              <w:t>Representative Functions of the Governance and</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620" w:type="dxa"/>
            <w:vAlign w:val="bottom"/>
            <w:tcBorders>
              <w:bottom w:val="single" w:sz="8" w:color="auto"/>
              <w:right w:val="single" w:sz="8" w:color="auto"/>
            </w:tcBorders>
            <w:shd w:val="clear" w:color="auto" w:fill="DBDBDB"/>
          </w:tcPr>
          <w:p>
            <w:pPr>
              <w:spacing w:after="0"/>
              <w:rPr>
                <w:sz w:val="24"/>
                <w:szCs w:val="24"/>
                <w:color w:val="auto"/>
              </w:rPr>
            </w:pPr>
          </w:p>
        </w:tc>
        <w:tc>
          <w:tcPr>
            <w:tcW w:w="55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22"/>
                <w:szCs w:val="22"/>
                <w:b w:val="1"/>
                <w:bCs w:val="1"/>
                <w:color w:val="auto"/>
              </w:rPr>
              <w:t>Nominating Committee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James A. Faulconbridge, Chair</w:t>
            </w:r>
          </w:p>
        </w:tc>
        <w:tc>
          <w:tcPr>
            <w:tcW w:w="5580" w:type="dxa"/>
            <w:vAlign w:val="bottom"/>
          </w:tcPr>
          <w:p>
            <w:pPr>
              <w:ind w:left="340"/>
              <w:spacing w:after="0"/>
              <w:rPr>
                <w:sz w:val="20"/>
                <w:szCs w:val="20"/>
                <w:color w:val="auto"/>
              </w:rPr>
            </w:pPr>
            <w:r>
              <w:rPr>
                <w:rFonts w:ascii="Arial" w:cs="Arial" w:eastAsia="Arial" w:hAnsi="Arial"/>
                <w:sz w:val="18"/>
                <w:szCs w:val="18"/>
                <w:color w:val="auto"/>
              </w:rPr>
              <w:t>•   Identify individuals qualified to become directors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recommend nominees to our Board for election at annual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5580" w:type="dxa"/>
            <w:vAlign w:val="bottom"/>
          </w:tcPr>
          <w:p>
            <w:pPr>
              <w:ind w:left="660"/>
              <w:spacing w:after="0"/>
              <w:rPr>
                <w:sz w:val="20"/>
                <w:szCs w:val="20"/>
                <w:color w:val="auto"/>
              </w:rPr>
            </w:pPr>
            <w:r>
              <w:rPr>
                <w:rFonts w:ascii="Arial" w:cs="Arial" w:eastAsia="Arial" w:hAnsi="Arial"/>
                <w:sz w:val="18"/>
                <w:szCs w:val="18"/>
                <w:color w:val="auto"/>
              </w:rPr>
              <w:t>meetings of shareholders and to fill vacancies.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Jeffrey L. Wright</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Monitor developments in director compensation.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spacing w:after="0"/>
              <w:rPr>
                <w:sz w:val="17"/>
                <w:szCs w:val="17"/>
                <w:color w:val="auto"/>
              </w:rPr>
            </w:pP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Develop and recommend to our Board corporate governance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auto"/>
            </w:tcBorders>
          </w:tcPr>
          <w:p>
            <w:pPr>
              <w:spacing w:after="0"/>
              <w:rPr>
                <w:sz w:val="18"/>
                <w:szCs w:val="18"/>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principles applicable to 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Number of meetings during fiscal 2026: 4</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Review our sustainability and corporate responsibility strategy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5620" w:type="dxa"/>
            <w:vAlign w:val="bottom"/>
            <w:tcBorders>
              <w:right w:val="single" w:sz="8" w:color="auto"/>
            </w:tcBorders>
            <w:vMerge w:val="continue"/>
          </w:tcPr>
          <w:p>
            <w:pPr>
              <w:spacing w:after="0"/>
              <w:rPr>
                <w:sz w:val="9"/>
                <w:szCs w:val="9"/>
                <w:color w:val="auto"/>
              </w:rPr>
            </w:pPr>
          </w:p>
        </w:tc>
        <w:tc>
          <w:tcPr>
            <w:tcW w:w="5580" w:type="dxa"/>
            <w:vAlign w:val="bottom"/>
            <w:vMerge w:val="restart"/>
          </w:tcPr>
          <w:p>
            <w:pPr>
              <w:ind w:left="660"/>
              <w:spacing w:after="0" w:line="202" w:lineRule="exact"/>
              <w:rPr>
                <w:sz w:val="20"/>
                <w:szCs w:val="20"/>
                <w:color w:val="auto"/>
              </w:rPr>
            </w:pPr>
            <w:r>
              <w:rPr>
                <w:rFonts w:ascii="Arial" w:cs="Arial" w:eastAsia="Arial" w:hAnsi="Arial"/>
                <w:sz w:val="18"/>
                <w:szCs w:val="18"/>
                <w:color w:val="auto"/>
              </w:rPr>
              <w:t>and policies.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620" w:type="dxa"/>
            <w:vAlign w:val="bottom"/>
            <w:tcBorders>
              <w:right w:val="single" w:sz="8" w:color="auto"/>
            </w:tcBorders>
          </w:tcPr>
          <w:p>
            <w:pPr>
              <w:spacing w:after="0"/>
              <w:rPr>
                <w:sz w:val="8"/>
                <w:szCs w:val="8"/>
                <w:color w:val="auto"/>
              </w:rPr>
            </w:pPr>
          </w:p>
        </w:tc>
        <w:tc>
          <w:tcPr>
            <w:tcW w:w="5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auto"/>
            </w:tcBorders>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   Oversee public policy matters and compliance with our Code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of Conduct.</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60" w:right="80" w:hanging="328"/>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has determined that all members of the Governance and Nominating Committee are “Independent Directors” as that term is defined under the applicable listing standards of Nasdaq.</w:t>
      </w:r>
    </w:p>
    <w:p>
      <w:pPr>
        <w:spacing w:after="0" w:line="179" w:lineRule="exact"/>
        <w:rPr>
          <w:rFonts w:ascii="Arial" w:cs="Arial" w:eastAsia="Arial" w:hAnsi="Arial"/>
          <w:sz w:val="18"/>
          <w:szCs w:val="18"/>
          <w:color w:val="auto"/>
        </w:rPr>
      </w:pPr>
    </w:p>
    <w:p>
      <w:pPr>
        <w:jc w:val="both"/>
        <w:ind w:left="660" w:right="40" w:hanging="328"/>
        <w:spacing w:after="0" w:line="268"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197" w:lineRule="exact"/>
        <w:rPr>
          <w:rFonts w:ascii="Arial" w:cs="Arial" w:eastAsia="Arial" w:hAnsi="Arial"/>
          <w:sz w:val="18"/>
          <w:szCs w:val="18"/>
          <w:color w:val="auto"/>
        </w:rPr>
      </w:pPr>
    </w:p>
    <w:p>
      <w:pPr>
        <w:ind w:left="660" w:right="540" w:hanging="328"/>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Nominating Process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Governance and Nominating Committee considers candidates for our Board in accordance with our By-Laws, Governance and Nominating Committee Charter and Principles of Corporate Governance, a copy of which is available at our website (www.hawkinsinc.com). Any shareholder seeking to make a director nomination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Governance and Nominating Committee will evaluate candidates (nominated by shareholders or otherwise) in accordance with the criteria set forth in our By-Laws, Governance and Nominating Committee Charter and Principles of Corporate Governance. Under our Principles of Corporate Governance, we maintain minimum qualifications that the Board, as a group, must meet, including governance, business and professional experience, industry awareness and knowledge and stakeholder awareness. Each director must also have high standards of personal ethics and a commitment to the mission and integrity of the company and be willing and able to devote the necessary time and energy to fulfilling the Board’s responsibility of oversight of the company and its management. In evaluating individual candidates, the Governance and Nominating Committee will consider financial literacy, knowledge of our industry or other background relevant to our needs, status as a stakeholder in our company, “independence” for purposes of compliance with Internal Revenue Service and SEC rules and Nasdaq listing standards, and willingness, ability and availability for service. The Governance and Nominating Committee may engage an outside search firm to assist in identifying and screening new director candidates and coordinating the selection process.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is primarily responsible for monitoring management’s responsibility in the area of financial risk oversight, and financial risk management is a factor the Board and its Governance and Nominating Committee consider when determining which directors serve on the Audit Committee. Accordingly, management reported to the Board and its Audit Committee on various risk management matters during fiscal 2026. The Audit Committee, in turn, reports on the matters discussed at the committee level to the full Board. The Audit Committee and the Board focus on the material risks facing the company, including operational, market, liquidity, legal, cybersecurity and regulatory risks, to assess whether management has reasonable controls in place to address these risks. The Board believes this allocation of responsibility provides an effective and efficient approach for addressing risk management.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Board believes that it is in the best interests of our company and its shareholders to maintain a culture that emphasizes integrity and accountability and that reinforces our pay-for-performance compensation philosophy. Accordingly, we adopted a clawback policy in compliance with Rule 10D-1 of the Exchange Act, the SEC regulations promulgated thereunder, and the Nasdaq rules. Under the policy, our company is required to recover from covered executive officers on a reasonably prompt basis the amount of any erroneously awarded incentive-based compensation resulting from an accounting restatement due to the material noncompliance of our company with any financial reporting requirement under the securities laws. The policy applies to incentive-based compensation received by covered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Insider Trading Policy</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adopted an insider trading policy that governs the purchase, sale, and other dispositions and transactions in our securities by our directors, officers and employees. We believe this policy is reasonably designed to promote compliance with insider trading laws, rules, and regulations, as well as applicable listing standards. The policy prohibits buying or selling the company’s common shares while aware of material non-public information about the company and from disclosing (i.e., “tipping”) such information to others. The text of our insider trading policy is filed as an exhibit in our most recent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Hedging Prohibitions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of our directors, officers, other employees and their designees are prohibited from (i) purchasing financial instruments (including prepaid variable forward contracts, equity swaps, collars and exchange funds) that hedge or offset, or are designed to hedge or offset, any decrease in the market value of our equity securities and (ii) otherwise engaging in transactions that hedge or offset, or are designed to hedge of offset, any decrease in the market value of our equity securities. Notwithstanding the foregoing, portfolio diversification transactions and investments in broad-based index funds is generally permitted. The prohibition applies to securities granted to the covered persons as part of compensation for their service to the company plus any other of our securities held by them, whether directly or indirectly.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Prohibited Transactions</w:t>
      </w:r>
    </w:p>
    <w:p>
      <w:pPr>
        <w:spacing w:after="0" w:line="12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Our policies also prohibit executive officers and directors from holding company securities in a margin account or otherwise pledging company securities as collateral for a loan.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Practices Related to the Grant of Certain Equity Awards</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do not have any formal policy that requires us to grant, or avoid granting, equity awards to our executive officers at certain times.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the grant of stock options, if any, would occur independently of the release of any material, non-public information, and we do not time the disclosure of material non-public information for the purpose of affecting the value of exercise price of such stock options. In recent years, we have not granted any options to purchase our equity securities.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Directors</w:t>
      </w:r>
    </w:p>
    <w:p>
      <w:pPr>
        <w:spacing w:after="0" w:line="1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Shareholders can contact the full Board,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4" w:right="399" w:bottom="1440" w:gutter="0" w:footer="0" w:header="0"/>
        </w:sectPr>
      </w:pPr>
    </w:p>
    <w:bookmarkStart w:id="12" w:name="page13"/>
    <w:bookmarkEnd w:id="12"/>
    <w:p>
      <w:pPr>
        <w:ind w:right="860"/>
        <w:spacing w:after="0" w:line="298" w:lineRule="auto"/>
        <w:rPr>
          <w:sz w:val="20"/>
          <w:szCs w:val="20"/>
          <w:color w:val="auto"/>
        </w:rPr>
      </w:pPr>
      <w:r>
        <w:rPr>
          <w:rFonts w:ascii="Arial" w:cs="Arial" w:eastAsia="Arial" w:hAnsi="Arial"/>
          <w:sz w:val="25"/>
          <w:szCs w:val="25"/>
          <w:b w:val="1"/>
          <w:bCs w:val="1"/>
          <w:color w:val="auto"/>
        </w:rPr>
        <w:t>PROPOSAL TWO - RATIFICATION OF APPOINTMENT OF INDEPENDENT REGISTERED PUBLIC ACCOUNTING FIRM</w:t>
      </w:r>
    </w:p>
    <w:p>
      <w:pPr>
        <w:spacing w:after="0" w:line="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Audit Committee of the Board has appointed Deloitte &amp; Touche LLP ("Deloitte") as our independent registered public accounting firm for the fiscal year ending March 28, 2027. Although the ratification of the appointment of an independent registered public accounting firm is not required to be submitted to a vote of shareholders, our Board has decided, as a good governance practice, to ask our shareholders to ratify this appointment. If our shareholders do not ratify the appointment of Deloitte, the Audit Committee will consider the shareholder vote in the course of selecting an independent registered public accounting firm for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OUR BOARD RECOMMENDS THAT THIS APPOINTMENT BE RATIFIED.</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(i) reviewed and discussed our audited financial statements for fiscal 2026 with both our management and Deloitte;</w:t>
      </w:r>
    </w:p>
    <w:p>
      <w:pPr>
        <w:spacing w:after="0" w:line="27" w:lineRule="exact"/>
        <w:rPr>
          <w:sz w:val="20"/>
          <w:szCs w:val="20"/>
          <w:color w:val="auto"/>
        </w:rPr>
      </w:pPr>
    </w:p>
    <w:p>
      <w:pPr>
        <w:ind w:right="60" w:firstLine="8"/>
        <w:spacing w:after="0" w:line="254"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and the SEC; (iii) received from Deloitte the written disclosures and the letter required by applicable requirements of the Public Company Accounting Oversight Board regarding the independent accountant’s communications with the Audit Committee concerning independence and discussed with Deloitte its independence; and (iv) considered whether the non-audit services provided by Deloitte are compatible with maintaining the independence of Deloitte.</w:t>
      </w:r>
    </w:p>
    <w:p>
      <w:pPr>
        <w:spacing w:after="0" w:line="210"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Based on the review and discussions described above, the Audit Committee recommended to our Board that our audited financial statements be included in our Annual Report on Form 10-K for fiscal 2026 for filing with the SEC.</w:t>
      </w:r>
    </w:p>
    <w:p>
      <w:pPr>
        <w:spacing w:after="0" w:line="20" w:lineRule="exact"/>
        <w:rPr>
          <w:sz w:val="20"/>
          <w:szCs w:val="20"/>
          <w:color w:val="auto"/>
        </w:rPr>
      </w:pPr>
    </w:p>
    <w:p>
      <w:pPr>
        <w:ind w:left="1500"/>
        <w:spacing w:after="0"/>
        <w:tabs>
          <w:tab w:leader="none" w:pos="3840" w:val="left"/>
          <w:tab w:leader="none" w:pos="628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8"/>
          <w:szCs w:val="18"/>
          <w:i w:val="1"/>
          <w:iCs w:val="1"/>
          <w:color w:val="auto"/>
        </w:rPr>
        <w:t>Mary J. Schumacher Jeffrey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-8890</wp:posOffset>
            </wp:positionV>
            <wp:extent cx="52260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26050" cy="8890"/>
                    </a:xfrm>
                    <a:prstGeom prst="rect">
                      <a:avLst/>
                    </a:prstGeom>
                    <a:noFill/>
                  </pic:spPr>
                </pic:pic>
              </a:graphicData>
            </a:graphic>
          </wp:anchor>
        </w:drawing>
      </w:r>
    </w:p>
    <w:p>
      <w:pPr>
        <w:spacing w:after="0" w:line="84"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INDEPENDENT REGISTERED PUBLIC ACCOUNTING FIRM</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disclosed previously, our Audit Committee dismissed Grant Thornton, LLP ("Grant Thornton") as our independent registered public accounting firm effective May 14, 2025. Neither of Grant Thornton's reports on our financial statements for the fiscal year ended March 30, 2025 ("fiscal 2025") and the fiscal year ended March 31, 2024 ("fiscal 2024") contained an adverse opinion or disclaimer of opinion, or was qualified or modified as to uncertainty, audit scope, or accounting principles. During fiscal years 2025 and 2024 and through May 14, 2025, there were no disagreements with Grant Thornton on any matter of accounting principles or practices, financial statement disclosure, or auditing scope or procedure which, if not resolved to Grant Thornton's satisfaction, would have caused Grant Thornton to make reference to the subject matter in connection with its reports on our financial statements for such periods.</w:t>
      </w:r>
    </w:p>
    <w:p>
      <w:pPr>
        <w:spacing w:after="0" w:line="21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On May 14, 2025, our Audit Committee approved the engagement of Deloitte as our independent registered public accounting firm for fiscal 2026. During fiscal years 2025 and 2024 and through May 14, 2025, we had not consulted with Deloitte with respect to any of the matters or reportable events set forth in Item 304(a)(2)(i) or (ii) of Regulation S-K.</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10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following table shows the aggregate fees charged to us by Deloitte for services rendered for fiscal 2026 and to Grant Thornton for services rendered for fiscal 2025. The Audit Committee pre-approved 100% of the services described below.</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0" w:type="dxa"/>
            <w:vAlign w:val="bottom"/>
            <w:tcBorders>
              <w:top w:val="single" w:sz="8" w:color="auto"/>
              <w:left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5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320"/>
              <w:spacing w:after="0" w:line="197" w:lineRule="exact"/>
              <w:rPr>
                <w:sz w:val="20"/>
                <w:szCs w:val="20"/>
                <w:color w:val="auto"/>
              </w:rPr>
            </w:pPr>
            <w:r>
              <w:rPr>
                <w:rFonts w:ascii="Arial" w:cs="Arial" w:eastAsia="Arial" w:hAnsi="Arial"/>
                <w:sz w:val="18"/>
                <w:szCs w:val="18"/>
                <w:b w:val="1"/>
                <w:bCs w:val="1"/>
                <w:color w:val="auto"/>
                <w:w w:val="99"/>
              </w:rPr>
              <w:t>Deloitte</w:t>
            </w: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jc w:val="center"/>
              <w:ind w:right="50"/>
              <w:spacing w:after="0" w:line="197" w:lineRule="exact"/>
              <w:rPr>
                <w:sz w:val="20"/>
                <w:szCs w:val="20"/>
                <w:color w:val="auto"/>
              </w:rPr>
            </w:pPr>
            <w:r>
              <w:rPr>
                <w:rFonts w:ascii="Arial" w:cs="Arial" w:eastAsia="Arial" w:hAnsi="Arial"/>
                <w:sz w:val="18"/>
                <w:szCs w:val="18"/>
                <w:b w:val="1"/>
                <w:bCs w:val="1"/>
                <w:color w:val="auto"/>
                <w:w w:val="99"/>
              </w:rPr>
              <w:t>Grant Thornton</w:t>
            </w:r>
          </w:p>
        </w:tc>
        <w:tc>
          <w:tcPr>
            <w:tcW w:w="0" w:type="dxa"/>
            <w:vAlign w:val="bottom"/>
          </w:tcPr>
          <w:p>
            <w:pPr>
              <w:spacing w:after="0"/>
              <w:rPr>
                <w:sz w:val="1"/>
                <w:szCs w:val="1"/>
                <w:color w:val="auto"/>
              </w:rPr>
            </w:pPr>
          </w:p>
        </w:tc>
      </w:tr>
      <w:tr>
        <w:trPr>
          <w:trHeight w:val="181"/>
        </w:trPr>
        <w:tc>
          <w:tcPr>
            <w:tcW w:w="75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Description of Fees</w:t>
            </w:r>
          </w:p>
        </w:tc>
        <w:tc>
          <w:tcPr>
            <w:tcW w:w="220" w:type="dxa"/>
            <w:vAlign w:val="bottom"/>
          </w:tcPr>
          <w:p>
            <w:pPr>
              <w:spacing w:after="0"/>
              <w:rPr>
                <w:sz w:val="15"/>
                <w:szCs w:val="15"/>
                <w:color w:val="auto"/>
              </w:rPr>
            </w:pPr>
          </w:p>
        </w:tc>
        <w:tc>
          <w:tcPr>
            <w:tcW w:w="154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Fiscal 2026</w:t>
            </w:r>
          </w:p>
        </w:tc>
        <w:tc>
          <w:tcPr>
            <w:tcW w:w="140" w:type="dxa"/>
            <w:vAlign w:val="bottom"/>
          </w:tcPr>
          <w:p>
            <w:pPr>
              <w:spacing w:after="0"/>
              <w:rPr>
                <w:sz w:val="15"/>
                <w:szCs w:val="15"/>
                <w:color w:val="auto"/>
              </w:rPr>
            </w:pPr>
          </w:p>
        </w:tc>
        <w:tc>
          <w:tcPr>
            <w:tcW w:w="1540" w:type="dxa"/>
            <w:vAlign w:val="bottom"/>
            <w:tcBorders>
              <w:right w:val="single" w:sz="8" w:color="auto"/>
            </w:tcBorders>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Fiscal 2025</w:t>
            </w:r>
          </w:p>
        </w:tc>
        <w:tc>
          <w:tcPr>
            <w:tcW w:w="0" w:type="dxa"/>
            <w:vAlign w:val="bottom"/>
          </w:tcPr>
          <w:p>
            <w:pPr>
              <w:spacing w:after="0"/>
              <w:rPr>
                <w:sz w:val="1"/>
                <w:szCs w:val="1"/>
                <w:color w:val="auto"/>
              </w:rPr>
            </w:pPr>
          </w:p>
        </w:tc>
      </w:tr>
      <w:tr>
        <w:trPr>
          <w:trHeight w:val="189"/>
        </w:trPr>
        <w:tc>
          <w:tcPr>
            <w:tcW w:w="7560" w:type="dxa"/>
            <w:vAlign w:val="bottom"/>
            <w:tcBorders>
              <w:left w:val="single" w:sz="8" w:color="auto"/>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6"/>
                <w:szCs w:val="16"/>
                <w:color w:val="auto"/>
              </w:rPr>
            </w:pPr>
          </w:p>
        </w:tc>
        <w:tc>
          <w:tcPr>
            <w:tcW w:w="1540" w:type="dxa"/>
            <w:vAlign w:val="bottom"/>
            <w:tcBorders>
              <w:right w:val="single" w:sz="8" w:color="auto"/>
            </w:tcBorders>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B3B3B3"/>
            </w:tcBorders>
          </w:tcPr>
          <w:p>
            <w:pPr>
              <w:spacing w:after="0" w:line="20" w:lineRule="exact"/>
              <w:rPr>
                <w:sz w:val="1"/>
                <w:szCs w:val="1"/>
                <w:color w:val="auto"/>
              </w:rPr>
            </w:pPr>
          </w:p>
        </w:tc>
        <w:tc>
          <w:tcPr>
            <w:tcW w:w="1660" w:type="dxa"/>
            <w:vAlign w:val="bottom"/>
            <w:tcBorders>
              <w:top w:val="single" w:sz="8" w:color="auto"/>
              <w:bottom w:val="single" w:sz="8" w:color="B3B3B3"/>
            </w:tcBorders>
          </w:tcPr>
          <w:p>
            <w:pPr>
              <w:spacing w:after="0" w:line="20" w:lineRule="exact"/>
              <w:rPr>
                <w:sz w:val="1"/>
                <w:szCs w:val="1"/>
                <w:color w:val="auto"/>
              </w:rPr>
            </w:pPr>
          </w:p>
        </w:tc>
        <w:tc>
          <w:tcPr>
            <w:tcW w:w="5860" w:type="dxa"/>
            <w:vAlign w:val="bottom"/>
            <w:tcBorders>
              <w:bottom w:val="single" w:sz="8" w:color="B3B3B3"/>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3B3B3"/>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56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Audit fees</w:t>
            </w:r>
          </w:p>
        </w:tc>
        <w:tc>
          <w:tcPr>
            <w:tcW w:w="220" w:type="dxa"/>
            <w:vAlign w:val="bottom"/>
            <w:shd w:val="clear" w:color="auto" w:fill="B3B3B3"/>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796,315</w:t>
            </w:r>
          </w:p>
        </w:tc>
        <w:tc>
          <w:tcPr>
            <w:tcW w:w="100" w:type="dxa"/>
            <w:vAlign w:val="bottom"/>
            <w:shd w:val="clear" w:color="auto" w:fill="B3B3B3"/>
          </w:tcPr>
          <w:p>
            <w:pPr>
              <w:spacing w:after="0"/>
              <w:rPr>
                <w:sz w:val="19"/>
                <w:szCs w:val="19"/>
                <w:color w:val="auto"/>
              </w:rPr>
            </w:pP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643,000</w:t>
            </w:r>
          </w:p>
        </w:tc>
        <w:tc>
          <w:tcPr>
            <w:tcW w:w="0" w:type="dxa"/>
            <w:vAlign w:val="bottom"/>
          </w:tcPr>
          <w:p>
            <w:pPr>
              <w:spacing w:after="0"/>
              <w:rPr>
                <w:sz w:val="1"/>
                <w:szCs w:val="1"/>
                <w:color w:val="auto"/>
              </w:rPr>
            </w:pPr>
          </w:p>
        </w:tc>
      </w:tr>
      <w:tr>
        <w:trPr>
          <w:trHeight w:val="229"/>
        </w:trPr>
        <w:tc>
          <w:tcPr>
            <w:tcW w:w="756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B3B3B3"/>
          </w:tcPr>
          <w:p>
            <w:pPr>
              <w:spacing w:after="0"/>
              <w:rPr>
                <w:sz w:val="19"/>
                <w:szCs w:val="19"/>
                <w:color w:val="auto"/>
              </w:rPr>
            </w:pPr>
          </w:p>
        </w:tc>
        <w:tc>
          <w:tcPr>
            <w:tcW w:w="154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3B3B3"/>
          </w:tcPr>
          <w:p>
            <w:pPr>
              <w:spacing w:after="0"/>
              <w:rPr>
                <w:sz w:val="19"/>
                <w:szCs w:val="19"/>
                <w:color w:val="auto"/>
              </w:rPr>
            </w:pPr>
          </w:p>
        </w:tc>
        <w:tc>
          <w:tcPr>
            <w:tcW w:w="154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Borders>
              <w:left w:val="single" w:sz="8" w:color="auto"/>
              <w:bottom w:val="single" w:sz="8" w:color="B3B3B3"/>
            </w:tcBorders>
            <w:gridSpan w:val="3"/>
          </w:tcPr>
          <w:p>
            <w:pPr>
              <w:ind w:left="40"/>
              <w:spacing w:after="0" w:line="23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219,800</w:t>
            </w:r>
          </w:p>
        </w:tc>
        <w:tc>
          <w:tcPr>
            <w:tcW w:w="100" w:type="dxa"/>
            <w:vAlign w:val="bottom"/>
            <w:tcBorders>
              <w:bottom w:val="single" w:sz="8" w:color="B3B3B3"/>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63,700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shd w:val="clear" w:color="auto" w:fill="B3B3B3"/>
          </w:tcPr>
          <w:p>
            <w:pPr>
              <w:spacing w:after="0"/>
              <w:rPr>
                <w:sz w:val="19"/>
                <w:szCs w:val="19"/>
                <w:color w:val="auto"/>
              </w:rPr>
            </w:pPr>
          </w:p>
        </w:tc>
        <w:tc>
          <w:tcPr>
            <w:tcW w:w="7520" w:type="dxa"/>
            <w:vAlign w:val="bottom"/>
            <w:tcBorders>
              <w:bottom w:val="single" w:sz="8" w:color="auto"/>
            </w:tcBorders>
            <w:gridSpan w:val="2"/>
            <w:shd w:val="clear" w:color="auto" w:fill="B3B3B3"/>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1,016,115</w:t>
            </w:r>
          </w:p>
        </w:tc>
        <w:tc>
          <w:tcPr>
            <w:tcW w:w="100" w:type="dxa"/>
            <w:vAlign w:val="bottom"/>
            <w:tcBorders>
              <w:bottom w:val="single" w:sz="8" w:color="auto"/>
            </w:tcBorders>
            <w:shd w:val="clear" w:color="auto" w:fill="B3B3B3"/>
          </w:tcPr>
          <w:p>
            <w:pPr>
              <w:spacing w:after="0"/>
              <w:rPr>
                <w:sz w:val="19"/>
                <w:szCs w:val="19"/>
                <w:color w:val="auto"/>
              </w:rPr>
            </w:pPr>
          </w:p>
        </w:tc>
        <w:tc>
          <w:tcPr>
            <w:tcW w:w="1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706,700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 - These fees relate to due diligence performed on acquisitions in fiscal 2026 and audits of employee benefit plans for fiscal 2025.</w:t>
      </w:r>
    </w:p>
    <w:p>
      <w:pPr>
        <w:sectPr>
          <w:pgSz w:w="11900" w:h="16838" w:orient="portrait"/>
          <w:cols w:equalWidth="0" w:num="1">
            <w:col w:w="11220"/>
          </w:cols>
          <w:pgMar w:left="320" w:top="8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type w:val="continuous"/>
        </w:sectPr>
      </w:pPr>
    </w:p>
    <w:bookmarkStart w:id="13" w:name="page14"/>
    <w:bookmarkEnd w:id="13"/>
    <w:p>
      <w:pPr>
        <w:ind w:right="40"/>
        <w:spacing w:after="0" w:line="257" w:lineRule="auto"/>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Representatives of Deloitte are expected to attend the Annual Meeting and will have the opportunity to make a statement if they desire to do so. They are expected to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auto"/>
        </w:rPr>
        <w:t>COMPENSATION OF EXECUTIVE OFFICERS AND DIRECTORS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2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2026:</w:t>
      </w:r>
    </w:p>
    <w:p>
      <w:pPr>
        <w:spacing w:after="0" w:line="18" w:lineRule="exact"/>
        <w:rPr>
          <w:sz w:val="20"/>
          <w:szCs w:val="20"/>
          <w:color w:val="auto"/>
        </w:rPr>
      </w:pPr>
    </w:p>
    <w:p>
      <w:pPr>
        <w:ind w:left="700" w:hanging="2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Jeffrey P. Oldenkamp, Executive Vice President, Chief Financial Officer and Treasurer;</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Drew M. Grahek, Vice President - Operations;</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Douglas A. Lange, Vice President - Water Treatment;</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David J. Mangine, Vice President - Industrial Solutions; and,</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Richard G. Erstad, Former Vice President, General Counsel ("GC") and Secretary.</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program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 interests of our shareholders. During fiscal 2026, the compensation committee did not make any significant changes to its executive compensation policies or to the structure of our executive compensation program, having taken into account, among other things, the fact that the holders of 96% of the shares voted at our last annual meeting of shareholders approved, on an advisory basis, the compensation of our named executive officers as disclosed in the proxy statement for that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143500" cy="1714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Measures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all named executive officers except for Mr. Lange and Mr. Mangine, the sole performance measure for fiscal 2026 for purposes of both the non-equity and equity-based incentive arrangements was income before income taxes. In determining actual performance for fiscal 2026, the Committee adjusted income before income taxes as reported in our 10-K to account for expenses related to unbudgeted acquisitions and other items, including unanticipated legal expenses, and to eliminate the unexpected benefit from the reduction of the Water Solutions earnout liability. The net effect of the adjustments was to increase actual performance by approximately $9.6 million, or 8.8%. Based on the foregoing, actual performance was determined to be below the target performance level but above the minimum performance level, and our named executive officers received payouts of 98% of the targeted payout level under the corporate performance measure of our annual non-equity incentive compensation arrangement. Based on the same metric, all named executive officers earned 98% of the targeted number of shares of restricted stock issuable in settlement of the performance-based restricted stock units granted for fiscal 2026,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8"/>
          <w:szCs w:val="18"/>
          <w:color w:val="auto"/>
        </w:rPr>
        <w:t>For Mr. Lange, our Vice President - Water Treatment and Mr. Mangine, our Vice President - Industrial Solutions, 50% of their incentive arrangement was the same measure of income before income taxes. Because they are in charge of a segment, the Compensation Committee utilized an operational measure of business unit profitability, which includes operating income as a component of that profitability measure, as the performance measure for the 50% business unit performance portion of the non-equity incentive compensation arrangement for each of Mr. Lange and Mr. Mangine. The operational performance measure of business unit profitability for our Water Treatment segment was $68.1 million for fiscal 2026. The actual performance against that operating performance measure was above the target performance level but below the maximum performance level for the Water Treatment segment, and as a result Mr. Lange received a payout equal to</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119% of target under the business unit performance measure of our annual non-equity incentive compensation arrangement. The operational performance measure of business unit profitability for our Industrial Solutions segment was $19.3 million for fiscal 2026. The actual performance against that operating performance measure was above the target performance level but below the maximum performance level for the Industrial Solutions segment, and as a result Mr. Mangine received a payout equal to 119% of target under the business unit performance measure of our annual non-equity incentive compensation arrangement.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w:t>
      </w:r>
      <w:r>
        <w:rPr>
          <w:rFonts w:ascii="Arial" w:cs="Arial" w:eastAsia="Arial" w:hAnsi="Arial"/>
          <w:sz w:val="19"/>
          <w:szCs w:val="19"/>
          <w:i w:val="1"/>
          <w:iCs w:val="1"/>
          <w:color w:val="auto"/>
        </w:rPr>
        <w:t>Performance Goals for Annual Non-Equity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2271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2271395"/>
                    </a:xfrm>
                    <a:prstGeom prst="rect">
                      <a:avLst/>
                    </a:prstGeom>
                    <a:noFill/>
                  </pic:spPr>
                </pic:pic>
              </a:graphicData>
            </a:graphic>
          </wp:anchor>
        </w:drawing>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Fiscal 2026 Performance-Based Compensation Goals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Target</w:t>
            </w: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0" w:type="dxa"/>
            <w:vAlign w:val="bottom"/>
          </w:tcPr>
          <w:p>
            <w:pPr>
              <w:spacing w:after="0" w:line="20" w:lineRule="exact"/>
              <w:rPr>
                <w:sz w:val="1"/>
                <w:szCs w:val="1"/>
                <w:color w:val="auto"/>
              </w:rPr>
            </w:pPr>
          </w:p>
        </w:tc>
      </w:tr>
      <w:tr>
        <w:trPr>
          <w:trHeight w:val="243"/>
        </w:trPr>
        <w:tc>
          <w:tcPr>
            <w:tcW w:w="2160" w:type="dxa"/>
            <w:vAlign w:val="bottom"/>
            <w:shd w:val="clear" w:color="auto" w:fill="000000"/>
          </w:tcPr>
          <w:p>
            <w:pPr>
              <w:spacing w:after="0"/>
              <w:rPr>
                <w:sz w:val="21"/>
                <w:szCs w:val="21"/>
                <w:color w:val="auto"/>
              </w:rPr>
            </w:pPr>
          </w:p>
        </w:tc>
        <w:tc>
          <w:tcPr>
            <w:tcW w:w="2180" w:type="dxa"/>
            <w:vAlign w:val="bottom"/>
            <w:tcBorders>
              <w:right w:val="single" w:sz="8" w:color="auto"/>
            </w:tcBorders>
            <w:shd w:val="clear" w:color="auto" w:fill="000000"/>
          </w:tcPr>
          <w:p>
            <w:pPr>
              <w:spacing w:after="0"/>
              <w:rPr>
                <w:sz w:val="21"/>
                <w:szCs w:val="21"/>
                <w:color w:val="auto"/>
              </w:rPr>
            </w:pPr>
          </w:p>
        </w:tc>
        <w:tc>
          <w:tcPr>
            <w:tcW w:w="1880" w:type="dxa"/>
            <w:vAlign w:val="bottom"/>
            <w:tcBorders>
              <w:right w:val="single" w:sz="8" w:color="auto"/>
            </w:tcBorders>
            <w:vMerge w:val="continue"/>
            <w:shd w:val="clear" w:color="auto" w:fill="000000"/>
          </w:tcPr>
          <w:p>
            <w:pPr>
              <w:spacing w:after="0"/>
              <w:rPr>
                <w:sz w:val="21"/>
                <w:szCs w:val="21"/>
                <w:color w:val="auto"/>
              </w:rPr>
            </w:pPr>
          </w:p>
        </w:tc>
        <w:tc>
          <w:tcPr>
            <w:tcW w:w="180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continue"/>
            <w:shd w:val="clear" w:color="auto" w:fill="000000"/>
          </w:tcPr>
          <w:p>
            <w:pPr>
              <w:spacing w:after="0"/>
              <w:rPr>
                <w:sz w:val="21"/>
                <w:szCs w:val="21"/>
                <w:color w:val="auto"/>
              </w:rPr>
            </w:pPr>
          </w:p>
        </w:tc>
        <w:tc>
          <w:tcPr>
            <w:tcW w:w="1500" w:type="dxa"/>
            <w:vAlign w:val="bottom"/>
            <w:vMerge w:val="continue"/>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Actual</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Targeted Non-</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 Shares</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40" w:type="dxa"/>
            <w:vAlign w:val="bottom"/>
            <w:tcBorders>
              <w:right w:val="single" w:sz="8" w:color="auto"/>
            </w:tcBorders>
            <w:gridSpan w:val="2"/>
            <w:vMerge w:val="restart"/>
            <w:shd w:val="clear" w:color="auto" w:fill="000000"/>
          </w:tcPr>
          <w:p>
            <w:pPr>
              <w:ind w:left="1040"/>
              <w:spacing w:after="0"/>
              <w:rPr>
                <w:sz w:val="20"/>
                <w:szCs w:val="20"/>
                <w:color w:val="auto"/>
              </w:rPr>
            </w:pPr>
            <w:r>
              <w:rPr>
                <w:rFonts w:ascii="Arial" w:cs="Arial" w:eastAsia="Arial" w:hAnsi="Arial"/>
                <w:sz w:val="22"/>
                <w:szCs w:val="22"/>
                <w:b w:val="1"/>
                <w:bCs w:val="1"/>
                <w:color w:val="FFFFFF"/>
              </w:rPr>
              <w:t>Performance Measure</w:t>
            </w: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Equity</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0" w:type="dxa"/>
            <w:vAlign w:val="bottom"/>
          </w:tcPr>
          <w:p>
            <w:pPr>
              <w:spacing w:after="0"/>
              <w:rPr>
                <w:sz w:val="1"/>
                <w:szCs w:val="1"/>
                <w:color w:val="auto"/>
              </w:rPr>
            </w:pPr>
          </w:p>
        </w:tc>
      </w:tr>
      <w:tr>
        <w:trPr>
          <w:trHeight w:val="135"/>
        </w:trPr>
        <w:tc>
          <w:tcPr>
            <w:tcW w:w="4340" w:type="dxa"/>
            <w:vAlign w:val="bottom"/>
            <w:tcBorders>
              <w:right w:val="single" w:sz="8" w:color="auto"/>
            </w:tcBorders>
            <w:gridSpan w:val="2"/>
            <w:vMerge w:val="continue"/>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Level</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Incentive</w:t>
            </w:r>
          </w:p>
        </w:tc>
        <w:tc>
          <w:tcPr>
            <w:tcW w:w="15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000000"/>
          </w:tcPr>
          <w:p>
            <w:pPr>
              <w:spacing w:after="0"/>
              <w:rPr>
                <w:sz w:val="14"/>
                <w:szCs w:val="14"/>
                <w:color w:val="auto"/>
              </w:rPr>
            </w:pPr>
          </w:p>
        </w:tc>
        <w:tc>
          <w:tcPr>
            <w:tcW w:w="2180" w:type="dxa"/>
            <w:vAlign w:val="bottom"/>
            <w:tcBorders>
              <w:right w:val="single" w:sz="8" w:color="auto"/>
            </w:tcBorders>
            <w:shd w:val="clear" w:color="auto" w:fill="000000"/>
          </w:tcPr>
          <w:p>
            <w:pPr>
              <w:spacing w:after="0"/>
              <w:rPr>
                <w:sz w:val="14"/>
                <w:szCs w:val="14"/>
                <w:color w:val="auto"/>
              </w:rPr>
            </w:pPr>
          </w:p>
        </w:tc>
        <w:tc>
          <w:tcPr>
            <w:tcW w:w="1880" w:type="dxa"/>
            <w:vAlign w:val="bottom"/>
            <w:tcBorders>
              <w:right w:val="single" w:sz="8" w:color="auto"/>
            </w:tcBorders>
            <w:vMerge w:val="continue"/>
            <w:shd w:val="clear" w:color="auto" w:fill="000000"/>
          </w:tcPr>
          <w:p>
            <w:pPr>
              <w:spacing w:after="0"/>
              <w:rPr>
                <w:sz w:val="14"/>
                <w:szCs w:val="14"/>
                <w:color w:val="auto"/>
              </w:rPr>
            </w:pPr>
          </w:p>
        </w:tc>
        <w:tc>
          <w:tcPr>
            <w:tcW w:w="1800" w:type="dxa"/>
            <w:vAlign w:val="bottom"/>
            <w:tcBorders>
              <w:right w:val="single" w:sz="8" w:color="auto"/>
            </w:tcBorders>
            <w:shd w:val="clear" w:color="auto" w:fill="000000"/>
          </w:tcPr>
          <w:p>
            <w:pPr>
              <w:spacing w:after="0"/>
              <w:rPr>
                <w:sz w:val="14"/>
                <w:szCs w:val="14"/>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15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Borders>
              <w:bottom w:val="single" w:sz="8" w:color="auto"/>
            </w:tcBorders>
            <w:shd w:val="clear" w:color="auto" w:fill="000000"/>
          </w:tcPr>
          <w:p>
            <w:pPr>
              <w:spacing w:after="0"/>
              <w:rPr>
                <w:sz w:val="12"/>
                <w:szCs w:val="12"/>
                <w:color w:val="auto"/>
              </w:rPr>
            </w:pPr>
          </w:p>
        </w:tc>
        <w:tc>
          <w:tcPr>
            <w:tcW w:w="2180" w:type="dxa"/>
            <w:vAlign w:val="bottom"/>
            <w:tcBorders>
              <w:bottom w:val="single" w:sz="8" w:color="auto"/>
              <w:right w:val="single" w:sz="8" w:color="auto"/>
            </w:tcBorders>
            <w:shd w:val="clear" w:color="auto" w:fill="000000"/>
          </w:tcPr>
          <w:p>
            <w:pPr>
              <w:spacing w:after="0"/>
              <w:rPr>
                <w:sz w:val="12"/>
                <w:szCs w:val="12"/>
                <w:color w:val="auto"/>
              </w:rPr>
            </w:pPr>
          </w:p>
        </w:tc>
        <w:tc>
          <w:tcPr>
            <w:tcW w:w="1880" w:type="dxa"/>
            <w:vAlign w:val="bottom"/>
            <w:tcBorders>
              <w:bottom w:val="single" w:sz="8" w:color="auto"/>
              <w:right w:val="single" w:sz="8" w:color="auto"/>
            </w:tcBorders>
            <w:shd w:val="clear" w:color="auto" w:fill="000000"/>
          </w:tcPr>
          <w:p>
            <w:pPr>
              <w:spacing w:after="0"/>
              <w:rPr>
                <w:sz w:val="12"/>
                <w:szCs w:val="12"/>
                <w:color w:val="auto"/>
              </w:rPr>
            </w:pPr>
          </w:p>
        </w:tc>
        <w:tc>
          <w:tcPr>
            <w:tcW w:w="1800" w:type="dxa"/>
            <w:vAlign w:val="bottom"/>
            <w:tcBorders>
              <w:bottom w:val="single" w:sz="8" w:color="auto"/>
              <w:right w:val="single" w:sz="8" w:color="auto"/>
            </w:tcBorders>
            <w:shd w:val="clear" w:color="auto" w:fill="000000"/>
          </w:tcPr>
          <w:p>
            <w:pPr>
              <w:spacing w:after="0"/>
              <w:rPr>
                <w:sz w:val="12"/>
                <w:szCs w:val="12"/>
                <w:color w:val="auto"/>
              </w:rPr>
            </w:pPr>
          </w:p>
        </w:tc>
        <w:tc>
          <w:tcPr>
            <w:tcW w:w="1660" w:type="dxa"/>
            <w:vAlign w:val="bottom"/>
            <w:tcBorders>
              <w:bottom w:val="single" w:sz="8" w:color="auto"/>
              <w:right w:val="single" w:sz="8" w:color="auto"/>
            </w:tcBorders>
            <w:vMerge w:val="continue"/>
            <w:shd w:val="clear" w:color="auto" w:fill="000000"/>
          </w:tcPr>
          <w:p>
            <w:pPr>
              <w:spacing w:after="0"/>
              <w:rPr>
                <w:sz w:val="12"/>
                <w:szCs w:val="12"/>
                <w:color w:val="auto"/>
              </w:rPr>
            </w:pPr>
          </w:p>
        </w:tc>
        <w:tc>
          <w:tcPr>
            <w:tcW w:w="150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160" w:type="dxa"/>
            <w:vAlign w:val="bottom"/>
            <w:shd w:val="clear" w:color="auto" w:fill="000000"/>
          </w:tcPr>
          <w:p>
            <w:pPr>
              <w:ind w:left="40"/>
              <w:spacing w:after="0"/>
              <w:rPr>
                <w:sz w:val="20"/>
                <w:szCs w:val="20"/>
                <w:color w:val="auto"/>
              </w:rPr>
            </w:pPr>
            <w:r>
              <w:rPr>
                <w:rFonts w:ascii="Arial" w:cs="Arial" w:eastAsia="Arial" w:hAnsi="Arial"/>
                <w:sz w:val="22"/>
                <w:szCs w:val="22"/>
                <w:b w:val="1"/>
                <w:bCs w:val="1"/>
                <w:color w:val="FFFFFF"/>
                <w:w w:val="99"/>
              </w:rPr>
              <w:t>Corporate Objective</w:t>
            </w:r>
          </w:p>
        </w:tc>
        <w:tc>
          <w:tcPr>
            <w:tcW w:w="2180" w:type="dxa"/>
            <w:vAlign w:val="bottom"/>
            <w:tcBorders>
              <w:right w:val="single" w:sz="8" w:color="auto"/>
            </w:tcBorders>
            <w:shd w:val="clear" w:color="auto" w:fill="707070"/>
          </w:tcPr>
          <w:p>
            <w:pPr>
              <w:ind w:left="20"/>
              <w:spacing w:after="0"/>
              <w:rPr>
                <w:sz w:val="20"/>
                <w:szCs w:val="20"/>
                <w:color w:val="auto"/>
              </w:rPr>
            </w:pPr>
            <w:r>
              <w:rPr>
                <w:rFonts w:ascii="Arial" w:cs="Arial" w:eastAsia="Arial" w:hAnsi="Arial"/>
                <w:sz w:val="18"/>
                <w:szCs w:val="18"/>
                <w:color w:val="FFFFFF"/>
              </w:rPr>
              <w:t>Income Before Income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$119,800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$118,968</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98%</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98%</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auto"/>
            </w:tcBorders>
            <w:shd w:val="clear" w:color="auto" w:fill="000000"/>
          </w:tcPr>
          <w:p>
            <w:pPr>
              <w:spacing w:after="0"/>
              <w:rPr>
                <w:sz w:val="16"/>
                <w:szCs w:val="16"/>
                <w:color w:val="auto"/>
              </w:rPr>
            </w:pPr>
          </w:p>
        </w:tc>
        <w:tc>
          <w:tcPr>
            <w:tcW w:w="2180" w:type="dxa"/>
            <w:vAlign w:val="bottom"/>
            <w:tcBorders>
              <w:bottom w:val="single" w:sz="8" w:color="auto"/>
              <w:right w:val="single" w:sz="8" w:color="auto"/>
            </w:tcBorders>
            <w:shd w:val="clear" w:color="auto" w:fill="707070"/>
          </w:tcPr>
          <w:p>
            <w:pPr>
              <w:ind w:left="20"/>
              <w:spacing w:after="0" w:line="189" w:lineRule="exact"/>
              <w:rPr>
                <w:sz w:val="20"/>
                <w:szCs w:val="20"/>
                <w:color w:val="auto"/>
              </w:rPr>
            </w:pPr>
            <w:r>
              <w:rPr>
                <w:rFonts w:ascii="Arial" w:cs="Arial" w:eastAsia="Arial" w:hAnsi="Arial"/>
                <w:sz w:val="18"/>
                <w:szCs w:val="18"/>
                <w:color w:val="FFFFFF"/>
              </w:rPr>
              <w:t>Taxes</w:t>
            </w:r>
          </w:p>
        </w:tc>
        <w:tc>
          <w:tcPr>
            <w:tcW w:w="188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000000"/>
          </w:tcPr>
          <w:p>
            <w:pPr>
              <w:ind w:left="40"/>
              <w:spacing w:after="0"/>
              <w:rPr>
                <w:sz w:val="20"/>
                <w:szCs w:val="20"/>
                <w:color w:val="auto"/>
              </w:rPr>
            </w:pPr>
            <w:r>
              <w:rPr>
                <w:rFonts w:ascii="Arial" w:cs="Arial" w:eastAsia="Arial" w:hAnsi="Arial"/>
                <w:sz w:val="22"/>
                <w:szCs w:val="22"/>
                <w:b w:val="1"/>
                <w:bCs w:val="1"/>
                <w:color w:val="FFFFFF"/>
              </w:rPr>
              <w:t>Business Unit</w:t>
            </w:r>
          </w:p>
        </w:tc>
        <w:tc>
          <w:tcPr>
            <w:tcW w:w="2180" w:type="dxa"/>
            <w:vAlign w:val="bottom"/>
            <w:tcBorders>
              <w:right w:val="single" w:sz="8" w:color="auto"/>
            </w:tcBorders>
            <w:shd w:val="clear" w:color="auto" w:fill="707070"/>
          </w:tcPr>
          <w:p>
            <w:pPr>
              <w:ind w:left="20"/>
              <w:spacing w:after="0"/>
              <w:rPr>
                <w:sz w:val="20"/>
                <w:szCs w:val="20"/>
                <w:color w:val="auto"/>
              </w:rPr>
            </w:pPr>
            <w:r>
              <w:rPr>
                <w:rFonts w:ascii="Arial" w:cs="Arial" w:eastAsia="Arial" w:hAnsi="Arial"/>
                <w:sz w:val="18"/>
                <w:szCs w:val="18"/>
                <w:color w:val="FFFFFF"/>
                <w:w w:val="99"/>
              </w:rPr>
              <w:t>Water Treatment Segment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$65,606</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$68,120</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119%</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130"/>
        </w:trPr>
        <w:tc>
          <w:tcPr>
            <w:tcW w:w="216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Objective</w:t>
            </w:r>
          </w:p>
        </w:tc>
        <w:tc>
          <w:tcPr>
            <w:tcW w:w="2180" w:type="dxa"/>
            <w:vAlign w:val="bottom"/>
            <w:tcBorders>
              <w:right w:val="single" w:sz="8" w:color="auto"/>
            </w:tcBorders>
            <w:shd w:val="clear" w:color="auto" w:fill="707070"/>
          </w:tcPr>
          <w:p>
            <w:pPr>
              <w:ind w:left="20"/>
              <w:spacing w:after="0" w:line="130" w:lineRule="exact"/>
              <w:rPr>
                <w:sz w:val="20"/>
                <w:szCs w:val="20"/>
                <w:color w:val="auto"/>
              </w:rPr>
            </w:pPr>
            <w:r>
              <w:rPr>
                <w:rFonts w:ascii="Arial" w:cs="Arial" w:eastAsia="Arial" w:hAnsi="Arial"/>
                <w:sz w:val="15"/>
                <w:szCs w:val="15"/>
                <w:color w:val="FFFFFF"/>
              </w:rPr>
              <w:t>Operational Performance</w:t>
            </w:r>
          </w:p>
        </w:tc>
        <w:tc>
          <w:tcPr>
            <w:tcW w:w="188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60" w:type="dxa"/>
            <w:vAlign w:val="bottom"/>
            <w:tcBorders>
              <w:bottom w:val="single" w:sz="8" w:color="auto"/>
            </w:tcBorders>
            <w:vMerge w:val="continue"/>
            <w:shd w:val="clear" w:color="auto" w:fill="000000"/>
          </w:tcPr>
          <w:p>
            <w:pPr>
              <w:spacing w:after="0"/>
              <w:rPr>
                <w:sz w:val="22"/>
                <w:szCs w:val="22"/>
                <w:color w:val="auto"/>
              </w:rPr>
            </w:pPr>
          </w:p>
        </w:tc>
        <w:tc>
          <w:tcPr>
            <w:tcW w:w="2180" w:type="dxa"/>
            <w:vAlign w:val="bottom"/>
            <w:tcBorders>
              <w:bottom w:val="single" w:sz="8" w:color="707070"/>
              <w:right w:val="single" w:sz="8" w:color="auto"/>
            </w:tcBorders>
            <w:shd w:val="clear" w:color="auto" w:fill="707070"/>
          </w:tcPr>
          <w:p>
            <w:pPr>
              <w:ind w:left="20"/>
              <w:spacing w:after="0"/>
              <w:rPr>
                <w:sz w:val="20"/>
                <w:szCs w:val="20"/>
                <w:color w:val="auto"/>
              </w:rPr>
            </w:pPr>
            <w:r>
              <w:rPr>
                <w:rFonts w:ascii="Arial" w:cs="Arial" w:eastAsia="Arial" w:hAnsi="Arial"/>
                <w:sz w:val="18"/>
                <w:szCs w:val="18"/>
                <w:color w:val="FFFFFF"/>
              </w:rPr>
              <w:t>Measure</w:t>
            </w:r>
          </w:p>
        </w:tc>
        <w:tc>
          <w:tcPr>
            <w:tcW w:w="188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60" w:type="dxa"/>
            <w:vAlign w:val="bottom"/>
            <w:tcBorders>
              <w:top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Business Unit</w:t>
            </w:r>
          </w:p>
        </w:tc>
        <w:tc>
          <w:tcPr>
            <w:tcW w:w="2180" w:type="dxa"/>
            <w:vAlign w:val="bottom"/>
            <w:tcBorders>
              <w:top w:val="single" w:sz="8" w:color="auto"/>
              <w:right w:val="single" w:sz="8" w:color="auto"/>
            </w:tcBorders>
            <w:shd w:val="clear" w:color="auto" w:fill="707070"/>
          </w:tcPr>
          <w:p>
            <w:pPr>
              <w:ind w:left="20"/>
              <w:spacing w:after="0"/>
              <w:rPr>
                <w:sz w:val="20"/>
                <w:szCs w:val="20"/>
                <w:color w:val="auto"/>
              </w:rPr>
            </w:pPr>
            <w:r>
              <w:rPr>
                <w:rFonts w:ascii="Arial" w:cs="Arial" w:eastAsia="Arial" w:hAnsi="Arial"/>
                <w:sz w:val="18"/>
                <w:szCs w:val="18"/>
                <w:color w:val="FFFFFF"/>
              </w:rPr>
              <w:t>Industrial Solutions</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$18,563</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$19,254</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119%</w:t>
            </w: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130"/>
        </w:trPr>
        <w:tc>
          <w:tcPr>
            <w:tcW w:w="216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Objective</w:t>
            </w:r>
          </w:p>
        </w:tc>
        <w:tc>
          <w:tcPr>
            <w:tcW w:w="2180" w:type="dxa"/>
            <w:vAlign w:val="bottom"/>
            <w:tcBorders>
              <w:right w:val="single" w:sz="8" w:color="auto"/>
            </w:tcBorders>
            <w:shd w:val="clear" w:color="auto" w:fill="707070"/>
          </w:tcPr>
          <w:p>
            <w:pPr>
              <w:ind w:left="20"/>
              <w:spacing w:after="0" w:line="130" w:lineRule="exact"/>
              <w:rPr>
                <w:sz w:val="20"/>
                <w:szCs w:val="20"/>
                <w:color w:val="auto"/>
              </w:rPr>
            </w:pPr>
            <w:r>
              <w:rPr>
                <w:rFonts w:ascii="Arial" w:cs="Arial" w:eastAsia="Arial" w:hAnsi="Arial"/>
                <w:sz w:val="15"/>
                <w:szCs w:val="15"/>
                <w:color w:val="FFFFFF"/>
              </w:rPr>
              <w:t>Segment Operational</w:t>
            </w:r>
          </w:p>
        </w:tc>
        <w:tc>
          <w:tcPr>
            <w:tcW w:w="188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160" w:type="dxa"/>
            <w:vAlign w:val="bottom"/>
            <w:tcBorders>
              <w:bottom w:val="single" w:sz="8" w:color="auto"/>
            </w:tcBorders>
            <w:vMerge w:val="continue"/>
            <w:shd w:val="clear" w:color="auto" w:fill="000000"/>
          </w:tcPr>
          <w:p>
            <w:pPr>
              <w:spacing w:after="0"/>
              <w:rPr>
                <w:sz w:val="21"/>
                <w:szCs w:val="21"/>
                <w:color w:val="auto"/>
              </w:rPr>
            </w:pPr>
          </w:p>
        </w:tc>
        <w:tc>
          <w:tcPr>
            <w:tcW w:w="2180" w:type="dxa"/>
            <w:vAlign w:val="bottom"/>
            <w:tcBorders>
              <w:bottom w:val="single" w:sz="8" w:color="707070"/>
              <w:right w:val="single" w:sz="8" w:color="auto"/>
            </w:tcBorders>
            <w:shd w:val="clear" w:color="auto" w:fill="707070"/>
          </w:tcPr>
          <w:p>
            <w:pPr>
              <w:ind w:left="20"/>
              <w:spacing w:after="0"/>
              <w:rPr>
                <w:sz w:val="20"/>
                <w:szCs w:val="20"/>
                <w:color w:val="auto"/>
              </w:rPr>
            </w:pPr>
            <w:r>
              <w:rPr>
                <w:rFonts w:ascii="Arial" w:cs="Arial" w:eastAsia="Arial" w:hAnsi="Arial"/>
                <w:sz w:val="18"/>
                <w:szCs w:val="18"/>
                <w:color w:val="FFFFFF"/>
              </w:rPr>
              <w:t>Performance Measure</w:t>
            </w:r>
          </w:p>
        </w:tc>
        <w:tc>
          <w:tcPr>
            <w:tcW w:w="18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Determining Executive Compensation for Fiscal 2026</w:t>
      </w:r>
    </w:p>
    <w:p>
      <w:pPr>
        <w:spacing w:after="0" w:line="11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Compensation Committee retained independent compensation consultant McLagan to provide the Compensation Committee with independent advice regarding industry executive pay practices for fiscal 2026. No member of the Board or any executive officer has any affiliation with McLagan. McLagan provides no other services to the company, and reports to the chair of the Compensation Committee. The Compensation Committee has assessed the independence of McLagan in accordance with SEC and Nasdaq rules and regulations and has</w:t>
      </w:r>
    </w:p>
    <w:p>
      <w:pPr>
        <w:ind w:right="680"/>
        <w:spacing w:after="0"/>
        <w:rPr>
          <w:sz w:val="20"/>
          <w:szCs w:val="20"/>
          <w:color w:val="auto"/>
        </w:rPr>
      </w:pPr>
      <w:r>
        <w:rPr>
          <w:rFonts w:ascii="Arial" w:cs="Arial" w:eastAsia="Arial" w:hAnsi="Arial"/>
          <w:sz w:val="17"/>
          <w:szCs w:val="17"/>
          <w:color w:val="auto"/>
        </w:rPr>
        <w:t>concluded that no conflict of interest exists that will prevent it from being an independent consultant to the Compensation Committee. McLagan advised the Compensation Committee on the principal aspects of our executive compensation program and emerging best</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practices, and provided market data and analysis regarding the competitiveness of total compensation for the company’s named executive officers for fiscal 2026. In evaluating compensation, the Compensation Committee reviewed survey data and considered this information as a general reference point for understanding market practices, compensation levels and program design. The Compensation Committee uses this information to inform its judgment but does not rely on benchmarking to establish specific compensation levels, targets or percentile positioning, and retains full discretion in determining compensation outcomes.</w:t>
      </w:r>
    </w:p>
    <w:p>
      <w:pPr>
        <w:spacing w:after="0" w:line="20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 Our Chief Executive Officer is not present during voting or deliberations relating to his own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Elements of Named Executive Officer Compensation</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outlines the key components of our compensation program for our named executive officers (excluding health and similar broad-based benefits generally available to all employees).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680" w:type="dxa"/>
            <w:vAlign w:val="bottom"/>
            <w:tcBorders>
              <w:left w:val="single" w:sz="8" w:color="auto"/>
              <w:right w:val="single" w:sz="8" w:color="auto"/>
            </w:tcBorders>
            <w:shd w:val="clear" w:color="auto" w:fill="000000"/>
          </w:tcPr>
          <w:p>
            <w:pPr>
              <w:spacing w:after="0"/>
              <w:rPr>
                <w:sz w:val="24"/>
                <w:szCs w:val="24"/>
                <w:color w:val="auto"/>
              </w:rPr>
            </w:pPr>
          </w:p>
        </w:tc>
        <w:tc>
          <w:tcPr>
            <w:tcW w:w="2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w:t>
            </w:r>
          </w:p>
        </w:tc>
        <w:tc>
          <w:tcPr>
            <w:tcW w:w="3780" w:type="dxa"/>
            <w:vAlign w:val="bottom"/>
            <w:tcBorders>
              <w:right w:val="single" w:sz="8" w:color="auto"/>
            </w:tcBorders>
            <w:shd w:val="clear" w:color="auto" w:fill="000000"/>
          </w:tcPr>
          <w:p>
            <w:pPr>
              <w:ind w:left="1440"/>
              <w:spacing w:after="0"/>
              <w:rPr>
                <w:sz w:val="20"/>
                <w:szCs w:val="20"/>
                <w:color w:val="auto"/>
              </w:rPr>
            </w:pPr>
            <w:r>
              <w:rPr>
                <w:rFonts w:ascii="Arial" w:cs="Arial" w:eastAsia="Arial" w:hAnsi="Arial"/>
                <w:sz w:val="22"/>
                <w:szCs w:val="22"/>
                <w:b w:val="1"/>
                <w:bCs w:val="1"/>
                <w:color w:val="FFFFFF"/>
              </w:rPr>
              <w:t>Purpose</w:t>
            </w:r>
          </w:p>
        </w:tc>
        <w:tc>
          <w:tcPr>
            <w:tcW w:w="3420" w:type="dxa"/>
            <w:vAlign w:val="bottom"/>
            <w:tcBorders>
              <w:right w:val="single" w:sz="8" w:color="auto"/>
            </w:tcBorders>
            <w:shd w:val="clear" w:color="auto" w:fill="000000"/>
          </w:tcPr>
          <w:p>
            <w:pPr>
              <w:ind w:left="680"/>
              <w:spacing w:after="0"/>
              <w:rPr>
                <w:sz w:val="20"/>
                <w:szCs w:val="20"/>
                <w:color w:val="auto"/>
              </w:rPr>
            </w:pPr>
            <w:r>
              <w:rPr>
                <w:rFonts w:ascii="Arial" w:cs="Arial" w:eastAsia="Arial" w:hAnsi="Arial"/>
                <w:sz w:val="22"/>
                <w:szCs w:val="22"/>
                <w:b w:val="1"/>
                <w:bCs w:val="1"/>
                <w:color w:val="FFFFFF"/>
              </w:rPr>
              <w:t>Key Characteristics</w:t>
            </w:r>
          </w:p>
        </w:tc>
        <w:tc>
          <w:tcPr>
            <w:tcW w:w="0" w:type="dxa"/>
            <w:vAlign w:val="bottom"/>
          </w:tcPr>
          <w:p>
            <w:pPr>
              <w:spacing w:after="0"/>
              <w:rPr>
                <w:sz w:val="1"/>
                <w:szCs w:val="1"/>
                <w:color w:val="auto"/>
              </w:rPr>
            </w:pPr>
          </w:p>
        </w:tc>
      </w:tr>
      <w:tr>
        <w:trPr>
          <w:trHeight w:val="312"/>
        </w:trPr>
        <w:tc>
          <w:tcPr>
            <w:tcW w:w="1680" w:type="dxa"/>
            <w:vAlign w:val="bottom"/>
            <w:tcBorders>
              <w:left w:val="single" w:sz="8" w:color="auto"/>
              <w:right w:val="single" w:sz="8" w:color="auto"/>
            </w:tcBorders>
            <w:shd w:val="clear" w:color="auto" w:fill="000000"/>
          </w:tcPr>
          <w:p>
            <w:pPr>
              <w:spacing w:after="0"/>
              <w:rPr>
                <w:sz w:val="24"/>
                <w:szCs w:val="24"/>
                <w:color w:val="auto"/>
              </w:rPr>
            </w:pPr>
          </w:p>
        </w:tc>
        <w:tc>
          <w:tcPr>
            <w:tcW w:w="2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Element</w:t>
            </w:r>
          </w:p>
        </w:tc>
        <w:tc>
          <w:tcPr>
            <w:tcW w:w="3780" w:type="dxa"/>
            <w:vAlign w:val="bottom"/>
            <w:tcBorders>
              <w:right w:val="single" w:sz="8" w:color="auto"/>
            </w:tcBorders>
            <w:shd w:val="clear" w:color="auto" w:fill="000000"/>
          </w:tcPr>
          <w:p>
            <w:pPr>
              <w:spacing w:after="0"/>
              <w:rPr>
                <w:sz w:val="24"/>
                <w:szCs w:val="24"/>
                <w:color w:val="auto"/>
              </w:rPr>
            </w:pPr>
          </w:p>
        </w:tc>
        <w:tc>
          <w:tcPr>
            <w:tcW w:w="342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80" w:type="dxa"/>
            <w:vAlign w:val="bottom"/>
            <w:tcBorders>
              <w:left w:val="single" w:sz="8" w:color="auto"/>
              <w:right w:val="single" w:sz="8" w:color="auto"/>
            </w:tcBorders>
            <w:shd w:val="clear" w:color="auto" w:fill="CBCBCB"/>
          </w:tcPr>
          <w:p>
            <w:pPr>
              <w:spacing w:after="0"/>
              <w:rPr>
                <w:sz w:val="19"/>
                <w:szCs w:val="19"/>
                <w:color w:val="auto"/>
              </w:rPr>
            </w:pPr>
          </w:p>
        </w:tc>
        <w:tc>
          <w:tcPr>
            <w:tcW w:w="2280" w:type="dxa"/>
            <w:vAlign w:val="bottom"/>
            <w:tcBorders>
              <w:right w:val="single" w:sz="8" w:color="auto"/>
            </w:tcBorders>
            <w:shd w:val="clear" w:color="auto" w:fill="CBCBCB"/>
          </w:tcPr>
          <w:p>
            <w:pPr>
              <w:spacing w:after="0"/>
              <w:rPr>
                <w:sz w:val="19"/>
                <w:szCs w:val="19"/>
                <w:color w:val="auto"/>
              </w:rPr>
            </w:pPr>
          </w:p>
        </w:tc>
        <w:tc>
          <w:tcPr>
            <w:tcW w:w="378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Provides a steady pay that is generally</w:t>
            </w:r>
          </w:p>
        </w:tc>
        <w:tc>
          <w:tcPr>
            <w:tcW w:w="342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Determined by responsibility, level of</w:t>
            </w:r>
          </w:p>
        </w:tc>
        <w:tc>
          <w:tcPr>
            <w:tcW w:w="0" w:type="dxa"/>
            <w:vAlign w:val="bottom"/>
          </w:tcPr>
          <w:p>
            <w:pPr>
              <w:spacing w:after="0"/>
              <w:rPr>
                <w:sz w:val="1"/>
                <w:szCs w:val="1"/>
                <w:color w:val="auto"/>
              </w:rPr>
            </w:pPr>
          </w:p>
        </w:tc>
      </w:tr>
      <w:tr>
        <w:trPr>
          <w:trHeight w:val="234"/>
        </w:trPr>
        <w:tc>
          <w:tcPr>
            <w:tcW w:w="1680" w:type="dxa"/>
            <w:vAlign w:val="bottom"/>
            <w:tcBorders>
              <w:left w:val="single" w:sz="8" w:color="auto"/>
              <w:right w:val="single" w:sz="8" w:color="auto"/>
            </w:tcBorders>
            <w:shd w:val="clear" w:color="auto" w:fill="CBCBCB"/>
          </w:tcPr>
          <w:p>
            <w:pPr>
              <w:jc w:val="center"/>
              <w:spacing w:after="0" w:line="234" w:lineRule="exact"/>
              <w:rPr>
                <w:sz w:val="20"/>
                <w:szCs w:val="20"/>
                <w:color w:val="auto"/>
              </w:rPr>
            </w:pPr>
            <w:r>
              <w:rPr>
                <w:rFonts w:ascii="Arial" w:cs="Arial" w:eastAsia="Arial" w:hAnsi="Arial"/>
                <w:sz w:val="22"/>
                <w:szCs w:val="22"/>
                <w:b w:val="1"/>
                <w:bCs w:val="1"/>
                <w:color w:val="auto"/>
                <w:w w:val="97"/>
              </w:rPr>
              <w:t>Fixed</w:t>
            </w:r>
          </w:p>
        </w:tc>
        <w:tc>
          <w:tcPr>
            <w:tcW w:w="2280" w:type="dxa"/>
            <w:vAlign w:val="bottom"/>
            <w:tcBorders>
              <w:right w:val="single" w:sz="8" w:color="auto"/>
            </w:tcBorders>
            <w:shd w:val="clear" w:color="auto" w:fill="CBCBCB"/>
          </w:tcPr>
          <w:p>
            <w:pPr>
              <w:jc w:val="center"/>
              <w:spacing w:after="0"/>
              <w:rPr>
                <w:sz w:val="20"/>
                <w:szCs w:val="20"/>
                <w:color w:val="auto"/>
              </w:rPr>
            </w:pPr>
            <w:r>
              <w:rPr>
                <w:rFonts w:ascii="Arial" w:cs="Arial" w:eastAsia="Arial" w:hAnsi="Arial"/>
                <w:sz w:val="18"/>
                <w:szCs w:val="18"/>
                <w:color w:val="auto"/>
                <w:w w:val="98"/>
              </w:rPr>
              <w:t>Base Salary</w:t>
            </w:r>
          </w:p>
        </w:tc>
        <w:tc>
          <w:tcPr>
            <w:tcW w:w="378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competitive with the companies with which we</w:t>
            </w:r>
          </w:p>
        </w:tc>
        <w:tc>
          <w:tcPr>
            <w:tcW w:w="342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position, competitive pay assessment and</w:t>
            </w: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vMerge w:val="restart"/>
            <w:shd w:val="clear" w:color="auto" w:fill="CBCBCB"/>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280" w:type="dxa"/>
            <w:vAlign w:val="bottom"/>
            <w:tcBorders>
              <w:right w:val="single" w:sz="8" w:color="auto"/>
            </w:tcBorders>
            <w:shd w:val="clear" w:color="auto" w:fill="CBCBCB"/>
          </w:tcPr>
          <w:p>
            <w:pPr>
              <w:jc w:val="center"/>
              <w:spacing w:after="0"/>
              <w:rPr>
                <w:sz w:val="20"/>
                <w:szCs w:val="20"/>
                <w:color w:val="auto"/>
              </w:rPr>
            </w:pPr>
            <w:r>
              <w:rPr>
                <w:rFonts w:ascii="Arial" w:cs="Arial" w:eastAsia="Arial" w:hAnsi="Arial"/>
                <w:sz w:val="18"/>
                <w:szCs w:val="18"/>
                <w:color w:val="auto"/>
                <w:w w:val="99"/>
              </w:rPr>
              <w:t>(Cash)</w:t>
            </w:r>
          </w:p>
        </w:tc>
        <w:tc>
          <w:tcPr>
            <w:tcW w:w="378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compete for talent</w:t>
            </w:r>
          </w:p>
        </w:tc>
        <w:tc>
          <w:tcPr>
            <w:tcW w:w="342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r>
        <w:trPr>
          <w:trHeight w:val="126"/>
        </w:trPr>
        <w:tc>
          <w:tcPr>
            <w:tcW w:w="1680" w:type="dxa"/>
            <w:vAlign w:val="bottom"/>
            <w:tcBorders>
              <w:left w:val="single" w:sz="8" w:color="auto"/>
              <w:bottom w:val="single" w:sz="8" w:color="auto"/>
              <w:right w:val="single" w:sz="8" w:color="auto"/>
            </w:tcBorders>
            <w:vMerge w:val="continue"/>
            <w:shd w:val="clear" w:color="auto" w:fill="CBCBCB"/>
          </w:tcPr>
          <w:p>
            <w:pPr>
              <w:spacing w:after="0"/>
              <w:rPr>
                <w:sz w:val="10"/>
                <w:szCs w:val="10"/>
                <w:color w:val="auto"/>
              </w:rPr>
            </w:pPr>
          </w:p>
        </w:tc>
        <w:tc>
          <w:tcPr>
            <w:tcW w:w="2280" w:type="dxa"/>
            <w:vAlign w:val="bottom"/>
            <w:tcBorders>
              <w:bottom w:val="single" w:sz="8" w:color="auto"/>
              <w:right w:val="single" w:sz="8" w:color="auto"/>
            </w:tcBorders>
            <w:shd w:val="clear" w:color="auto" w:fill="CBCBCB"/>
          </w:tcPr>
          <w:p>
            <w:pPr>
              <w:spacing w:after="0"/>
              <w:rPr>
                <w:sz w:val="10"/>
                <w:szCs w:val="10"/>
                <w:color w:val="auto"/>
              </w:rPr>
            </w:pPr>
          </w:p>
        </w:tc>
        <w:tc>
          <w:tcPr>
            <w:tcW w:w="3780" w:type="dxa"/>
            <w:vAlign w:val="bottom"/>
            <w:tcBorders>
              <w:bottom w:val="single" w:sz="8" w:color="auto"/>
              <w:right w:val="single" w:sz="8" w:color="auto"/>
            </w:tcBorders>
            <w:shd w:val="clear" w:color="auto" w:fill="CBCBCB"/>
          </w:tcPr>
          <w:p>
            <w:pPr>
              <w:spacing w:after="0"/>
              <w:rPr>
                <w:sz w:val="10"/>
                <w:szCs w:val="10"/>
                <w:color w:val="auto"/>
              </w:rPr>
            </w:pPr>
          </w:p>
        </w:tc>
        <w:tc>
          <w:tcPr>
            <w:tcW w:w="3420" w:type="dxa"/>
            <w:vAlign w:val="bottom"/>
            <w:tcBorders>
              <w:bottom w:val="single" w:sz="8" w:color="auto"/>
              <w:right w:val="single" w:sz="8" w:color="auto"/>
            </w:tcBorders>
            <w:shd w:val="clear" w:color="auto" w:fill="CBCBCB"/>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280" w:type="dxa"/>
            <w:vAlign w:val="bottom"/>
            <w:tcBorders>
              <w:right w:val="single" w:sz="8" w:color="auto"/>
            </w:tcBorders>
            <w:shd w:val="clear" w:color="auto" w:fill="B2B2B2"/>
          </w:tcPr>
          <w:p>
            <w:pPr>
              <w:spacing w:after="0"/>
              <w:rPr>
                <w:sz w:val="18"/>
                <w:szCs w:val="18"/>
                <w:color w:val="auto"/>
              </w:rPr>
            </w:pPr>
          </w:p>
        </w:tc>
        <w:tc>
          <w:tcPr>
            <w:tcW w:w="378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Rewards the achievement of operational and</w:t>
            </w:r>
          </w:p>
        </w:tc>
        <w:tc>
          <w:tcPr>
            <w:tcW w:w="342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Annual cash award, which for fiscal 2026</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280" w:type="dxa"/>
            <w:vAlign w:val="bottom"/>
            <w:tcBorders>
              <w:right w:val="single" w:sz="8" w:color="auto"/>
            </w:tcBorders>
            <w:shd w:val="clear" w:color="auto" w:fill="B2B2B2"/>
          </w:tcPr>
          <w:p>
            <w:pPr>
              <w:spacing w:after="0"/>
              <w:rPr>
                <w:sz w:val="18"/>
                <w:szCs w:val="18"/>
                <w:color w:val="auto"/>
              </w:rPr>
            </w:pPr>
          </w:p>
        </w:tc>
        <w:tc>
          <w:tcPr>
            <w:tcW w:w="378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other performance goals</w:t>
            </w:r>
          </w:p>
        </w:tc>
        <w:tc>
          <w:tcPr>
            <w:tcW w:w="342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was subject to achievement of company</w:t>
            </w: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shd w:val="clear" w:color="auto" w:fill="B2B2B2"/>
          </w:tcPr>
          <w:p>
            <w:pPr>
              <w:spacing w:after="0"/>
              <w:rPr>
                <w:sz w:val="20"/>
                <w:szCs w:val="20"/>
                <w:color w:val="auto"/>
              </w:rPr>
            </w:pPr>
          </w:p>
        </w:tc>
        <w:tc>
          <w:tcPr>
            <w:tcW w:w="2280" w:type="dxa"/>
            <w:vAlign w:val="bottom"/>
            <w:tcBorders>
              <w:right w:val="single" w:sz="8" w:color="auto"/>
            </w:tcBorders>
            <w:shd w:val="clear" w:color="auto" w:fill="B2B2B2"/>
          </w:tcPr>
          <w:p>
            <w:pPr>
              <w:spacing w:after="0"/>
              <w:rPr>
                <w:sz w:val="20"/>
                <w:szCs w:val="20"/>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Motivates performance by delivering greater</w:t>
            </w:r>
          </w:p>
        </w:tc>
        <w:tc>
          <w:tcPr>
            <w:tcW w:w="342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and business unit performance goals</w:t>
            </w:r>
          </w:p>
        </w:tc>
        <w:tc>
          <w:tcPr>
            <w:tcW w:w="0" w:type="dxa"/>
            <w:vAlign w:val="bottom"/>
          </w:tcPr>
          <w:p>
            <w:pPr>
              <w:spacing w:after="0"/>
              <w:rPr>
                <w:sz w:val="1"/>
                <w:szCs w:val="1"/>
                <w:color w:val="auto"/>
              </w:rPr>
            </w:pPr>
          </w:p>
        </w:tc>
      </w:tr>
      <w:tr>
        <w:trPr>
          <w:trHeight w:val="193"/>
        </w:trPr>
        <w:tc>
          <w:tcPr>
            <w:tcW w:w="1680" w:type="dxa"/>
            <w:vAlign w:val="bottom"/>
            <w:tcBorders>
              <w:left w:val="single" w:sz="8" w:color="auto"/>
              <w:right w:val="single" w:sz="8" w:color="auto"/>
            </w:tcBorders>
            <w:shd w:val="clear" w:color="auto" w:fill="B2B2B2"/>
          </w:tcPr>
          <w:p>
            <w:pPr>
              <w:spacing w:after="0"/>
              <w:rPr>
                <w:sz w:val="16"/>
                <w:szCs w:val="16"/>
                <w:color w:val="auto"/>
              </w:rPr>
            </w:pPr>
          </w:p>
        </w:tc>
        <w:tc>
          <w:tcPr>
            <w:tcW w:w="2280" w:type="dxa"/>
            <w:vAlign w:val="bottom"/>
            <w:tcBorders>
              <w:right w:val="single" w:sz="8" w:color="auto"/>
            </w:tcBorders>
            <w:shd w:val="clear" w:color="auto" w:fill="B2B2B2"/>
          </w:tcPr>
          <w:p>
            <w:pPr>
              <w:spacing w:after="0"/>
              <w:rPr>
                <w:sz w:val="16"/>
                <w:szCs w:val="16"/>
                <w:color w:val="auto"/>
              </w:rPr>
            </w:pPr>
          </w:p>
        </w:tc>
        <w:tc>
          <w:tcPr>
            <w:tcW w:w="3780" w:type="dxa"/>
            <w:vAlign w:val="bottom"/>
            <w:tcBorders>
              <w:right w:val="single" w:sz="8" w:color="auto"/>
            </w:tcBorders>
            <w:vMerge w:val="continue"/>
            <w:shd w:val="clear" w:color="auto" w:fill="B2B2B2"/>
          </w:tcPr>
          <w:p>
            <w:pPr>
              <w:spacing w:after="0"/>
              <w:rPr>
                <w:sz w:val="16"/>
                <w:szCs w:val="16"/>
                <w:color w:val="auto"/>
              </w:rPr>
            </w:pPr>
          </w:p>
        </w:tc>
        <w:tc>
          <w:tcPr>
            <w:tcW w:w="3420" w:type="dxa"/>
            <w:vAlign w:val="bottom"/>
            <w:tcBorders>
              <w:right w:val="single" w:sz="8" w:color="auto"/>
            </w:tcBorders>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Annual Non-Equity</w:t>
            </w:r>
          </w:p>
        </w:tc>
        <w:tc>
          <w:tcPr>
            <w:tcW w:w="378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rewards for superior company and business</w:t>
            </w:r>
          </w:p>
        </w:tc>
        <w:tc>
          <w:tcPr>
            <w:tcW w:w="34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280" w:type="dxa"/>
            <w:vAlign w:val="bottom"/>
            <w:tcBorders>
              <w:right w:val="single" w:sz="8" w:color="auto"/>
            </w:tcBorders>
            <w:vMerge w:val="continue"/>
            <w:shd w:val="clear" w:color="auto" w:fill="B2B2B2"/>
          </w:tcPr>
          <w:p>
            <w:pPr>
              <w:spacing w:after="0"/>
              <w:rPr>
                <w:sz w:val="9"/>
                <w:szCs w:val="9"/>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unit performance, while delivering reduced or</w:t>
            </w:r>
          </w:p>
        </w:tc>
        <w:tc>
          <w:tcPr>
            <w:tcW w:w="34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Incentive Compensation</w:t>
            </w:r>
          </w:p>
        </w:tc>
        <w:tc>
          <w:tcPr>
            <w:tcW w:w="3780" w:type="dxa"/>
            <w:vAlign w:val="bottom"/>
            <w:tcBorders>
              <w:right w:val="single" w:sz="8" w:color="auto"/>
            </w:tcBorders>
            <w:vMerge w:val="continue"/>
            <w:shd w:val="clear" w:color="auto" w:fill="B2B2B2"/>
          </w:tcPr>
          <w:p>
            <w:pPr>
              <w:spacing w:after="0"/>
              <w:rPr>
                <w:sz w:val="9"/>
                <w:szCs w:val="9"/>
                <w:color w:val="auto"/>
              </w:rPr>
            </w:pPr>
          </w:p>
        </w:tc>
        <w:tc>
          <w:tcPr>
            <w:tcW w:w="34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280" w:type="dxa"/>
            <w:vAlign w:val="bottom"/>
            <w:tcBorders>
              <w:right w:val="single" w:sz="8" w:color="auto"/>
            </w:tcBorders>
            <w:vMerge w:val="continue"/>
            <w:shd w:val="clear" w:color="auto" w:fill="B2B2B2"/>
          </w:tcPr>
          <w:p>
            <w:pPr>
              <w:spacing w:after="0"/>
              <w:rPr>
                <w:sz w:val="9"/>
                <w:szCs w:val="9"/>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no awards for company or business unit</w:t>
            </w:r>
          </w:p>
        </w:tc>
        <w:tc>
          <w:tcPr>
            <w:tcW w:w="34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(Cash)</w:t>
            </w:r>
          </w:p>
        </w:tc>
        <w:tc>
          <w:tcPr>
            <w:tcW w:w="3780" w:type="dxa"/>
            <w:vAlign w:val="bottom"/>
            <w:tcBorders>
              <w:right w:val="single" w:sz="8" w:color="auto"/>
            </w:tcBorders>
            <w:vMerge w:val="continue"/>
            <w:shd w:val="clear" w:color="auto" w:fill="B2B2B2"/>
          </w:tcPr>
          <w:p>
            <w:pPr>
              <w:spacing w:after="0"/>
              <w:rPr>
                <w:sz w:val="9"/>
                <w:szCs w:val="9"/>
                <w:color w:val="auto"/>
              </w:rPr>
            </w:pPr>
          </w:p>
        </w:tc>
        <w:tc>
          <w:tcPr>
            <w:tcW w:w="34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8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8"/>
              </w:rPr>
              <w:t>Performance-</w:t>
            </w:r>
          </w:p>
        </w:tc>
        <w:tc>
          <w:tcPr>
            <w:tcW w:w="2280" w:type="dxa"/>
            <w:vAlign w:val="bottom"/>
            <w:tcBorders>
              <w:right w:val="single" w:sz="8" w:color="auto"/>
            </w:tcBorders>
            <w:vMerge w:val="continue"/>
            <w:shd w:val="clear" w:color="auto" w:fill="B2B2B2"/>
          </w:tcPr>
          <w:p>
            <w:pPr>
              <w:spacing w:after="0"/>
              <w:rPr>
                <w:sz w:val="11"/>
                <w:szCs w:val="11"/>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underperformance</w:t>
            </w:r>
          </w:p>
        </w:tc>
        <w:tc>
          <w:tcPr>
            <w:tcW w:w="34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680" w:type="dxa"/>
            <w:vAlign w:val="bottom"/>
            <w:tcBorders>
              <w:left w:val="single" w:sz="8" w:color="auto"/>
              <w:right w:val="single" w:sz="8" w:color="auto"/>
            </w:tcBorders>
            <w:vMerge w:val="continue"/>
            <w:shd w:val="clear" w:color="auto" w:fill="B2B2B2"/>
          </w:tcPr>
          <w:p>
            <w:pPr>
              <w:spacing w:after="0"/>
              <w:rPr>
                <w:sz w:val="15"/>
                <w:szCs w:val="15"/>
                <w:color w:val="auto"/>
              </w:rPr>
            </w:pPr>
          </w:p>
        </w:tc>
        <w:tc>
          <w:tcPr>
            <w:tcW w:w="2280" w:type="dxa"/>
            <w:vAlign w:val="bottom"/>
            <w:tcBorders>
              <w:right w:val="single" w:sz="8" w:color="auto"/>
            </w:tcBorders>
            <w:shd w:val="clear" w:color="auto" w:fill="B2B2B2"/>
          </w:tcPr>
          <w:p>
            <w:pPr>
              <w:spacing w:after="0"/>
              <w:rPr>
                <w:sz w:val="15"/>
                <w:szCs w:val="15"/>
                <w:color w:val="auto"/>
              </w:rPr>
            </w:pPr>
          </w:p>
        </w:tc>
        <w:tc>
          <w:tcPr>
            <w:tcW w:w="3780" w:type="dxa"/>
            <w:vAlign w:val="bottom"/>
            <w:tcBorders>
              <w:right w:val="single" w:sz="8" w:color="auto"/>
            </w:tcBorders>
            <w:vMerge w:val="continue"/>
            <w:shd w:val="clear" w:color="auto" w:fill="B2B2B2"/>
          </w:tcPr>
          <w:p>
            <w:pPr>
              <w:spacing w:after="0"/>
              <w:rPr>
                <w:sz w:val="15"/>
                <w:szCs w:val="15"/>
                <w:color w:val="auto"/>
              </w:rPr>
            </w:pPr>
          </w:p>
        </w:tc>
        <w:tc>
          <w:tcPr>
            <w:tcW w:w="3420" w:type="dxa"/>
            <w:vAlign w:val="bottom"/>
            <w:tcBorders>
              <w:right w:val="single" w:sz="8" w:color="auto"/>
            </w:tcBorders>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80" w:type="dxa"/>
            <w:vAlign w:val="bottom"/>
            <w:tcBorders>
              <w:left w:val="single" w:sz="8" w:color="auto"/>
              <w:bottom w:val="single" w:sz="8" w:color="B2B2B2"/>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6"/>
              </w:rPr>
              <w:t>Based</w:t>
            </w:r>
          </w:p>
        </w:tc>
        <w:tc>
          <w:tcPr>
            <w:tcW w:w="2280" w:type="dxa"/>
            <w:vAlign w:val="bottom"/>
            <w:tcBorders>
              <w:bottom w:val="single" w:sz="8" w:color="auto"/>
              <w:right w:val="single" w:sz="8" w:color="auto"/>
            </w:tcBorders>
            <w:shd w:val="clear" w:color="auto" w:fill="B2B2B2"/>
          </w:tcPr>
          <w:p>
            <w:pPr>
              <w:spacing w:after="0"/>
              <w:rPr>
                <w:sz w:val="13"/>
                <w:szCs w:val="13"/>
                <w:color w:val="auto"/>
              </w:rPr>
            </w:pPr>
          </w:p>
        </w:tc>
        <w:tc>
          <w:tcPr>
            <w:tcW w:w="3780" w:type="dxa"/>
            <w:vAlign w:val="bottom"/>
            <w:tcBorders>
              <w:bottom w:val="single" w:sz="8" w:color="auto"/>
              <w:right w:val="single" w:sz="8" w:color="auto"/>
            </w:tcBorders>
            <w:shd w:val="clear" w:color="auto" w:fill="B2B2B2"/>
          </w:tcPr>
          <w:p>
            <w:pPr>
              <w:spacing w:after="0"/>
              <w:rPr>
                <w:sz w:val="13"/>
                <w:szCs w:val="13"/>
                <w:color w:val="auto"/>
              </w:rPr>
            </w:pPr>
          </w:p>
        </w:tc>
        <w:tc>
          <w:tcPr>
            <w:tcW w:w="3420" w:type="dxa"/>
            <w:vAlign w:val="bottom"/>
            <w:tcBorders>
              <w:bottom w:val="single" w:sz="8" w:color="auto"/>
              <w:right w:val="single" w:sz="8" w:color="auto"/>
            </w:tcBorders>
            <w:shd w:val="clear" w:color="auto" w:fill="B2B2B2"/>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80" w:type="dxa"/>
            <w:vAlign w:val="bottom"/>
            <w:tcBorders>
              <w:left w:val="single" w:sz="8" w:color="auto"/>
              <w:right w:val="single" w:sz="8" w:color="auto"/>
            </w:tcBorders>
            <w:vMerge w:val="continue"/>
            <w:shd w:val="clear" w:color="auto" w:fill="B2B2B2"/>
          </w:tcPr>
          <w:p>
            <w:pPr>
              <w:spacing w:after="0"/>
              <w:rPr>
                <w:sz w:val="7"/>
                <w:szCs w:val="7"/>
                <w:color w:val="auto"/>
              </w:rPr>
            </w:pPr>
          </w:p>
        </w:tc>
        <w:tc>
          <w:tcPr>
            <w:tcW w:w="2280" w:type="dxa"/>
            <w:vAlign w:val="bottom"/>
            <w:tcBorders>
              <w:right w:val="single" w:sz="8" w:color="auto"/>
            </w:tcBorders>
            <w:shd w:val="clear" w:color="auto" w:fill="B2B2B2"/>
          </w:tcPr>
          <w:p>
            <w:pPr>
              <w:spacing w:after="0"/>
              <w:rPr>
                <w:sz w:val="7"/>
                <w:szCs w:val="7"/>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Incentivizes retention and aligns compensation</w:t>
            </w:r>
          </w:p>
        </w:tc>
        <w:tc>
          <w:tcPr>
            <w:tcW w:w="342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One-year performance measurement</w:t>
            </w:r>
          </w:p>
        </w:tc>
        <w:tc>
          <w:tcPr>
            <w:tcW w:w="0" w:type="dxa"/>
            <w:vAlign w:val="bottom"/>
          </w:tcPr>
          <w:p>
            <w:pPr>
              <w:spacing w:after="0"/>
              <w:rPr>
                <w:sz w:val="1"/>
                <w:szCs w:val="1"/>
                <w:color w:val="auto"/>
              </w:rPr>
            </w:pPr>
          </w:p>
        </w:tc>
      </w:tr>
      <w:tr>
        <w:trPr>
          <w:trHeight w:val="131"/>
        </w:trPr>
        <w:tc>
          <w:tcPr>
            <w:tcW w:w="168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280" w:type="dxa"/>
            <w:vAlign w:val="bottom"/>
            <w:tcBorders>
              <w:right w:val="single" w:sz="8" w:color="auto"/>
            </w:tcBorders>
            <w:shd w:val="clear" w:color="auto" w:fill="B2B2B2"/>
          </w:tcPr>
          <w:p>
            <w:pPr>
              <w:spacing w:after="0"/>
              <w:rPr>
                <w:sz w:val="11"/>
                <w:szCs w:val="11"/>
                <w:color w:val="auto"/>
              </w:rPr>
            </w:pPr>
          </w:p>
        </w:tc>
        <w:tc>
          <w:tcPr>
            <w:tcW w:w="3780" w:type="dxa"/>
            <w:vAlign w:val="bottom"/>
            <w:tcBorders>
              <w:right w:val="single" w:sz="8" w:color="auto"/>
            </w:tcBorders>
            <w:vMerge w:val="continue"/>
            <w:shd w:val="clear" w:color="auto" w:fill="B2B2B2"/>
          </w:tcPr>
          <w:p>
            <w:pPr>
              <w:spacing w:after="0"/>
              <w:rPr>
                <w:sz w:val="11"/>
                <w:szCs w:val="11"/>
                <w:color w:val="auto"/>
              </w:rPr>
            </w:pPr>
          </w:p>
        </w:tc>
        <w:tc>
          <w:tcPr>
            <w:tcW w:w="3420" w:type="dxa"/>
            <w:vAlign w:val="bottom"/>
            <w:tcBorders>
              <w:right w:val="single" w:sz="8" w:color="auto"/>
            </w:tcBorders>
            <w:vMerge w:val="continue"/>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80" w:type="dxa"/>
            <w:vAlign w:val="bottom"/>
            <w:tcBorders>
              <w:left w:val="single" w:sz="8" w:color="auto"/>
              <w:right w:val="single" w:sz="8" w:color="auto"/>
            </w:tcBorders>
            <w:vMerge w:val="continue"/>
            <w:shd w:val="clear" w:color="auto" w:fill="B2B2B2"/>
          </w:tcPr>
          <w:p>
            <w:pPr>
              <w:spacing w:after="0"/>
              <w:rPr>
                <w:sz w:val="14"/>
                <w:szCs w:val="14"/>
                <w:color w:val="auto"/>
              </w:rPr>
            </w:pPr>
          </w:p>
        </w:tc>
        <w:tc>
          <w:tcPr>
            <w:tcW w:w="2280" w:type="dxa"/>
            <w:vAlign w:val="bottom"/>
            <w:tcBorders>
              <w:right w:val="single" w:sz="8" w:color="auto"/>
            </w:tcBorders>
            <w:shd w:val="clear" w:color="auto" w:fill="B2B2B2"/>
          </w:tcPr>
          <w:p>
            <w:pPr>
              <w:spacing w:after="0"/>
              <w:rPr>
                <w:sz w:val="14"/>
                <w:szCs w:val="14"/>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to long-term shareholder value and stock price</w:t>
            </w:r>
          </w:p>
        </w:tc>
        <w:tc>
          <w:tcPr>
            <w:tcW w:w="342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period, and two-year additional vesting</w:t>
            </w:r>
          </w:p>
        </w:tc>
        <w:tc>
          <w:tcPr>
            <w:tcW w:w="0" w:type="dxa"/>
            <w:vAlign w:val="bottom"/>
          </w:tcPr>
          <w:p>
            <w:pPr>
              <w:spacing w:after="0"/>
              <w:rPr>
                <w:sz w:val="1"/>
                <w:szCs w:val="1"/>
                <w:color w:val="auto"/>
              </w:rPr>
            </w:pPr>
          </w:p>
        </w:tc>
      </w:tr>
      <w:tr>
        <w:trPr>
          <w:trHeight w:val="50"/>
        </w:trPr>
        <w:tc>
          <w:tcPr>
            <w:tcW w:w="1680" w:type="dxa"/>
            <w:vAlign w:val="bottom"/>
            <w:tcBorders>
              <w:left w:val="single" w:sz="8" w:color="auto"/>
              <w:right w:val="single" w:sz="8" w:color="auto"/>
            </w:tcBorders>
            <w:shd w:val="clear" w:color="auto" w:fill="B2B2B2"/>
          </w:tcPr>
          <w:p>
            <w:pPr>
              <w:spacing w:after="0"/>
              <w:rPr>
                <w:sz w:val="4"/>
                <w:szCs w:val="4"/>
                <w:color w:val="auto"/>
              </w:rPr>
            </w:pPr>
          </w:p>
        </w:tc>
        <w:tc>
          <w:tcPr>
            <w:tcW w:w="2280" w:type="dxa"/>
            <w:vAlign w:val="bottom"/>
            <w:tcBorders>
              <w:right w:val="single" w:sz="8" w:color="auto"/>
            </w:tcBorders>
            <w:shd w:val="clear" w:color="auto" w:fill="B2B2B2"/>
          </w:tcPr>
          <w:p>
            <w:pPr>
              <w:spacing w:after="0"/>
              <w:rPr>
                <w:sz w:val="4"/>
                <w:szCs w:val="4"/>
                <w:color w:val="auto"/>
              </w:rPr>
            </w:pPr>
          </w:p>
        </w:tc>
        <w:tc>
          <w:tcPr>
            <w:tcW w:w="3780" w:type="dxa"/>
            <w:vAlign w:val="bottom"/>
            <w:tcBorders>
              <w:right w:val="single" w:sz="8" w:color="auto"/>
            </w:tcBorders>
            <w:vMerge w:val="continue"/>
            <w:shd w:val="clear" w:color="auto" w:fill="B2B2B2"/>
          </w:tcPr>
          <w:p>
            <w:pPr>
              <w:spacing w:after="0"/>
              <w:rPr>
                <w:sz w:val="4"/>
                <w:szCs w:val="4"/>
                <w:color w:val="auto"/>
              </w:rPr>
            </w:pPr>
          </w:p>
        </w:tc>
        <w:tc>
          <w:tcPr>
            <w:tcW w:w="3420" w:type="dxa"/>
            <w:vAlign w:val="bottom"/>
            <w:tcBorders>
              <w:right w:val="single" w:sz="8" w:color="auto"/>
            </w:tcBorders>
            <w:vMerge w:val="continue"/>
            <w:shd w:val="clear" w:color="auto" w:fill="B2B2B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280" w:type="dxa"/>
            <w:vAlign w:val="bottom"/>
            <w:tcBorders>
              <w:right w:val="single" w:sz="8" w:color="auto"/>
            </w:tcBorders>
            <w:shd w:val="clear" w:color="auto" w:fill="B2B2B2"/>
          </w:tcPr>
          <w:p>
            <w:pPr>
              <w:spacing w:after="0"/>
              <w:rPr>
                <w:sz w:val="18"/>
                <w:szCs w:val="18"/>
                <w:color w:val="auto"/>
              </w:rPr>
            </w:pPr>
          </w:p>
        </w:tc>
        <w:tc>
          <w:tcPr>
            <w:tcW w:w="378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appreciation</w:t>
            </w:r>
          </w:p>
        </w:tc>
        <w:tc>
          <w:tcPr>
            <w:tcW w:w="342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period following issuance of restricted</w:t>
            </w: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shd w:val="clear" w:color="auto" w:fill="B2B2B2"/>
          </w:tcPr>
          <w:p>
            <w:pPr>
              <w:spacing w:after="0"/>
              <w:rPr>
                <w:sz w:val="20"/>
                <w:szCs w:val="20"/>
                <w:color w:val="auto"/>
              </w:rPr>
            </w:pPr>
          </w:p>
        </w:tc>
        <w:tc>
          <w:tcPr>
            <w:tcW w:w="2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Performance-Based</w:t>
            </w: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Motivates long-term performance by delivering</w:t>
            </w:r>
          </w:p>
        </w:tc>
        <w:tc>
          <w:tcPr>
            <w:tcW w:w="342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58"/>
        </w:trPr>
        <w:tc>
          <w:tcPr>
            <w:tcW w:w="1680" w:type="dxa"/>
            <w:vAlign w:val="bottom"/>
            <w:tcBorders>
              <w:left w:val="single" w:sz="8" w:color="auto"/>
              <w:right w:val="single" w:sz="8" w:color="auto"/>
            </w:tcBorders>
            <w:shd w:val="clear" w:color="auto" w:fill="B2B2B2"/>
          </w:tcPr>
          <w:p>
            <w:pPr>
              <w:spacing w:after="0"/>
              <w:rPr>
                <w:sz w:val="5"/>
                <w:szCs w:val="5"/>
                <w:color w:val="auto"/>
              </w:rPr>
            </w:pPr>
          </w:p>
        </w:tc>
        <w:tc>
          <w:tcPr>
            <w:tcW w:w="2280" w:type="dxa"/>
            <w:vAlign w:val="bottom"/>
            <w:tcBorders>
              <w:right w:val="single" w:sz="8" w:color="auto"/>
            </w:tcBorders>
            <w:vMerge w:val="continue"/>
            <w:shd w:val="clear" w:color="auto" w:fill="B2B2B2"/>
          </w:tcPr>
          <w:p>
            <w:pPr>
              <w:spacing w:after="0"/>
              <w:rPr>
                <w:sz w:val="5"/>
                <w:szCs w:val="5"/>
                <w:color w:val="auto"/>
              </w:rPr>
            </w:pPr>
          </w:p>
        </w:tc>
        <w:tc>
          <w:tcPr>
            <w:tcW w:w="3780" w:type="dxa"/>
            <w:vAlign w:val="bottom"/>
            <w:tcBorders>
              <w:right w:val="single" w:sz="8" w:color="auto"/>
            </w:tcBorders>
            <w:vMerge w:val="continue"/>
            <w:shd w:val="clear" w:color="auto" w:fill="B2B2B2"/>
          </w:tcPr>
          <w:p>
            <w:pPr>
              <w:spacing w:after="0"/>
              <w:rPr>
                <w:sz w:val="5"/>
                <w:szCs w:val="5"/>
                <w:color w:val="auto"/>
              </w:rPr>
            </w:pPr>
          </w:p>
        </w:tc>
        <w:tc>
          <w:tcPr>
            <w:tcW w:w="3420" w:type="dxa"/>
            <w:vAlign w:val="bottom"/>
            <w:tcBorders>
              <w:right w:val="single" w:sz="8" w:color="auto"/>
            </w:tcBorders>
            <w:shd w:val="clear" w:color="auto" w:fill="B2B2B2"/>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Restricted Stock Unit</w:t>
            </w:r>
          </w:p>
        </w:tc>
        <w:tc>
          <w:tcPr>
            <w:tcW w:w="3780" w:type="dxa"/>
            <w:vAlign w:val="bottom"/>
            <w:tcBorders>
              <w:right w:val="single" w:sz="8" w:color="auto"/>
            </w:tcBorders>
            <w:vMerge w:val="continue"/>
            <w:shd w:val="clear" w:color="auto" w:fill="B2B2B2"/>
          </w:tcPr>
          <w:p>
            <w:pPr>
              <w:spacing w:after="0"/>
              <w:rPr>
                <w:sz w:val="11"/>
                <w:szCs w:val="11"/>
                <w:color w:val="auto"/>
              </w:rPr>
            </w:pPr>
          </w:p>
        </w:tc>
        <w:tc>
          <w:tcPr>
            <w:tcW w:w="34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280" w:type="dxa"/>
            <w:vAlign w:val="bottom"/>
            <w:tcBorders>
              <w:right w:val="single" w:sz="8" w:color="auto"/>
            </w:tcBorders>
            <w:vMerge w:val="continue"/>
            <w:shd w:val="clear" w:color="auto" w:fill="B2B2B2"/>
          </w:tcPr>
          <w:p>
            <w:pPr>
              <w:spacing w:after="0"/>
              <w:rPr>
                <w:sz w:val="7"/>
                <w:szCs w:val="7"/>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greater rewards for superior company</w:t>
            </w:r>
          </w:p>
        </w:tc>
        <w:tc>
          <w:tcPr>
            <w:tcW w:w="34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Awards</w:t>
            </w:r>
          </w:p>
        </w:tc>
        <w:tc>
          <w:tcPr>
            <w:tcW w:w="3780" w:type="dxa"/>
            <w:vAlign w:val="bottom"/>
            <w:tcBorders>
              <w:right w:val="single" w:sz="8" w:color="auto"/>
            </w:tcBorders>
            <w:vMerge w:val="continue"/>
            <w:shd w:val="clear" w:color="auto" w:fill="B2B2B2"/>
          </w:tcPr>
          <w:p>
            <w:pPr>
              <w:spacing w:after="0"/>
              <w:rPr>
                <w:sz w:val="11"/>
                <w:szCs w:val="11"/>
                <w:color w:val="auto"/>
              </w:rPr>
            </w:pPr>
          </w:p>
        </w:tc>
        <w:tc>
          <w:tcPr>
            <w:tcW w:w="34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280" w:type="dxa"/>
            <w:vAlign w:val="bottom"/>
            <w:tcBorders>
              <w:right w:val="single" w:sz="8" w:color="auto"/>
            </w:tcBorders>
            <w:vMerge w:val="continue"/>
            <w:shd w:val="clear" w:color="auto" w:fill="B2B2B2"/>
          </w:tcPr>
          <w:p>
            <w:pPr>
              <w:spacing w:after="0"/>
              <w:rPr>
                <w:sz w:val="7"/>
                <w:szCs w:val="7"/>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performance, while delivering reduced or no</w:t>
            </w:r>
          </w:p>
        </w:tc>
        <w:tc>
          <w:tcPr>
            <w:tcW w:w="34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2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(Equity)</w:t>
            </w:r>
          </w:p>
        </w:tc>
        <w:tc>
          <w:tcPr>
            <w:tcW w:w="3780" w:type="dxa"/>
            <w:vAlign w:val="bottom"/>
            <w:tcBorders>
              <w:right w:val="single" w:sz="8" w:color="auto"/>
            </w:tcBorders>
            <w:vMerge w:val="continue"/>
            <w:shd w:val="clear" w:color="auto" w:fill="B2B2B2"/>
          </w:tcPr>
          <w:p>
            <w:pPr>
              <w:spacing w:after="0"/>
              <w:rPr>
                <w:sz w:val="11"/>
                <w:szCs w:val="11"/>
                <w:color w:val="auto"/>
              </w:rPr>
            </w:pPr>
          </w:p>
        </w:tc>
        <w:tc>
          <w:tcPr>
            <w:tcW w:w="34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280" w:type="dxa"/>
            <w:vAlign w:val="bottom"/>
            <w:tcBorders>
              <w:right w:val="single" w:sz="8" w:color="auto"/>
            </w:tcBorders>
            <w:vMerge w:val="continue"/>
            <w:shd w:val="clear" w:color="auto" w:fill="B2B2B2"/>
          </w:tcPr>
          <w:p>
            <w:pPr>
              <w:spacing w:after="0"/>
              <w:rPr>
                <w:sz w:val="9"/>
                <w:szCs w:val="9"/>
                <w:color w:val="auto"/>
              </w:rPr>
            </w:pPr>
          </w:p>
        </w:tc>
        <w:tc>
          <w:tcPr>
            <w:tcW w:w="378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awards for company underperformance</w:t>
            </w:r>
          </w:p>
        </w:tc>
        <w:tc>
          <w:tcPr>
            <w:tcW w:w="34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280" w:type="dxa"/>
            <w:vAlign w:val="bottom"/>
            <w:tcBorders>
              <w:right w:val="single" w:sz="8" w:color="auto"/>
            </w:tcBorders>
            <w:shd w:val="clear" w:color="auto" w:fill="B2B2B2"/>
          </w:tcPr>
          <w:p>
            <w:pPr>
              <w:spacing w:after="0"/>
              <w:rPr>
                <w:sz w:val="11"/>
                <w:szCs w:val="11"/>
                <w:color w:val="auto"/>
              </w:rPr>
            </w:pPr>
          </w:p>
        </w:tc>
        <w:tc>
          <w:tcPr>
            <w:tcW w:w="3780" w:type="dxa"/>
            <w:vAlign w:val="bottom"/>
            <w:tcBorders>
              <w:right w:val="single" w:sz="8" w:color="auto"/>
            </w:tcBorders>
            <w:vMerge w:val="continue"/>
            <w:shd w:val="clear" w:color="auto" w:fill="B2B2B2"/>
          </w:tcPr>
          <w:p>
            <w:pPr>
              <w:spacing w:after="0"/>
              <w:rPr>
                <w:sz w:val="11"/>
                <w:szCs w:val="11"/>
                <w:color w:val="auto"/>
              </w:rPr>
            </w:pPr>
          </w:p>
        </w:tc>
        <w:tc>
          <w:tcPr>
            <w:tcW w:w="34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680" w:type="dxa"/>
            <w:vAlign w:val="bottom"/>
            <w:tcBorders>
              <w:left w:val="single" w:sz="8" w:color="auto"/>
              <w:bottom w:val="single" w:sz="8" w:color="auto"/>
              <w:right w:val="single" w:sz="8" w:color="auto"/>
            </w:tcBorders>
            <w:shd w:val="clear" w:color="auto" w:fill="B2B2B2"/>
          </w:tcPr>
          <w:p>
            <w:pPr>
              <w:spacing w:after="0"/>
              <w:rPr>
                <w:sz w:val="19"/>
                <w:szCs w:val="19"/>
                <w:color w:val="auto"/>
              </w:rPr>
            </w:pPr>
          </w:p>
        </w:tc>
        <w:tc>
          <w:tcPr>
            <w:tcW w:w="2280" w:type="dxa"/>
            <w:vAlign w:val="bottom"/>
            <w:tcBorders>
              <w:bottom w:val="single" w:sz="8" w:color="auto"/>
              <w:right w:val="single" w:sz="8" w:color="auto"/>
            </w:tcBorders>
            <w:shd w:val="clear" w:color="auto" w:fill="B2B2B2"/>
          </w:tcPr>
          <w:p>
            <w:pPr>
              <w:spacing w:after="0"/>
              <w:rPr>
                <w:sz w:val="19"/>
                <w:szCs w:val="19"/>
                <w:color w:val="auto"/>
              </w:rPr>
            </w:pPr>
          </w:p>
        </w:tc>
        <w:tc>
          <w:tcPr>
            <w:tcW w:w="3780" w:type="dxa"/>
            <w:vAlign w:val="bottom"/>
            <w:tcBorders>
              <w:bottom w:val="single" w:sz="8" w:color="auto"/>
              <w:right w:val="single" w:sz="8" w:color="auto"/>
            </w:tcBorders>
            <w:shd w:val="clear" w:color="auto" w:fill="B2B2B2"/>
          </w:tcPr>
          <w:p>
            <w:pPr>
              <w:spacing w:after="0"/>
              <w:rPr>
                <w:sz w:val="19"/>
                <w:szCs w:val="19"/>
                <w:color w:val="auto"/>
              </w:rPr>
            </w:pPr>
          </w:p>
        </w:tc>
        <w:tc>
          <w:tcPr>
            <w:tcW w:w="3420" w:type="dxa"/>
            <w:vAlign w:val="bottom"/>
            <w:tcBorders>
              <w:bottom w:val="single" w:sz="8" w:color="auto"/>
              <w:right w:val="single" w:sz="8" w:color="auto"/>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chart shows the relative percentage of total compensation of the various compensation components at target levels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837555" cy="2957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755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to the above elements, our executive compensation program for the last fiscal year also included contributions to retirement plans and other benefits, which are discussed in greater detail below.</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Base Salary</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provide base salaries to our named executive officers to compensate them for fulfilling their primary responsibilities and to provide financial stability. The Compensation Committee annually reviews, and adjusts as appropriate, base salaries for our executive officers. In May 2025, the Compensation Committee approved increases to the base salary of our named executive officers. The following salary increases were effective May 2025: Mr. Hawkins to $750,000, an increase of 7%; Mr. Oldenkamp to $587,000, an increase of 3%; Mr. Erstad to $387,000, an increase of 3%, Mr. Grahek to $438,000, an increase of 3%; Mr. Lange to $405,000, an increase of 8%, and Mr. Mangine to $387,000, an increase of 3%. Each increase in base salary was due to labor market dynamics.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Non-Equity Incentive Compensation</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non-equity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203"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Our non-equity incentive compensation arrangements (described below) provide for no payout to executive officers unless a specified minimum level of performance is achieved and allows for a significantly increased payout if the target is exceeded. The cash incentive payments are determined and paid following the completion of our annual audit.</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For fiscal 2026, the Compensation Committee designated financial performance goals, including a corporate pre-tax income performance measure and, for each named executive officer in charge of a business unit (which in fiscal 2026 included only Mr. Lange, our Vice President - Water Treatment and Mr. Mangine, our Vice President - Industrial Solutions), an operational measure of business unit profitability.</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annual cash incentive payment opportunities for our named executive officers were based on the following percentages of base salary for fiscal 2026:</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820" w:type="dxa"/>
            <w:vAlign w:val="bottom"/>
            <w:tcBorders>
              <w:top w:val="single" w:sz="8" w:color="auto"/>
              <w:lef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2"/>
          </w:tcPr>
          <w:p>
            <w:pPr>
              <w:jc w:val="center"/>
              <w:ind w:right="120"/>
              <w:spacing w:after="0" w:line="197" w:lineRule="exact"/>
              <w:rPr>
                <w:sz w:val="20"/>
                <w:szCs w:val="20"/>
                <w:color w:val="auto"/>
              </w:rPr>
            </w:pPr>
            <w:r>
              <w:rPr>
                <w:rFonts w:ascii="Arial" w:cs="Arial" w:eastAsia="Arial" w:hAnsi="Arial"/>
                <w:sz w:val="18"/>
                <w:szCs w:val="18"/>
                <w:b w:val="1"/>
                <w:bCs w:val="1"/>
                <w:color w:val="auto"/>
              </w:rPr>
              <w:t>Threshold</w:t>
            </w:r>
          </w:p>
        </w:tc>
        <w:tc>
          <w:tcPr>
            <w:tcW w:w="2080" w:type="dxa"/>
            <w:vAlign w:val="bottom"/>
            <w:tcBorders>
              <w:top w:val="single" w:sz="8" w:color="auto"/>
            </w:tcBorders>
            <w:gridSpan w:val="2"/>
          </w:tcPr>
          <w:p>
            <w:pPr>
              <w:jc w:val="center"/>
              <w:ind w:right="120"/>
              <w:spacing w:after="0" w:line="197" w:lineRule="exact"/>
              <w:rPr>
                <w:sz w:val="20"/>
                <w:szCs w:val="20"/>
                <w:color w:val="auto"/>
              </w:rPr>
            </w:pPr>
            <w:r>
              <w:rPr>
                <w:rFonts w:ascii="Arial" w:cs="Arial" w:eastAsia="Arial" w:hAnsi="Arial"/>
                <w:sz w:val="18"/>
                <w:szCs w:val="18"/>
                <w:b w:val="1"/>
                <w:bCs w:val="1"/>
                <w:color w:val="auto"/>
                <w:w w:val="94"/>
              </w:rPr>
              <w:t>Target</w:t>
            </w:r>
          </w:p>
        </w:tc>
        <w:tc>
          <w:tcPr>
            <w:tcW w:w="202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8"/>
              </w:rPr>
              <w:t>Maximum</w:t>
            </w:r>
          </w:p>
        </w:tc>
        <w:tc>
          <w:tcPr>
            <w:tcW w:w="0" w:type="dxa"/>
            <w:vAlign w:val="bottom"/>
          </w:tcPr>
          <w:p>
            <w:pPr>
              <w:spacing w:after="0"/>
              <w:rPr>
                <w:sz w:val="1"/>
                <w:szCs w:val="1"/>
                <w:color w:val="auto"/>
              </w:rPr>
            </w:pPr>
          </w:p>
        </w:tc>
      </w:tr>
      <w:tr>
        <w:trPr>
          <w:trHeight w:val="181"/>
        </w:trPr>
        <w:tc>
          <w:tcPr>
            <w:tcW w:w="494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21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Annual Cash</w:t>
            </w:r>
          </w:p>
        </w:tc>
        <w:tc>
          <w:tcPr>
            <w:tcW w:w="20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Annual Cash</w:t>
            </w:r>
          </w:p>
        </w:tc>
        <w:tc>
          <w:tcPr>
            <w:tcW w:w="202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9"/>
              </w:rPr>
              <w:t>Annual Cash</w:t>
            </w:r>
          </w:p>
        </w:tc>
        <w:tc>
          <w:tcPr>
            <w:tcW w:w="0" w:type="dxa"/>
            <w:vAlign w:val="bottom"/>
          </w:tcPr>
          <w:p>
            <w:pPr>
              <w:spacing w:after="0"/>
              <w:rPr>
                <w:sz w:val="1"/>
                <w:szCs w:val="1"/>
                <w:color w:val="auto"/>
              </w:rPr>
            </w:pPr>
          </w:p>
        </w:tc>
      </w:tr>
      <w:tr>
        <w:trPr>
          <w:trHeight w:val="250"/>
        </w:trPr>
        <w:tc>
          <w:tcPr>
            <w:tcW w:w="4940" w:type="dxa"/>
            <w:vAlign w:val="bottom"/>
            <w:tcBorders>
              <w:left w:val="single" w:sz="8" w:color="auto"/>
            </w:tcBorders>
            <w:gridSpan w:val="2"/>
            <w:vMerge w:val="continue"/>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Incentive Payment</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Incentive Payment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0" w:type="dxa"/>
            <w:vAlign w:val="bottom"/>
          </w:tcPr>
          <w:p>
            <w:pPr>
              <w:spacing w:after="0"/>
              <w:rPr>
                <w:sz w:val="1"/>
                <w:szCs w:val="1"/>
                <w:color w:val="auto"/>
              </w:rPr>
            </w:pPr>
          </w:p>
        </w:tc>
      </w:tr>
      <w:tr>
        <w:trPr>
          <w:trHeight w:val="203"/>
        </w:trPr>
        <w:tc>
          <w:tcPr>
            <w:tcW w:w="4820" w:type="dxa"/>
            <w:vAlign w:val="bottom"/>
            <w:tcBorders>
              <w:top w:val="single" w:sz="8" w:color="auto"/>
              <w:left w:val="single" w:sz="8" w:color="auto"/>
            </w:tcBorders>
            <w:shd w:val="clear" w:color="auto" w:fill="B3B3B3"/>
          </w:tcPr>
          <w:p>
            <w:pPr>
              <w:ind w:left="40"/>
              <w:spacing w:after="0" w:line="203" w:lineRule="exact"/>
              <w:rPr>
                <w:sz w:val="20"/>
                <w:szCs w:val="20"/>
                <w:color w:val="auto"/>
              </w:rPr>
            </w:pPr>
            <w:r>
              <w:rPr>
                <w:rFonts w:ascii="Arial" w:cs="Arial" w:eastAsia="Arial" w:hAnsi="Arial"/>
                <w:sz w:val="18"/>
                <w:szCs w:val="18"/>
                <w:color w:val="auto"/>
              </w:rPr>
              <w:t>Patrick H. Hawkins, Chief Executive Officer</w:t>
            </w:r>
          </w:p>
        </w:tc>
        <w:tc>
          <w:tcPr>
            <w:tcW w:w="120" w:type="dxa"/>
            <w:vAlign w:val="bottom"/>
            <w:tcBorders>
              <w:top w:val="single" w:sz="8" w:color="B3B3B3"/>
            </w:tcBorders>
            <w:shd w:val="clear" w:color="auto" w:fill="B3B3B3"/>
          </w:tcPr>
          <w:p>
            <w:pPr>
              <w:spacing w:after="0"/>
              <w:rPr>
                <w:sz w:val="17"/>
                <w:szCs w:val="17"/>
                <w:color w:val="auto"/>
              </w:rPr>
            </w:pPr>
          </w:p>
        </w:tc>
        <w:tc>
          <w:tcPr>
            <w:tcW w:w="2000" w:type="dxa"/>
            <w:vAlign w:val="bottom"/>
            <w:tcBorders>
              <w:top w:val="single" w:sz="8" w:color="auto"/>
            </w:tcBorders>
            <w:shd w:val="clear" w:color="auto" w:fill="B3B3B3"/>
          </w:tcPr>
          <w:p>
            <w:pPr>
              <w:jc w:val="right"/>
              <w:spacing w:after="0" w:line="203" w:lineRule="exact"/>
              <w:rPr>
                <w:sz w:val="20"/>
                <w:szCs w:val="20"/>
                <w:color w:val="auto"/>
              </w:rPr>
            </w:pPr>
            <w:r>
              <w:rPr>
                <w:rFonts w:ascii="Arial" w:cs="Arial" w:eastAsia="Arial" w:hAnsi="Arial"/>
                <w:sz w:val="18"/>
                <w:szCs w:val="18"/>
                <w:color w:val="auto"/>
              </w:rPr>
              <w:t>50 %</w:t>
            </w:r>
          </w:p>
        </w:tc>
        <w:tc>
          <w:tcPr>
            <w:tcW w:w="120" w:type="dxa"/>
            <w:vAlign w:val="bottom"/>
            <w:tcBorders>
              <w:top w:val="single" w:sz="8" w:color="B3B3B3"/>
            </w:tcBorders>
            <w:shd w:val="clear" w:color="auto" w:fill="B3B3B3"/>
          </w:tcPr>
          <w:p>
            <w:pPr>
              <w:spacing w:after="0"/>
              <w:rPr>
                <w:sz w:val="17"/>
                <w:szCs w:val="17"/>
                <w:color w:val="auto"/>
              </w:rPr>
            </w:pPr>
          </w:p>
        </w:tc>
        <w:tc>
          <w:tcPr>
            <w:tcW w:w="1960" w:type="dxa"/>
            <w:vAlign w:val="bottom"/>
            <w:tcBorders>
              <w:top w:val="single" w:sz="8" w:color="auto"/>
            </w:tcBorders>
            <w:shd w:val="clear" w:color="auto" w:fill="B3B3B3"/>
          </w:tcPr>
          <w:p>
            <w:pPr>
              <w:jc w:val="right"/>
              <w:spacing w:after="0" w:line="203" w:lineRule="exact"/>
              <w:rPr>
                <w:sz w:val="20"/>
                <w:szCs w:val="20"/>
                <w:color w:val="auto"/>
              </w:rPr>
            </w:pPr>
            <w:r>
              <w:rPr>
                <w:rFonts w:ascii="Arial" w:cs="Arial" w:eastAsia="Arial" w:hAnsi="Arial"/>
                <w:sz w:val="18"/>
                <w:szCs w:val="18"/>
                <w:color w:val="auto"/>
              </w:rPr>
              <w:t>100 %</w:t>
            </w:r>
          </w:p>
        </w:tc>
        <w:tc>
          <w:tcPr>
            <w:tcW w:w="120" w:type="dxa"/>
            <w:vAlign w:val="bottom"/>
            <w:tcBorders>
              <w:top w:val="single" w:sz="8" w:color="B3B3B3"/>
            </w:tcBorders>
            <w:shd w:val="clear" w:color="auto" w:fill="B3B3B3"/>
          </w:tcPr>
          <w:p>
            <w:pPr>
              <w:spacing w:after="0"/>
              <w:rPr>
                <w:sz w:val="17"/>
                <w:szCs w:val="17"/>
                <w:color w:val="auto"/>
              </w:rPr>
            </w:pPr>
          </w:p>
        </w:tc>
        <w:tc>
          <w:tcPr>
            <w:tcW w:w="2020" w:type="dxa"/>
            <w:vAlign w:val="bottom"/>
            <w:tcBorders>
              <w:top w:val="single" w:sz="8" w:color="auto"/>
              <w:right w:val="single" w:sz="8" w:color="auto"/>
            </w:tcBorders>
            <w:shd w:val="clear" w:color="auto" w:fill="B3B3B3"/>
          </w:tcPr>
          <w:p>
            <w:pPr>
              <w:jc w:val="right"/>
              <w:spacing w:after="0" w:line="203"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 Chief Financial Officer</w:t>
            </w:r>
          </w:p>
        </w:tc>
        <w:tc>
          <w:tcPr>
            <w:tcW w:w="2000" w:type="dxa"/>
            <w:vAlign w:val="bottom"/>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9"/>
                <w:szCs w:val="19"/>
                <w:color w:val="auto"/>
              </w:rPr>
            </w:pP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 Vice President - Operations</w:t>
            </w:r>
          </w:p>
        </w:tc>
        <w:tc>
          <w:tcPr>
            <w:tcW w:w="20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B3B3B3"/>
          </w:tcPr>
          <w:p>
            <w:pPr>
              <w:spacing w:after="0"/>
              <w:rPr>
                <w:sz w:val="19"/>
                <w:szCs w:val="19"/>
                <w:color w:val="auto"/>
              </w:rPr>
            </w:pP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B3B3B3"/>
          </w:tcPr>
          <w:p>
            <w:pPr>
              <w:spacing w:after="0"/>
              <w:rPr>
                <w:sz w:val="19"/>
                <w:szCs w:val="19"/>
                <w:color w:val="auto"/>
              </w:rPr>
            </w:pPr>
          </w:p>
        </w:tc>
        <w:tc>
          <w:tcPr>
            <w:tcW w:w="20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Douglas A. Lange, Vice President - Water Treatment</w:t>
            </w:r>
          </w:p>
        </w:tc>
        <w:tc>
          <w:tcPr>
            <w:tcW w:w="200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9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David J. Mangine, Vice President - Industrial Solutions</w:t>
            </w:r>
          </w:p>
        </w:tc>
        <w:tc>
          <w:tcPr>
            <w:tcW w:w="20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B3B3B3"/>
          </w:tcPr>
          <w:p>
            <w:pPr>
              <w:spacing w:after="0"/>
              <w:rPr>
                <w:sz w:val="19"/>
                <w:szCs w:val="19"/>
                <w:color w:val="auto"/>
              </w:rPr>
            </w:pP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B3B3B3"/>
          </w:tcPr>
          <w:p>
            <w:pPr>
              <w:spacing w:after="0"/>
              <w:rPr>
                <w:sz w:val="19"/>
                <w:szCs w:val="19"/>
                <w:color w:val="auto"/>
              </w:rPr>
            </w:pPr>
          </w:p>
        </w:tc>
        <w:tc>
          <w:tcPr>
            <w:tcW w:w="20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0"/>
        </w:trPr>
        <w:tc>
          <w:tcPr>
            <w:tcW w:w="49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 Former VP, Secretary, and General</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3"/>
                <w:szCs w:val="23"/>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3"/>
                <w:szCs w:val="23"/>
                <w:color w:val="auto"/>
              </w:rPr>
            </w:pPr>
          </w:p>
        </w:tc>
        <w:tc>
          <w:tcPr>
            <w:tcW w:w="2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Counsel</w:t>
            </w:r>
          </w:p>
        </w:tc>
        <w:tc>
          <w:tcPr>
            <w:tcW w:w="2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Compensation Committee established the payment opportunities for each of the named executive officers based on the relative scope of such named executive officer's responsibilities and resulting ability to impact the company’s performance.</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 determined that 100% of the annual cash incentive payment opportunities for each of our named executive officers (other than Mr. Lange and Mr. Mangine) for fiscal 2026 should be based upon corporate performance against the pre-tax income goal to reflect their significant company-wide responsibilities and resulting ability to impact the overall success of the company.</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Compensation Committee determined that 50% of the annual cash incentive payment opportunity for Mr. Lange, our Vice President - Water Treatment and Mr. Mangine, our Vice President - Industrial Solutions for fiscal 2026 should be based upon corporate performance against the pre-tax income goal and 50% should be based upon the profitability of their respective business unit to reflect their dual roles as leader of their business unit and as a member of the company’s overall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8" w:name="page19"/>
    <w:bookmarkEnd w:id="18"/>
    <w:p>
      <w:pPr>
        <w:ind w:right="340"/>
        <w:spacing w:after="0" w:line="255" w:lineRule="auto"/>
        <w:rPr>
          <w:sz w:val="20"/>
          <w:szCs w:val="20"/>
          <w:color w:val="auto"/>
        </w:rPr>
      </w:pPr>
      <w:r>
        <w:rPr>
          <w:rFonts w:ascii="Arial" w:cs="Arial" w:eastAsia="Arial" w:hAnsi="Arial"/>
          <w:sz w:val="18"/>
          <w:szCs w:val="18"/>
          <w:color w:val="auto"/>
        </w:rPr>
        <w:t>No annual cash incentive payments are made unless the threshold level of 80% of the respective target performance level is achieved. Performance between 80% and 100% of the respective target results in a payout from 50% of the target level cash incentive payment for achieving exactly 80% of the performance target to 100% of the target level cash incentive payment for achieving exactly the respective target performance level (</w:t>
      </w:r>
      <w:r>
        <w:rPr>
          <w:rFonts w:ascii="Arial" w:cs="Arial" w:eastAsia="Arial" w:hAnsi="Arial"/>
          <w:sz w:val="18"/>
          <w:szCs w:val="18"/>
          <w:i w:val="1"/>
          <w:iCs w:val="1"/>
          <w:color w:val="auto"/>
        </w:rPr>
        <w:t>e.g</w:t>
      </w:r>
      <w:r>
        <w:rPr>
          <w:rFonts w:ascii="Arial" w:cs="Arial" w:eastAsia="Arial" w:hAnsi="Arial"/>
          <w:sz w:val="18"/>
          <w:szCs w:val="18"/>
          <w:color w:val="auto"/>
        </w:rPr>
        <w:t>., achieving 90% of the performance target will lead to a payout of 75% of the target level cash incentive payment). Performance between 100% and 120% of the respective target level results in a payout from 100% of the target level cash incentive payment for exactly 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Business Unit Financial Measures.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corporate performance portion of the annual cash incentive payment was based on our company-wide results for fiscal 2026 as measured by income before income taxes and adjusted under the Performance Measures described above, as compared to a targeted level of the same financial measure for that period. For our Water Treatment and Industrial Solutions segments, the business unit performance portion of the annual cash incentive payment was based on an operational measure of business unit profitability for fiscal 2026 as compared to a targeted level of such operational profitability for that period. In each case, the targeted levels of performance were based on the level of anticipated performance that was derived from the company’s annual operating plan. The corporate and business unit financial goals for fiscal 2026 and the actual performance against those goals are summarized below (amounts in thousands).</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6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Threshold</w:t>
            </w:r>
          </w:p>
        </w:tc>
        <w:tc>
          <w:tcPr>
            <w:tcW w:w="1480" w:type="dxa"/>
            <w:vAlign w:val="bottom"/>
            <w:tcBorders>
              <w:top w:val="single" w:sz="8" w:color="auto"/>
            </w:tcBorders>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4"/>
              </w:rPr>
              <w:t>Target</w:t>
            </w:r>
          </w:p>
        </w:tc>
        <w:tc>
          <w:tcPr>
            <w:tcW w:w="146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184"/>
        </w:trPr>
        <w:tc>
          <w:tcPr>
            <w:tcW w:w="53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Financial Measure</w:t>
            </w:r>
          </w:p>
        </w:tc>
        <w:tc>
          <w:tcPr>
            <w:tcW w:w="150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Performance</w:t>
            </w:r>
          </w:p>
        </w:tc>
        <w:tc>
          <w:tcPr>
            <w:tcW w:w="1480" w:type="dxa"/>
            <w:vAlign w:val="bottom"/>
            <w:gridSpan w:val="2"/>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Performance</w:t>
            </w:r>
          </w:p>
        </w:tc>
        <w:tc>
          <w:tcPr>
            <w:tcW w:w="146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Performance</w:t>
            </w:r>
          </w:p>
        </w:tc>
        <w:tc>
          <w:tcPr>
            <w:tcW w:w="14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9"/>
              </w:rPr>
              <w:t>Performance</w:t>
            </w:r>
          </w:p>
        </w:tc>
        <w:tc>
          <w:tcPr>
            <w:tcW w:w="0" w:type="dxa"/>
            <w:vAlign w:val="bottom"/>
          </w:tcPr>
          <w:p>
            <w:pPr>
              <w:spacing w:after="0"/>
              <w:rPr>
                <w:sz w:val="1"/>
                <w:szCs w:val="1"/>
                <w:color w:val="auto"/>
              </w:rPr>
            </w:pPr>
          </w:p>
        </w:tc>
      </w:tr>
      <w:tr>
        <w:trPr>
          <w:trHeight w:val="235"/>
        </w:trPr>
        <w:tc>
          <w:tcPr>
            <w:tcW w:w="5360" w:type="dxa"/>
            <w:vAlign w:val="bottom"/>
            <w:tcBorders>
              <w:left w:val="single" w:sz="8" w:color="auto"/>
            </w:tcBorders>
            <w:gridSpan w:val="2"/>
            <w:vMerge w:val="continue"/>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Level</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Level</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Level</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Achieved</w:t>
            </w:r>
          </w:p>
        </w:tc>
        <w:tc>
          <w:tcPr>
            <w:tcW w:w="0" w:type="dxa"/>
            <w:vAlign w:val="bottom"/>
          </w:tcPr>
          <w:p>
            <w:pPr>
              <w:spacing w:after="0"/>
              <w:rPr>
                <w:sz w:val="1"/>
                <w:szCs w:val="1"/>
                <w:color w:val="auto"/>
              </w:rPr>
            </w:pPr>
          </w:p>
        </w:tc>
      </w:tr>
      <w:tr>
        <w:trPr>
          <w:trHeight w:val="223"/>
        </w:trPr>
        <w:tc>
          <w:tcPr>
            <w:tcW w:w="526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B3B3B3"/>
            </w:tcBorders>
            <w:shd w:val="clear" w:color="auto" w:fill="B3B3B3"/>
          </w:tcPr>
          <w:p>
            <w:pPr>
              <w:spacing w:after="0"/>
              <w:rPr>
                <w:sz w:val="19"/>
                <w:szCs w:val="19"/>
                <w:color w:val="auto"/>
              </w:rPr>
            </w:pPr>
          </w:p>
        </w:tc>
        <w:tc>
          <w:tcPr>
            <w:tcW w:w="13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$95,840</w:t>
            </w:r>
          </w:p>
        </w:tc>
        <w:tc>
          <w:tcPr>
            <w:tcW w:w="12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$119,800</w:t>
            </w:r>
          </w:p>
        </w:tc>
        <w:tc>
          <w:tcPr>
            <w:tcW w:w="12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$143,760</w:t>
            </w:r>
          </w:p>
        </w:tc>
        <w:tc>
          <w:tcPr>
            <w:tcW w:w="100" w:type="dxa"/>
            <w:vAlign w:val="bottom"/>
            <w:tcBorders>
              <w:top w:val="single" w:sz="8" w:color="B3B3B3"/>
            </w:tcBorders>
            <w:shd w:val="clear" w:color="auto" w:fill="B3B3B3"/>
          </w:tcPr>
          <w:p>
            <w:pPr>
              <w:spacing w:after="0"/>
              <w:rPr>
                <w:sz w:val="19"/>
                <w:szCs w:val="19"/>
                <w:color w:val="auto"/>
              </w:rPr>
            </w:pPr>
          </w:p>
        </w:tc>
        <w:tc>
          <w:tcPr>
            <w:tcW w:w="142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$118,968</w:t>
            </w:r>
          </w:p>
        </w:tc>
        <w:tc>
          <w:tcPr>
            <w:tcW w:w="0" w:type="dxa"/>
            <w:vAlign w:val="bottom"/>
          </w:tcPr>
          <w:p>
            <w:pPr>
              <w:spacing w:after="0"/>
              <w:rPr>
                <w:sz w:val="1"/>
                <w:szCs w:val="1"/>
                <w:color w:val="auto"/>
              </w:rPr>
            </w:pPr>
          </w:p>
        </w:tc>
      </w:tr>
      <w:tr>
        <w:trPr>
          <w:trHeight w:val="229"/>
        </w:trPr>
        <w:tc>
          <w:tcPr>
            <w:tcW w:w="5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Water Treatment Segment Operational Performance Measure</w:t>
            </w:r>
          </w:p>
        </w:tc>
        <w:tc>
          <w:tcPr>
            <w:tcW w:w="1380" w:type="dxa"/>
            <w:vAlign w:val="bottom"/>
          </w:tcPr>
          <w:p>
            <w:pPr>
              <w:jc w:val="right"/>
              <w:spacing w:after="0"/>
              <w:rPr>
                <w:sz w:val="20"/>
                <w:szCs w:val="20"/>
                <w:color w:val="auto"/>
              </w:rPr>
            </w:pPr>
            <w:r>
              <w:rPr>
                <w:rFonts w:ascii="Arial" w:cs="Arial" w:eastAsia="Arial" w:hAnsi="Arial"/>
                <w:sz w:val="18"/>
                <w:szCs w:val="18"/>
                <w:color w:val="auto"/>
              </w:rPr>
              <w:t>$52,485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$65,606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$78,727</w:t>
            </w:r>
          </w:p>
        </w:tc>
        <w:tc>
          <w:tcPr>
            <w:tcW w:w="100" w:type="dxa"/>
            <w:vAlign w:val="bottom"/>
          </w:tcPr>
          <w:p>
            <w:pPr>
              <w:spacing w:after="0"/>
              <w:rPr>
                <w:sz w:val="19"/>
                <w:szCs w:val="19"/>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$68,120</w:t>
            </w:r>
          </w:p>
        </w:tc>
        <w:tc>
          <w:tcPr>
            <w:tcW w:w="0" w:type="dxa"/>
            <w:vAlign w:val="bottom"/>
          </w:tcPr>
          <w:p>
            <w:pPr>
              <w:spacing w:after="0"/>
              <w:rPr>
                <w:sz w:val="1"/>
                <w:szCs w:val="1"/>
                <w:color w:val="auto"/>
              </w:rPr>
            </w:pPr>
          </w:p>
        </w:tc>
      </w:tr>
      <w:tr>
        <w:trPr>
          <w:trHeight w:val="229"/>
        </w:trPr>
        <w:tc>
          <w:tcPr>
            <w:tcW w:w="536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Industrial Solutions Segment Operational Performance Measure</w:t>
            </w:r>
          </w:p>
        </w:tc>
        <w:tc>
          <w:tcPr>
            <w:tcW w:w="13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$14,850</w:t>
            </w:r>
          </w:p>
        </w:tc>
        <w:tc>
          <w:tcPr>
            <w:tcW w:w="12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$18,563</w:t>
            </w:r>
          </w:p>
        </w:tc>
        <w:tc>
          <w:tcPr>
            <w:tcW w:w="12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$22,275</w:t>
            </w:r>
          </w:p>
        </w:tc>
        <w:tc>
          <w:tcPr>
            <w:tcW w:w="100" w:type="dxa"/>
            <w:vAlign w:val="bottom"/>
            <w:tcBorders>
              <w:bottom w:val="single" w:sz="8" w:color="auto"/>
            </w:tcBorders>
            <w:shd w:val="clear" w:color="auto" w:fill="B3B3B3"/>
          </w:tcPr>
          <w:p>
            <w:pPr>
              <w:spacing w:after="0"/>
              <w:rPr>
                <w:sz w:val="19"/>
                <w:szCs w:val="19"/>
                <w:color w:val="auto"/>
              </w:rPr>
            </w:pPr>
          </w:p>
        </w:tc>
        <w:tc>
          <w:tcPr>
            <w:tcW w:w="142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$19,254</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set these target performance levels to ensure that a substantial portion of each named executive officer’s cash compensation is tied to corporate and business unit performance, as appropriate, and to provide our named executive officers with a performance-based opportunity to achieve market-competitive total compensation. The Compensation Committee determined that income before income taxes was the best measure of overall corporate financial performance and that the operational profitability measure described above was the best measures of business unit financial performance.</w:t>
      </w:r>
    </w:p>
    <w:p>
      <w:pPr>
        <w:spacing w:after="0" w:line="2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Because our income before income taxes was below the target performance level but above the minimum performance level for fiscal 2026, our named executive officers received 98% of the targeted payout under the corporate financial measure for fiscal 2026. Because business unit operational profitability performance for the Water Treatment Segment exceeded the target performance level but was under the maximum performance level, Mr. Lange received 119% of his targeted payout under the business unit financial measure. Because business unit operational profitability performance for the Industrial Solutions Segment exceeded the target performance level but was under the maximum performance level, Mr. Mangine received 119% of his targeted payout under the business unit financial measure.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equity incentive compensation program is designed to:</w:t>
      </w:r>
    </w:p>
    <w:p>
      <w:pPr>
        <w:spacing w:after="0" w:line="27"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incentives for the retention of our named executive officers,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equity incentive program that is competitive with the programs provided by companies with whom we compete for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For fiscal 2026, as had been the case in prior years, the equity incentive compensation program consisted of grants of performance-based restricted stock units under the Hawkins, Inc. 2019 Equity Incentive Plan (the "2019 Plan") that would be earned based on company income before income taxes performance during fiscal 2026 and would be settled in shares of restricted stock that would vest after two more years of service. The Compensation Committee determined, with the assistance of McLagan, to continue granting performance-based restricted stock units to our named executive officers so that a significant portion of each named executive officer’s compensation would be performance-based.</w:t>
      </w:r>
    </w:p>
    <w:p>
      <w:pPr>
        <w:spacing w:after="0" w:line="2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fiscal 2026, the target number of shares issued to each named executive officer pursuant to his or her performance-based restricted stock unit award was based on a percentage of the executive’s base salary and converted into a target number of shares based on the closing price of a share of our common stock on the date of grant. The resulting awards, approved by the Compensation Committee in May 2025, provided that each named executive officer would receive up to a maximum number of shares of restricted stock based on our performance during fiscal 2026 measured against the same pre-tax income target used in the annual non-equity incentive compensation awards described above.</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actual number of shares of restricted stock that would be earned and settled on a one-for-one basis in shares of restricted stock was based on a straight line interpolation for the relevant income above or below the target level and was subject to minimum threshold and maximum settlement amounts. For fiscal 2026, the target was set at $ 119.8 million, the same level as our target used for our non-equity incentive plan arrangement described above. Our actual performance was $119.0 million, reflecting our actual income before income taxes, as adjusted under the Performance Measures described above. If our actual results were less than 80% of the target in fiscal 2026, then no restricted stock units would be earned and settled in shares of restricted stock. If our actual results were between 80% and 100% of the target in fiscal 2026, then a number of restricted stock units would have been earned and settled in shares of restricted stock based on a straight line interpolation between 50% and 100% of the target number of shares of restricted stock. If our actual results were between 100% and 120% of the target in fiscal 2026, then a number of restricted stock units would have been earned and settled in shares of restricted stock based on a straight line interpolation between 100% and 150% of the target number of shares of restricted stock. Because our actual results were less than the target performance level but above the minimum performance level for fiscal 2026, the named executive officers each received restricted stock equal to 98% of the target number of shares of restricted stock.</w:t>
      </w:r>
    </w:p>
    <w:p>
      <w:pPr>
        <w:spacing w:after="0" w:line="2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Compensation Committee established the following performance-based restricted stock unit award amounts for our named executive officers for fiscal 2026:</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6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Units Earned</w:t>
            </w:r>
          </w:p>
        </w:tc>
        <w:tc>
          <w:tcPr>
            <w:tcW w:w="0" w:type="dxa"/>
            <w:vAlign w:val="bottom"/>
          </w:tcPr>
          <w:p>
            <w:pPr>
              <w:spacing w:after="0"/>
              <w:rPr>
                <w:sz w:val="1"/>
                <w:szCs w:val="1"/>
                <w:color w:val="auto"/>
              </w:rPr>
            </w:pPr>
          </w:p>
        </w:tc>
      </w:tr>
      <w:tr>
        <w:trPr>
          <w:trHeight w:val="184"/>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rPr>
              <w:t>and Number of</w:t>
            </w:r>
          </w:p>
        </w:tc>
        <w:tc>
          <w:tcPr>
            <w:tcW w:w="0" w:type="dxa"/>
            <w:vAlign w:val="bottom"/>
          </w:tcPr>
          <w:p>
            <w:pPr>
              <w:spacing w:after="0"/>
              <w:rPr>
                <w:sz w:val="1"/>
                <w:szCs w:val="1"/>
                <w:color w:val="auto"/>
              </w:rPr>
            </w:pPr>
          </w:p>
        </w:tc>
      </w:tr>
      <w:tr>
        <w:trPr>
          <w:trHeight w:val="181"/>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9"/>
              </w:rPr>
              <w:t>Shares of</w:t>
            </w:r>
          </w:p>
        </w:tc>
        <w:tc>
          <w:tcPr>
            <w:tcW w:w="0" w:type="dxa"/>
            <w:vAlign w:val="bottom"/>
          </w:tcPr>
          <w:p>
            <w:pPr>
              <w:spacing w:after="0"/>
              <w:rPr>
                <w:sz w:val="1"/>
                <w:szCs w:val="1"/>
                <w:color w:val="auto"/>
              </w:rPr>
            </w:pPr>
          </w:p>
        </w:tc>
      </w:tr>
      <w:tr>
        <w:trPr>
          <w:trHeight w:val="175"/>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Target % of</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Maximum</w:t>
            </w: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Restricted</w:t>
            </w:r>
          </w:p>
        </w:tc>
        <w:tc>
          <w:tcPr>
            <w:tcW w:w="0" w:type="dxa"/>
            <w:vAlign w:val="bottom"/>
          </w:tcPr>
          <w:p>
            <w:pPr>
              <w:spacing w:after="0"/>
              <w:rPr>
                <w:sz w:val="1"/>
                <w:szCs w:val="1"/>
                <w:color w:val="auto"/>
              </w:rPr>
            </w:pPr>
          </w:p>
        </w:tc>
      </w:tr>
      <w:tr>
        <w:trPr>
          <w:trHeight w:val="175"/>
        </w:trPr>
        <w:tc>
          <w:tcPr>
            <w:tcW w:w="37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620" w:type="dxa"/>
            <w:vAlign w:val="bottom"/>
            <w:gridSpan w:val="2"/>
            <w:vMerge w:val="continue"/>
          </w:tcPr>
          <w:p>
            <w:pPr>
              <w:spacing w:after="0"/>
              <w:rPr>
                <w:sz w:val="15"/>
                <w:szCs w:val="15"/>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Minimum Units</w:t>
            </w:r>
          </w:p>
        </w:tc>
        <w:tc>
          <w:tcPr>
            <w:tcW w:w="14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Target Units</w:t>
            </w:r>
          </w:p>
        </w:tc>
        <w:tc>
          <w:tcPr>
            <w:tcW w:w="1460" w:type="dxa"/>
            <w:vAlign w:val="bottom"/>
            <w:gridSpan w:val="2"/>
            <w:vMerge w:val="continue"/>
          </w:tcPr>
          <w:p>
            <w:pPr>
              <w:spacing w:after="0"/>
              <w:rPr>
                <w:sz w:val="15"/>
                <w:szCs w:val="15"/>
                <w:color w:val="auto"/>
              </w:rPr>
            </w:pP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Stock Actually</w:t>
            </w:r>
          </w:p>
        </w:tc>
        <w:tc>
          <w:tcPr>
            <w:tcW w:w="0" w:type="dxa"/>
            <w:vAlign w:val="bottom"/>
          </w:tcPr>
          <w:p>
            <w:pPr>
              <w:spacing w:after="0"/>
              <w:rPr>
                <w:sz w:val="1"/>
                <w:szCs w:val="1"/>
                <w:color w:val="auto"/>
              </w:rPr>
            </w:pPr>
          </w:p>
        </w:tc>
      </w:tr>
      <w:tr>
        <w:trPr>
          <w:trHeight w:val="243"/>
        </w:trPr>
        <w:tc>
          <w:tcPr>
            <w:tcW w:w="3780" w:type="dxa"/>
            <w:vAlign w:val="bottom"/>
            <w:tcBorders>
              <w:left w:val="single" w:sz="8" w:color="auto"/>
            </w:tcBorders>
            <w:gridSpan w:val="2"/>
            <w:vMerge w:val="continue"/>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Base Salary</w:t>
            </w:r>
          </w:p>
        </w:tc>
        <w:tc>
          <w:tcPr>
            <w:tcW w:w="1460" w:type="dxa"/>
            <w:vAlign w:val="bottom"/>
            <w:gridSpan w:val="2"/>
            <w:vMerge w:val="continue"/>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Units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Issued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 Chief Executive Officer</w:t>
            </w:r>
          </w:p>
        </w:tc>
        <w:tc>
          <w:tcPr>
            <w:tcW w:w="120" w:type="dxa"/>
            <w:vAlign w:val="bottom"/>
            <w:tcBorders>
              <w:top w:val="single" w:sz="8" w:color="B3B3B3"/>
            </w:tcBorders>
            <w:shd w:val="clear" w:color="auto" w:fill="B3B3B3"/>
          </w:tcPr>
          <w:p>
            <w:pPr>
              <w:spacing w:after="0"/>
              <w:rPr>
                <w:sz w:val="19"/>
                <w:szCs w:val="19"/>
                <w:color w:val="auto"/>
              </w:rPr>
            </w:pPr>
          </w:p>
        </w:tc>
        <w:tc>
          <w:tcPr>
            <w:tcW w:w="15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8,617</w:t>
            </w:r>
          </w:p>
        </w:tc>
        <w:tc>
          <w:tcPr>
            <w:tcW w:w="100" w:type="dxa"/>
            <w:vAlign w:val="bottom"/>
            <w:tcBorders>
              <w:top w:val="single" w:sz="8" w:color="B3B3B3"/>
            </w:tcBorders>
            <w:shd w:val="clear" w:color="auto" w:fill="B3B3B3"/>
          </w:tcPr>
          <w:p>
            <w:pPr>
              <w:spacing w:after="0"/>
              <w:rPr>
                <w:sz w:val="19"/>
                <w:szCs w:val="19"/>
                <w:color w:val="auto"/>
              </w:rPr>
            </w:pPr>
          </w:p>
        </w:tc>
        <w:tc>
          <w:tcPr>
            <w:tcW w:w="13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25,851</w:t>
            </w:r>
          </w:p>
        </w:tc>
        <w:tc>
          <w:tcPr>
            <w:tcW w:w="100" w:type="dxa"/>
            <w:vAlign w:val="bottom"/>
            <w:tcBorders>
              <w:top w:val="single" w:sz="8" w:color="B3B3B3"/>
            </w:tcBorders>
            <w:shd w:val="clear" w:color="auto" w:fill="B3B3B3"/>
          </w:tcPr>
          <w:p>
            <w:pPr>
              <w:spacing w:after="0"/>
              <w:rPr>
                <w:sz w:val="19"/>
                <w:szCs w:val="19"/>
                <w:color w:val="auto"/>
              </w:rPr>
            </w:pPr>
          </w:p>
        </w:tc>
        <w:tc>
          <w:tcPr>
            <w:tcW w:w="1400" w:type="dxa"/>
            <w:vAlign w:val="bottom"/>
            <w:tcBorders>
              <w:top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16,934</w:t>
            </w:r>
          </w:p>
        </w:tc>
        <w:tc>
          <w:tcPr>
            <w:tcW w:w="0" w:type="dxa"/>
            <w:vAlign w:val="bottom"/>
          </w:tcPr>
          <w:p>
            <w:pPr>
              <w:spacing w:after="0"/>
              <w:rPr>
                <w:sz w:val="1"/>
                <w:szCs w:val="1"/>
                <w:color w:val="auto"/>
              </w:rPr>
            </w:pPr>
          </w:p>
        </w:tc>
      </w:tr>
      <w:tr>
        <w:trPr>
          <w:trHeight w:val="229"/>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 Chief Financial Officer</w:t>
            </w:r>
          </w:p>
        </w:tc>
        <w:tc>
          <w:tcPr>
            <w:tcW w:w="152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8,584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12,876</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 Vice President - Operations</w:t>
            </w:r>
          </w:p>
        </w:tc>
        <w:tc>
          <w:tcPr>
            <w:tcW w:w="15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2,745</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175"/>
        </w:trPr>
        <w:tc>
          <w:tcPr>
            <w:tcW w:w="3780" w:type="dxa"/>
            <w:vAlign w:val="bottom"/>
            <w:tcBorders>
              <w:left w:val="single" w:sz="8" w:color="auto"/>
            </w:tcBorders>
            <w:gridSpan w:val="2"/>
          </w:tcPr>
          <w:p>
            <w:pPr>
              <w:ind w:left="40"/>
              <w:spacing w:after="0" w:line="176" w:lineRule="exact"/>
              <w:rPr>
                <w:sz w:val="20"/>
                <w:szCs w:val="20"/>
                <w:color w:val="auto"/>
              </w:rPr>
            </w:pPr>
            <w:r>
              <w:rPr>
                <w:rFonts w:ascii="Arial" w:cs="Arial" w:eastAsia="Arial" w:hAnsi="Arial"/>
                <w:sz w:val="18"/>
                <w:szCs w:val="18"/>
                <w:color w:val="auto"/>
              </w:rPr>
              <w:t>Douglas A. Lange, Vice President - Water</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5"/>
                <w:szCs w:val="15"/>
                <w:color w:val="auto"/>
              </w:rPr>
            </w:pPr>
          </w:p>
        </w:tc>
        <w:tc>
          <w:tcPr>
            <w:tcW w:w="14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43"/>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Treatment</w:t>
            </w: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80" w:type="dxa"/>
            <w:vAlign w:val="bottom"/>
            <w:tcBorders>
              <w:left w:val="single" w:sz="8" w:color="auto"/>
            </w:tcBorders>
            <w:gridSpan w:val="2"/>
            <w:shd w:val="clear" w:color="auto" w:fill="B3B3B3"/>
          </w:tcPr>
          <w:p>
            <w:pPr>
              <w:ind w:left="40"/>
              <w:spacing w:after="0" w:line="176" w:lineRule="exact"/>
              <w:rPr>
                <w:sz w:val="20"/>
                <w:szCs w:val="20"/>
                <w:color w:val="auto"/>
              </w:rPr>
            </w:pPr>
            <w:r>
              <w:rPr>
                <w:rFonts w:ascii="Arial" w:cs="Arial" w:eastAsia="Arial" w:hAnsi="Arial"/>
                <w:sz w:val="18"/>
                <w:szCs w:val="18"/>
                <w:color w:val="auto"/>
              </w:rPr>
              <w:t>David J. Mangine, Vice President - Industrial</w:t>
            </w:r>
          </w:p>
        </w:tc>
        <w:tc>
          <w:tcPr>
            <w:tcW w:w="15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B3B3B3"/>
          </w:tcPr>
          <w:p>
            <w:pPr>
              <w:spacing w:after="0"/>
              <w:rPr>
                <w:sz w:val="15"/>
                <w:szCs w:val="15"/>
                <w:color w:val="auto"/>
              </w:rPr>
            </w:pPr>
          </w:p>
        </w:tc>
        <w:tc>
          <w:tcPr>
            <w:tcW w:w="136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B3B3B3"/>
          </w:tcPr>
          <w:p>
            <w:pPr>
              <w:spacing w:after="0"/>
              <w:rPr>
                <w:sz w:val="15"/>
                <w:szCs w:val="15"/>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B3B3B3"/>
          </w:tcPr>
          <w:p>
            <w:pPr>
              <w:spacing w:after="0"/>
              <w:rPr>
                <w:sz w:val="15"/>
                <w:szCs w:val="15"/>
                <w:color w:val="auto"/>
              </w:rPr>
            </w:pPr>
          </w:p>
        </w:tc>
        <w:tc>
          <w:tcPr>
            <w:tcW w:w="136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B3B3B3"/>
          </w:tcPr>
          <w:p>
            <w:pPr>
              <w:spacing w:after="0"/>
              <w:rPr>
                <w:sz w:val="15"/>
                <w:szCs w:val="15"/>
                <w:color w:val="auto"/>
              </w:rPr>
            </w:pPr>
          </w:p>
        </w:tc>
        <w:tc>
          <w:tcPr>
            <w:tcW w:w="1400" w:type="dxa"/>
            <w:vAlign w:val="bottom"/>
            <w:tcBorders>
              <w:right w:val="single" w:sz="8" w:color="auto"/>
            </w:tcBorders>
            <w:vMerge w:val="restart"/>
            <w:shd w:val="clear" w:color="auto" w:fill="B3B3B3"/>
          </w:tcPr>
          <w:p>
            <w:pPr>
              <w:jc w:val="right"/>
              <w:ind w:right="1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43"/>
        </w:trPr>
        <w:tc>
          <w:tcPr>
            <w:tcW w:w="37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Solutions</w:t>
            </w:r>
          </w:p>
        </w:tc>
        <w:tc>
          <w:tcPr>
            <w:tcW w:w="1520" w:type="dxa"/>
            <w:vAlign w:val="bottom"/>
            <w:vMerge w:val="continue"/>
            <w:shd w:val="clear" w:color="auto" w:fill="B3B3B3"/>
          </w:tcPr>
          <w:p>
            <w:pPr>
              <w:spacing w:after="0"/>
              <w:rPr>
                <w:sz w:val="21"/>
                <w:szCs w:val="21"/>
                <w:color w:val="auto"/>
              </w:rPr>
            </w:pPr>
          </w:p>
        </w:tc>
        <w:tc>
          <w:tcPr>
            <w:tcW w:w="100" w:type="dxa"/>
            <w:vAlign w:val="bottom"/>
            <w:shd w:val="clear" w:color="auto" w:fill="B3B3B3"/>
          </w:tcPr>
          <w:p>
            <w:pPr>
              <w:spacing w:after="0"/>
              <w:rPr>
                <w:sz w:val="21"/>
                <w:szCs w:val="21"/>
                <w:color w:val="auto"/>
              </w:rPr>
            </w:pPr>
          </w:p>
        </w:tc>
        <w:tc>
          <w:tcPr>
            <w:tcW w:w="1360" w:type="dxa"/>
            <w:vAlign w:val="bottom"/>
            <w:vMerge w:val="continue"/>
            <w:shd w:val="clear" w:color="auto" w:fill="B3B3B3"/>
          </w:tcPr>
          <w:p>
            <w:pPr>
              <w:spacing w:after="0"/>
              <w:rPr>
                <w:sz w:val="21"/>
                <w:szCs w:val="21"/>
                <w:color w:val="auto"/>
              </w:rPr>
            </w:pPr>
          </w:p>
        </w:tc>
        <w:tc>
          <w:tcPr>
            <w:tcW w:w="100" w:type="dxa"/>
            <w:vAlign w:val="bottom"/>
            <w:shd w:val="clear" w:color="auto" w:fill="B3B3B3"/>
          </w:tcPr>
          <w:p>
            <w:pPr>
              <w:spacing w:after="0"/>
              <w:rPr>
                <w:sz w:val="21"/>
                <w:szCs w:val="21"/>
                <w:color w:val="auto"/>
              </w:rPr>
            </w:pPr>
          </w:p>
        </w:tc>
        <w:tc>
          <w:tcPr>
            <w:tcW w:w="1320" w:type="dxa"/>
            <w:vAlign w:val="bottom"/>
            <w:vMerge w:val="continue"/>
            <w:shd w:val="clear" w:color="auto" w:fill="B3B3B3"/>
          </w:tcPr>
          <w:p>
            <w:pPr>
              <w:spacing w:after="0"/>
              <w:rPr>
                <w:sz w:val="21"/>
                <w:szCs w:val="21"/>
                <w:color w:val="auto"/>
              </w:rPr>
            </w:pPr>
          </w:p>
        </w:tc>
        <w:tc>
          <w:tcPr>
            <w:tcW w:w="120" w:type="dxa"/>
            <w:vAlign w:val="bottom"/>
            <w:shd w:val="clear" w:color="auto" w:fill="B3B3B3"/>
          </w:tcPr>
          <w:p>
            <w:pPr>
              <w:spacing w:after="0"/>
              <w:rPr>
                <w:sz w:val="21"/>
                <w:szCs w:val="21"/>
                <w:color w:val="auto"/>
              </w:rPr>
            </w:pPr>
          </w:p>
        </w:tc>
        <w:tc>
          <w:tcPr>
            <w:tcW w:w="1360" w:type="dxa"/>
            <w:vAlign w:val="bottom"/>
            <w:vMerge w:val="continue"/>
            <w:shd w:val="clear" w:color="auto" w:fill="B3B3B3"/>
          </w:tcPr>
          <w:p>
            <w:pPr>
              <w:spacing w:after="0"/>
              <w:rPr>
                <w:sz w:val="21"/>
                <w:szCs w:val="21"/>
                <w:color w:val="auto"/>
              </w:rPr>
            </w:pPr>
          </w:p>
        </w:tc>
        <w:tc>
          <w:tcPr>
            <w:tcW w:w="100" w:type="dxa"/>
            <w:vAlign w:val="bottom"/>
            <w:shd w:val="clear" w:color="auto" w:fill="B3B3B3"/>
          </w:tcPr>
          <w:p>
            <w:pPr>
              <w:spacing w:after="0"/>
              <w:rPr>
                <w:sz w:val="21"/>
                <w:szCs w:val="21"/>
                <w:color w:val="auto"/>
              </w:rPr>
            </w:pPr>
          </w:p>
        </w:tc>
        <w:tc>
          <w:tcPr>
            <w:tcW w:w="1400" w:type="dxa"/>
            <w:vAlign w:val="bottom"/>
            <w:tcBorders>
              <w:right w:val="single" w:sz="8" w:color="auto"/>
            </w:tcBorders>
            <w:vMerge w:val="continue"/>
            <w:shd w:val="clear" w:color="auto" w:fill="B3B3B3"/>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 Former VP, Secretary,</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3"/>
                <w:szCs w:val="2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3"/>
                <w:szCs w:val="2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23"/>
                <w:szCs w:val="2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3"/>
                <w:szCs w:val="23"/>
                <w:color w:val="auto"/>
              </w:rPr>
            </w:pPr>
          </w:p>
        </w:tc>
        <w:tc>
          <w:tcPr>
            <w:tcW w:w="14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and General Counsel</w:t>
            </w: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named executive officers' performance-based restricted stock unit award agreements, in the event of a “corporate transaction” (as defined below) involving the company occurring during the performance period, each performance-based restricted stock unit award will vest immediately at 100% of target level if the Compensation Committee determines that the corporate transaction will not result in the continuation of the performance-based restricted stock unit award. If the corporate transaction occurs after the end of the performance period, then outstanding shares of restricted stock issued in settlement of earned performance-based restricted stock unit awards will also immediately vest under the same circumstances.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0" w:name="page21"/>
    <w:bookmarkEnd w:id="20"/>
    <w:p>
      <w:pPr>
        <w:ind w:right="80"/>
        <w:spacing w:after="0" w:line="257" w:lineRule="auto"/>
        <w:rPr>
          <w:sz w:val="20"/>
          <w:szCs w:val="20"/>
          <w:color w:val="auto"/>
        </w:rPr>
      </w:pPr>
      <w:r>
        <w:rPr>
          <w:rFonts w:ascii="Arial" w:cs="Arial" w:eastAsia="Arial" w:hAnsi="Arial"/>
          <w:sz w:val="18"/>
          <w:szCs w:val="18"/>
          <w:color w:val="auto"/>
        </w:rPr>
        <w:t>In the event of a "change in control" (as defined below), or if a performance-based restricted stock unit award is continued after a corporate transaction, but, in connection with the change in control or corporate transaction, a named executive officer is terminated without cause or resigns for good reason during the applicable performance period, then the performance-based restricted stock unit award will vest immediately at 100% of target level and be settled in unrestricted shares, and if the termination occurs after the end of the performance period, all of the number of shares of restricted stock actually issued in settlement of earned performance-based restricted stock unit awards will vest immediately.</w:t>
      </w:r>
    </w:p>
    <w:p>
      <w:pPr>
        <w:spacing w:after="0" w:line="20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believe that these vesting terms in connection with a corporate transaction strike an appropriate balance between company and shareholder concerns about executive retention in the event of a corporate transaction and an executive’s legitimate concerns regarding termination or diminution of duties as a result of a corporate transaction or a change in control.</w:t>
      </w:r>
    </w:p>
    <w:p>
      <w:pPr>
        <w:spacing w:after="0" w:line="19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our 2019 Plan, “corporate transaction” means a sale of substantially all of its assets, merger or consolidation involving the company or statutory share exchange involving company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generally includes any one of the following, unless otherwise provided in an award agreement:</w:t>
      </w:r>
    </w:p>
    <w:p>
      <w:pPr>
        <w:spacing w:after="0" w:line="27" w:lineRule="exact"/>
        <w:rPr>
          <w:sz w:val="20"/>
          <w:szCs w:val="20"/>
          <w:color w:val="auto"/>
        </w:rPr>
      </w:pPr>
    </w:p>
    <w:p>
      <w:pPr>
        <w:ind w:left="660" w:right="540" w:hanging="328"/>
        <w:spacing w:after="0" w:line="250"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w:t>
      </w: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2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"Cause" for termination generally involves the failure to perform the executive's duties, violation of certain laws, a material violation of company policies or its code of conduct, a material breach of fiduciary duties or any agreement with the company, or personal dishonestly or dishonorable conduct.</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“Continuing director” means an individual who is, as of the effective date of the 2019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Severance Arrangements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We believe that the benefits provided by the Executive Severance Plan help attract executive talent and create an environment that provides for adequate business transition, stability and knowledge transfer during times of uncertainty or change. The terms of our Executive Severance Plan are described in greater detail under the heading "Potential Payments Upon Termination or Change in Control."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employment agreements with any of our named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Contribution to Retirement Plans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named executive officers are eligible to participate in the 401(k) matching component of the Hawkins, Inc. Profit Sharing Plan ("Profit Sharing Plan"), which is available to the majority of our non-bargaining unit employees. Our eligible named executive officers who were hired on or before April 1, 2012 and are classified as “highly compensated employees” as determined by the Internal Revenue Service (“IRS”) also participate in our nonqualified deferred compensation plan. Mr. Hawkins, Mr. Erstad, and Mr. Mangine are the only named executive officers eligible to participate in the nonqualified deferred compensation plan. Named executive officers hired after April 1, 2012 are not eligible to participate in the nonqualified deferred compensation plan but instead may be eligible to participate in the profit sharing component under the Profit Sharing Plan and the Hawkins, Inc. Employee Stock Ownership Plan ("ESOP"). Mr. Oldenkamp, Mr. Grahek, and Mr. Lange are the only named executive officers eligible to participate in the profit sharing component under the Profit Sharing Plan and the ESOP. The profit sharing component under the Profit Sharing Plan and the ESOP are tax-qualified retirement plans under Section 401(a) of the Internal Revenue Code (the "Code").</w:t>
      </w:r>
    </w:p>
    <w:p>
      <w:pPr>
        <w:spacing w:after="0" w:line="212" w:lineRule="exact"/>
        <w:rPr>
          <w:sz w:val="20"/>
          <w:szCs w:val="20"/>
          <w:color w:val="auto"/>
        </w:rPr>
      </w:pPr>
    </w:p>
    <w:p>
      <w:pPr>
        <w:jc w:val="both"/>
        <w:ind w:right="640"/>
        <w:spacing w:after="0" w:line="287" w:lineRule="auto"/>
        <w:rPr>
          <w:sz w:val="20"/>
          <w:szCs w:val="20"/>
          <w:color w:val="auto"/>
        </w:rPr>
      </w:pPr>
      <w:r>
        <w:rPr>
          <w:rFonts w:ascii="Arial" w:cs="Arial" w:eastAsia="Arial" w:hAnsi="Arial"/>
          <w:sz w:val="18"/>
          <w:szCs w:val="18"/>
          <w:color w:val="auto"/>
        </w:rPr>
        <w:t>Under the qualified retirement plans, our named executive officers who are eligible participate on the same terms as all other eligible employees, with the annual compensation that was used to determine plan benefits capped at the federal tax law compensation limit.</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1" w:name="page22"/>
    <w:bookmarkEnd w:id="21"/>
    <w:p>
      <w:pPr>
        <w:ind w:right="20"/>
        <w:spacing w:after="0" w:line="254" w:lineRule="auto"/>
        <w:rPr>
          <w:sz w:val="20"/>
          <w:szCs w:val="20"/>
          <w:color w:val="auto"/>
        </w:rPr>
      </w:pPr>
      <w:r>
        <w:rPr>
          <w:rFonts w:ascii="Arial" w:cs="Arial" w:eastAsia="Arial" w:hAnsi="Arial"/>
          <w:sz w:val="18"/>
          <w:szCs w:val="18"/>
          <w:color w:val="auto"/>
        </w:rPr>
        <w:t>Under our Profit Sharing Plan, we contributed a percentage of each eligible participant’s compensation to an account maintained for the participant under the plan. For fiscal 2026, we made profit sharing contributions to the Profit Sharing Plan for each of Mr. Oldenkamp, Mr. Grahek, and Mr. Lange equal to 2.5% of their compensation in the plan year, subject to IRS limitations, resulting in a contribution of $8,750 to each of them. Under the 401(k) matching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2026, we made 401(k) matching contributions of $17,500 on behalf of each of Messrs. Hawkins, Oldenkamp, Grahek, and Lange, and $14,850 on behalf of Mr. Erstad. Under our ESOP, we may contribute a percentage of each eligible participant’s compensation to the plan, subject to IRS limitations, which is then credited to individual accounts maintained for participants under the plan. For fiscal 2026, we made contributions to this plan for each of Mr. Oldenkamp, Mr. Grahek, and Mr. Lange equal to 2.5% of their eligible compensation in the plan year, resulting in a contribution of $8,750 to each of them. Participant accounts are credited with the appropriate gains or losses resulting from the investments made by the plan.</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nonqualified deferred compensation plan is structured to comply with Section 409A of the Code. Under the plan, participants do not defer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2026 we made contributions to this plan equal to 10% of each participant’s eligible compensation in the plan year, subject to the cap as specified by the plan, resulting in a contribution of $35,000 on behalf of each of Mr. Hawkins, Mr. Erstad, and Mr. Mangine.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Benefits</w:t>
      </w:r>
    </w:p>
    <w:p>
      <w:pPr>
        <w:spacing w:after="0" w:line="1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2026, we provided medical and other health and welfare benefits to our named executive officers that are generally available to our other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only perquisite we offer to our named executive officers is the personal use of a company car.</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Agreements and Policies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Considerations</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162(m) of the Code disallows a tax deduction to public companies for compensation of more than $1 million paid in any taxable year to each “covered employee.” To the extent the total compensation of any covered employee exceeds $ 1 million in a taxable year, the amount in excess of $1 million is not deductible for taxes. While the Compensation Committee is mindful of the benefit to us of the deductibility of compensation, the Compensation Committee continues to believe that shareholder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 The Compensation Committee’s ability to continue to provide a competitive compensation package to attract, motivate and retain the company’s most senior executives is considered critical to the company’s success and to advancing the interests of its shareholders.</w:t>
      </w:r>
    </w:p>
    <w:p>
      <w:pPr>
        <w:spacing w:after="0" w:line="2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Section 280G of the Code disallows a tax deduction with respect to excess parachute payments to certain disqualified individuals providing services to companies which undergo a change in control. In addition, Section 4999 of the Code imposes a 20% excise tax on the individual with respect to the excess parachute payment. Parachute payments are compensation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individual's prior compensation. We do not provide tax gross-ups on income that is deemed made in connection with a change in control.</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409A of the Code also affects the payments of certain types of deferred compensation to key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 Our nonqualified deferred compensation arrangements are designed to meet the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i w:val="1"/>
          <w:iCs w:val="1"/>
          <w:color w:val="auto"/>
        </w:rPr>
        <w:t>Risks Arising from Compensation Policies and Practices</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and agreed with management’s analysis and conclusions.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08"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that the Compensation Discussion and Analysis be included in this proxy statement and incorporated by reference in our Annual Report on Form 10-K.</w:t>
      </w:r>
    </w:p>
    <w:p>
      <w:pPr>
        <w:spacing w:after="0" w:line="261" w:lineRule="exact"/>
        <w:rPr>
          <w:sz w:val="20"/>
          <w:szCs w:val="20"/>
          <w:color w:val="auto"/>
        </w:rPr>
      </w:pPr>
    </w:p>
    <w:p>
      <w:pPr>
        <w:ind w:left="1900"/>
        <w:spacing w:after="0"/>
        <w:tabs>
          <w:tab w:leader="none" w:pos="4420" w:val="left"/>
          <w:tab w:leader="none" w:pos="6100" w:val="left"/>
          <w:tab w:leader="none" w:pos="8020" w:val="left"/>
        </w:tabs>
        <w:rPr>
          <w:sz w:val="20"/>
          <w:szCs w:val="20"/>
          <w:color w:val="auto"/>
        </w:rPr>
      </w:pPr>
      <w:r>
        <w:rPr>
          <w:rFonts w:ascii="Arial" w:cs="Arial" w:eastAsia="Arial" w:hAnsi="Arial"/>
          <w:sz w:val="18"/>
          <w:szCs w:val="18"/>
          <w:i w:val="1"/>
          <w:iCs w:val="1"/>
          <w:color w:val="auto"/>
        </w:rPr>
        <w:t>Mary J. Schumacher (Chair)</w:t>
      </w:r>
      <w:r>
        <w:rPr>
          <w:sz w:val="20"/>
          <w:szCs w:val="20"/>
          <w:color w:val="auto"/>
        </w:rPr>
        <w:tab/>
      </w:r>
      <w:r>
        <w:rPr>
          <w:rFonts w:ascii="Arial" w:cs="Arial" w:eastAsia="Arial" w:hAnsi="Arial"/>
          <w:sz w:val="18"/>
          <w:szCs w:val="18"/>
          <w:i w:val="1"/>
          <w:iCs w:val="1"/>
          <w:color w:val="auto"/>
        </w:rPr>
        <w:t>Yi "Faith" Tang</w:t>
      </w:r>
      <w:r>
        <w:rPr>
          <w:sz w:val="20"/>
          <w:szCs w:val="20"/>
          <w:color w:val="auto"/>
        </w:rPr>
        <w:tab/>
      </w:r>
      <w:r>
        <w:rPr>
          <w:rFonts w:ascii="Arial" w:cs="Arial" w:eastAsia="Arial" w:hAnsi="Arial"/>
          <w:sz w:val="18"/>
          <w:szCs w:val="18"/>
          <w:i w:val="1"/>
          <w:iCs w:val="1"/>
          <w:color w:val="auto"/>
        </w:rPr>
        <w:t>James T. Thompson</w:t>
      </w:r>
      <w:r>
        <w:rPr>
          <w:sz w:val="20"/>
          <w:szCs w:val="20"/>
          <w:color w:val="auto"/>
        </w:rPr>
        <w:tab/>
      </w:r>
      <w:r>
        <w:rPr>
          <w:rFonts w:ascii="Arial" w:cs="Arial" w:eastAsia="Arial" w:hAnsi="Arial"/>
          <w:sz w:val="18"/>
          <w:szCs w:val="18"/>
          <w:i w:val="1"/>
          <w:iCs w:val="1"/>
          <w:color w:val="auto"/>
        </w:rPr>
        <w:t>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-8890</wp:posOffset>
            </wp:positionV>
            <wp:extent cx="47371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37100" cy="8890"/>
                    </a:xfrm>
                    <a:prstGeom prst="rect">
                      <a:avLst/>
                    </a:prstGeom>
                    <a:noFill/>
                  </pic:spPr>
                </pic:pic>
              </a:graphicData>
            </a:graphic>
          </wp:anchor>
        </w:drawing>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Compensation Committee of the Board of Director</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decisions regarding compensation of our executive officers during fiscal 2026 were made by the Compensation Committee. During fiscal 2026, the following directors served on the Compensation Committee: Mary J. Schumacher, Yi "Faith" Tang, James T. Thompson and Jeffrey L. Wright. None of our executive officers participates in any Board or committee vote setting his or her annual salary or equity and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Summary Compensation Table</w:t>
      </w:r>
    </w:p>
    <w:p>
      <w:pPr>
        <w:spacing w:after="0" w:line="10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sets forth compensation information for our last three completed fiscal years of our named executive officers identified for fiscal 2026.</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920" w:type="dxa"/>
            <w:vAlign w:val="bottom"/>
            <w:tcBorders>
              <w:top w:val="single" w:sz="8" w:color="auto"/>
              <w:lef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4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Non-Equity</w:t>
            </w:r>
          </w:p>
        </w:tc>
        <w:tc>
          <w:tcPr>
            <w:tcW w:w="14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2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Incentive Plan</w:t>
            </w:r>
          </w:p>
        </w:tc>
        <w:tc>
          <w:tcPr>
            <w:tcW w:w="1440" w:type="dxa"/>
            <w:vAlign w:val="bottom"/>
            <w:gridSpan w:val="2"/>
            <w:vMerge w:val="continue"/>
          </w:tcPr>
          <w:p>
            <w:pPr>
              <w:spacing w:after="0"/>
              <w:rPr>
                <w:sz w:val="12"/>
                <w:szCs w:val="12"/>
                <w:color w:val="auto"/>
              </w:rPr>
            </w:pPr>
          </w:p>
        </w:tc>
        <w:tc>
          <w:tcPr>
            <w:tcW w:w="126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9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Awards</w:t>
            </w: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Compensation</w:t>
            </w:r>
          </w:p>
        </w:tc>
        <w:tc>
          <w:tcPr>
            <w:tcW w:w="1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($)(c)</w:t>
            </w:r>
          </w:p>
        </w:tc>
        <w:tc>
          <w:tcPr>
            <w:tcW w:w="1260" w:type="dxa"/>
            <w:vAlign w:val="bottom"/>
            <w:tcBorders>
              <w:right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60" w:type="dxa"/>
            <w:vAlign w:val="bottom"/>
            <w:tcBorders>
              <w:top w:val="single" w:sz="8" w:color="B3B3B3"/>
            </w:tcBorders>
            <w:shd w:val="clear" w:color="auto" w:fill="B3B3B3"/>
          </w:tcPr>
          <w:p>
            <w:pPr>
              <w:spacing w:after="0"/>
              <w:rPr>
                <w:sz w:val="19"/>
                <w:szCs w:val="19"/>
                <w:color w:val="auto"/>
              </w:rPr>
            </w:pPr>
          </w:p>
        </w:tc>
        <w:tc>
          <w:tcPr>
            <w:tcW w:w="6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B3B3B3"/>
            </w:tcBorders>
            <w:shd w:val="clear" w:color="auto" w:fill="B3B3B3"/>
          </w:tcPr>
          <w:p>
            <w:pPr>
              <w:spacing w:after="0"/>
              <w:rPr>
                <w:sz w:val="19"/>
                <w:szCs w:val="19"/>
                <w:color w:val="auto"/>
              </w:rPr>
            </w:pPr>
          </w:p>
        </w:tc>
        <w:tc>
          <w:tcPr>
            <w:tcW w:w="9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743,269</w:t>
            </w:r>
          </w:p>
        </w:tc>
        <w:tc>
          <w:tcPr>
            <w:tcW w:w="120" w:type="dxa"/>
            <w:vAlign w:val="bottom"/>
            <w:tcBorders>
              <w:top w:val="single" w:sz="8" w:color="B3B3B3"/>
            </w:tcBorders>
            <w:shd w:val="clear" w:color="auto" w:fill="B3B3B3"/>
          </w:tcPr>
          <w:p>
            <w:pPr>
              <w:spacing w:after="0"/>
              <w:rPr>
                <w:sz w:val="19"/>
                <w:szCs w:val="19"/>
                <w:color w:val="auto"/>
              </w:rPr>
            </w:pPr>
          </w:p>
        </w:tc>
        <w:tc>
          <w:tcPr>
            <w:tcW w:w="10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2,062,393</w:t>
            </w:r>
          </w:p>
        </w:tc>
        <w:tc>
          <w:tcPr>
            <w:tcW w:w="100" w:type="dxa"/>
            <w:vAlign w:val="bottom"/>
            <w:tcBorders>
              <w:top w:val="single" w:sz="8" w:color="B3B3B3"/>
            </w:tcBorders>
            <w:shd w:val="clear" w:color="auto" w:fill="B3B3B3"/>
          </w:tcPr>
          <w:p>
            <w:pPr>
              <w:spacing w:after="0"/>
              <w:rPr>
                <w:sz w:val="19"/>
                <w:szCs w:val="19"/>
                <w:color w:val="auto"/>
              </w:rPr>
            </w:pPr>
          </w:p>
        </w:tc>
        <w:tc>
          <w:tcPr>
            <w:tcW w:w="13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736,984</w:t>
            </w:r>
          </w:p>
        </w:tc>
        <w:tc>
          <w:tcPr>
            <w:tcW w:w="100" w:type="dxa"/>
            <w:vAlign w:val="bottom"/>
            <w:tcBorders>
              <w:top w:val="single" w:sz="8" w:color="B3B3B3"/>
            </w:tcBorders>
            <w:shd w:val="clear" w:color="auto" w:fill="B3B3B3"/>
          </w:tcPr>
          <w:p>
            <w:pPr>
              <w:spacing w:after="0"/>
              <w:rPr>
                <w:sz w:val="19"/>
                <w:szCs w:val="19"/>
                <w:color w:val="auto"/>
              </w:rPr>
            </w:pPr>
          </w:p>
        </w:tc>
        <w:tc>
          <w:tcPr>
            <w:tcW w:w="13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65,248</w:t>
            </w:r>
          </w:p>
        </w:tc>
        <w:tc>
          <w:tcPr>
            <w:tcW w:w="120" w:type="dxa"/>
            <w:vAlign w:val="bottom"/>
            <w:tcBorders>
              <w:top w:val="single" w:sz="8" w:color="B3B3B3"/>
            </w:tcBorders>
            <w:shd w:val="clear" w:color="auto" w:fill="B3B3B3"/>
          </w:tcPr>
          <w:p>
            <w:pPr>
              <w:spacing w:after="0"/>
              <w:rPr>
                <w:sz w:val="19"/>
                <w:szCs w:val="19"/>
                <w:color w:val="auto"/>
              </w:rPr>
            </w:pPr>
          </w:p>
        </w:tc>
        <w:tc>
          <w:tcPr>
            <w:tcW w:w="1260" w:type="dxa"/>
            <w:vAlign w:val="bottom"/>
            <w:tcBorders>
              <w:top w:val="single" w:sz="8" w:color="auto"/>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3,607,894</w:t>
            </w:r>
          </w:p>
        </w:tc>
        <w:tc>
          <w:tcPr>
            <w:tcW w:w="0" w:type="dxa"/>
            <w:vAlign w:val="bottom"/>
          </w:tcPr>
          <w:p>
            <w:pPr>
              <w:spacing w:after="0"/>
              <w:rPr>
                <w:sz w:val="1"/>
                <w:szCs w:val="1"/>
                <w:color w:val="auto"/>
              </w:rPr>
            </w:pPr>
          </w:p>
        </w:tc>
      </w:tr>
      <w:tr>
        <w:trPr>
          <w:trHeight w:val="270"/>
        </w:trPr>
        <w:tc>
          <w:tcPr>
            <w:tcW w:w="392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Chief Executive Officer and President</w:t>
            </w:r>
          </w:p>
        </w:tc>
        <w:tc>
          <w:tcPr>
            <w:tcW w:w="160" w:type="dxa"/>
            <w:vAlign w:val="bottom"/>
            <w:shd w:val="clear" w:color="auto" w:fill="B3B3B3"/>
          </w:tcPr>
          <w:p>
            <w:pPr>
              <w:spacing w:after="0"/>
              <w:rPr>
                <w:sz w:val="23"/>
                <w:szCs w:val="23"/>
                <w:color w:val="auto"/>
              </w:rPr>
            </w:pPr>
          </w:p>
        </w:tc>
        <w:tc>
          <w:tcPr>
            <w:tcW w:w="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B3B3B3"/>
          </w:tcPr>
          <w:p>
            <w:pPr>
              <w:spacing w:after="0"/>
              <w:rPr>
                <w:sz w:val="23"/>
                <w:szCs w:val="23"/>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B3B3B3"/>
          </w:tcPr>
          <w:p>
            <w:pPr>
              <w:spacing w:after="0"/>
              <w:rPr>
                <w:sz w:val="23"/>
                <w:szCs w:val="23"/>
                <w:color w:val="auto"/>
              </w:rPr>
            </w:pPr>
          </w:p>
        </w:tc>
        <w:tc>
          <w:tcPr>
            <w:tcW w:w="10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1,399,942</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994,073</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57,246</w:t>
            </w:r>
          </w:p>
        </w:tc>
        <w:tc>
          <w:tcPr>
            <w:tcW w:w="120" w:type="dxa"/>
            <w:vAlign w:val="bottom"/>
            <w:shd w:val="clear" w:color="auto" w:fill="B3B3B3"/>
          </w:tcPr>
          <w:p>
            <w:pPr>
              <w:spacing w:after="0"/>
              <w:rPr>
                <w:sz w:val="23"/>
                <w:szCs w:val="23"/>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3,151,261</w:t>
            </w:r>
          </w:p>
        </w:tc>
        <w:tc>
          <w:tcPr>
            <w:tcW w:w="0" w:type="dxa"/>
            <w:vAlign w:val="bottom"/>
          </w:tcPr>
          <w:p>
            <w:pPr>
              <w:spacing w:after="0"/>
              <w:rPr>
                <w:sz w:val="1"/>
                <w:szCs w:val="1"/>
                <w:color w:val="auto"/>
              </w:rPr>
            </w:pPr>
          </w:p>
        </w:tc>
      </w:tr>
      <w:tr>
        <w:trPr>
          <w:trHeight w:val="270"/>
        </w:trPr>
        <w:tc>
          <w:tcPr>
            <w:tcW w:w="3920" w:type="dxa"/>
            <w:vAlign w:val="bottom"/>
            <w:tcBorders>
              <w:left w:val="single" w:sz="8" w:color="auto"/>
            </w:tcBorders>
            <w:shd w:val="clear" w:color="auto" w:fill="B3B3B3"/>
          </w:tcPr>
          <w:p>
            <w:pPr>
              <w:spacing w:after="0"/>
              <w:rPr>
                <w:sz w:val="23"/>
                <w:szCs w:val="23"/>
                <w:color w:val="auto"/>
              </w:rPr>
            </w:pPr>
          </w:p>
        </w:tc>
        <w:tc>
          <w:tcPr>
            <w:tcW w:w="160" w:type="dxa"/>
            <w:vAlign w:val="bottom"/>
            <w:shd w:val="clear" w:color="auto" w:fill="B3B3B3"/>
          </w:tcPr>
          <w:p>
            <w:pPr>
              <w:spacing w:after="0"/>
              <w:rPr>
                <w:sz w:val="23"/>
                <w:szCs w:val="23"/>
                <w:color w:val="auto"/>
              </w:rPr>
            </w:pPr>
          </w:p>
        </w:tc>
        <w:tc>
          <w:tcPr>
            <w:tcW w:w="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B3B3B3"/>
          </w:tcPr>
          <w:p>
            <w:pPr>
              <w:spacing w:after="0"/>
              <w:rPr>
                <w:sz w:val="23"/>
                <w:szCs w:val="23"/>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637,000</w:t>
            </w:r>
          </w:p>
        </w:tc>
        <w:tc>
          <w:tcPr>
            <w:tcW w:w="120" w:type="dxa"/>
            <w:vAlign w:val="bottom"/>
            <w:shd w:val="clear" w:color="auto" w:fill="B3B3B3"/>
          </w:tcPr>
          <w:p>
            <w:pPr>
              <w:spacing w:after="0"/>
              <w:rPr>
                <w:sz w:val="23"/>
                <w:szCs w:val="23"/>
                <w:color w:val="auto"/>
              </w:rPr>
            </w:pPr>
          </w:p>
        </w:tc>
        <w:tc>
          <w:tcPr>
            <w:tcW w:w="10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636,944</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1,274,000</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68,069</w:t>
            </w:r>
          </w:p>
        </w:tc>
        <w:tc>
          <w:tcPr>
            <w:tcW w:w="120" w:type="dxa"/>
            <w:vAlign w:val="bottom"/>
            <w:shd w:val="clear" w:color="auto" w:fill="B3B3B3"/>
          </w:tcPr>
          <w:p>
            <w:pPr>
              <w:spacing w:after="0"/>
              <w:rPr>
                <w:sz w:val="23"/>
                <w:szCs w:val="23"/>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2,616,013</w:t>
            </w:r>
          </w:p>
        </w:tc>
        <w:tc>
          <w:tcPr>
            <w:tcW w:w="0" w:type="dxa"/>
            <w:vAlign w:val="bottom"/>
          </w:tcPr>
          <w:p>
            <w:pPr>
              <w:spacing w:after="0"/>
              <w:rPr>
                <w:sz w:val="1"/>
                <w:szCs w:val="1"/>
                <w:color w:val="auto"/>
              </w:rPr>
            </w:pPr>
          </w:p>
        </w:tc>
      </w:tr>
      <w:tr>
        <w:trPr>
          <w:trHeight w:val="226"/>
        </w:trPr>
        <w:tc>
          <w:tcPr>
            <w:tcW w:w="3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P. Oldenkamp</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584,712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1,027,247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432,610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39,365</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2,083,934</w:t>
            </w:r>
          </w:p>
        </w:tc>
        <w:tc>
          <w:tcPr>
            <w:tcW w:w="0" w:type="dxa"/>
            <w:vAlign w:val="bottom"/>
          </w:tcPr>
          <w:p>
            <w:pPr>
              <w:spacing w:after="0"/>
              <w:rPr>
                <w:sz w:val="1"/>
                <w:szCs w:val="1"/>
                <w:color w:val="auto"/>
              </w:rPr>
            </w:pPr>
          </w:p>
        </w:tc>
      </w:tr>
      <w:tr>
        <w:trPr>
          <w:trHeight w:val="219"/>
        </w:trPr>
        <w:tc>
          <w:tcPr>
            <w:tcW w:w="392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Executive Vice President, Chief Financial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997,485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607,095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39,202</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2,213,782</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Officer and Treasurer</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468,000</w:t>
            </w:r>
          </w:p>
        </w:tc>
        <w:tc>
          <w:tcPr>
            <w:tcW w:w="12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350,982</w:t>
            </w:r>
          </w:p>
        </w:tc>
        <w:tc>
          <w:tcPr>
            <w:tcW w:w="10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702,000</w:t>
            </w:r>
          </w:p>
        </w:tc>
        <w:tc>
          <w:tcPr>
            <w:tcW w:w="10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47,678</w:t>
            </w:r>
          </w:p>
        </w:tc>
        <w:tc>
          <w:tcPr>
            <w:tcW w:w="12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1,568,660</w:t>
            </w:r>
          </w:p>
        </w:tc>
        <w:tc>
          <w:tcPr>
            <w:tcW w:w="0" w:type="dxa"/>
            <w:vAlign w:val="bottom"/>
          </w:tcPr>
          <w:p>
            <w:pPr>
              <w:spacing w:after="0"/>
              <w:rPr>
                <w:sz w:val="1"/>
                <w:szCs w:val="1"/>
                <w:color w:val="auto"/>
              </w:rPr>
            </w:pPr>
          </w:p>
        </w:tc>
      </w:tr>
      <w:tr>
        <w:trPr>
          <w:trHeight w:val="87"/>
        </w:trPr>
        <w:tc>
          <w:tcPr>
            <w:tcW w:w="3920" w:type="dxa"/>
            <w:vAlign w:val="bottom"/>
            <w:tcBorders>
              <w:lef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92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8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436,250</w:t>
            </w:r>
          </w:p>
        </w:tc>
        <w:tc>
          <w:tcPr>
            <w:tcW w:w="120" w:type="dxa"/>
            <w:vAlign w:val="bottom"/>
            <w:shd w:val="clear" w:color="auto" w:fill="B3B3B3"/>
          </w:tcPr>
          <w:p>
            <w:pPr>
              <w:spacing w:after="0"/>
              <w:rPr>
                <w:sz w:val="19"/>
                <w:szCs w:val="19"/>
                <w:color w:val="auto"/>
              </w:rPr>
            </w:pPr>
          </w:p>
        </w:tc>
        <w:tc>
          <w:tcPr>
            <w:tcW w:w="10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328,494</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215,199</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44,693</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1,024,636</w:t>
            </w:r>
          </w:p>
        </w:tc>
        <w:tc>
          <w:tcPr>
            <w:tcW w:w="0" w:type="dxa"/>
            <w:vAlign w:val="bottom"/>
          </w:tcPr>
          <w:p>
            <w:pPr>
              <w:spacing w:after="0"/>
              <w:rPr>
                <w:sz w:val="1"/>
                <w:szCs w:val="1"/>
                <w:color w:val="auto"/>
              </w:rPr>
            </w:pPr>
          </w:p>
        </w:tc>
      </w:tr>
      <w:tr>
        <w:trPr>
          <w:trHeight w:val="270"/>
        </w:trPr>
        <w:tc>
          <w:tcPr>
            <w:tcW w:w="392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Vice President – Operations</w:t>
            </w:r>
          </w:p>
        </w:tc>
        <w:tc>
          <w:tcPr>
            <w:tcW w:w="160" w:type="dxa"/>
            <w:vAlign w:val="bottom"/>
            <w:shd w:val="clear" w:color="auto" w:fill="B3B3B3"/>
          </w:tcPr>
          <w:p>
            <w:pPr>
              <w:spacing w:after="0"/>
              <w:rPr>
                <w:sz w:val="23"/>
                <w:szCs w:val="23"/>
                <w:color w:val="auto"/>
              </w:rPr>
            </w:pPr>
          </w:p>
        </w:tc>
        <w:tc>
          <w:tcPr>
            <w:tcW w:w="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B3B3B3"/>
          </w:tcPr>
          <w:p>
            <w:pPr>
              <w:spacing w:after="0"/>
              <w:rPr>
                <w:sz w:val="23"/>
                <w:szCs w:val="23"/>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417,327</w:t>
            </w:r>
          </w:p>
        </w:tc>
        <w:tc>
          <w:tcPr>
            <w:tcW w:w="120" w:type="dxa"/>
            <w:vAlign w:val="bottom"/>
            <w:shd w:val="clear" w:color="auto" w:fill="B3B3B3"/>
          </w:tcPr>
          <w:p>
            <w:pPr>
              <w:spacing w:after="0"/>
              <w:rPr>
                <w:sz w:val="23"/>
                <w:szCs w:val="23"/>
                <w:color w:val="auto"/>
              </w:rPr>
            </w:pPr>
          </w:p>
        </w:tc>
        <w:tc>
          <w:tcPr>
            <w:tcW w:w="10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318,733</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301,772</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44,626</w:t>
            </w:r>
          </w:p>
        </w:tc>
        <w:tc>
          <w:tcPr>
            <w:tcW w:w="120" w:type="dxa"/>
            <w:vAlign w:val="bottom"/>
            <w:shd w:val="clear" w:color="auto" w:fill="B3B3B3"/>
          </w:tcPr>
          <w:p>
            <w:pPr>
              <w:spacing w:after="0"/>
              <w:rPr>
                <w:sz w:val="23"/>
                <w:szCs w:val="23"/>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1,082,458</w:t>
            </w:r>
          </w:p>
        </w:tc>
        <w:tc>
          <w:tcPr>
            <w:tcW w:w="0" w:type="dxa"/>
            <w:vAlign w:val="bottom"/>
          </w:tcPr>
          <w:p>
            <w:pPr>
              <w:spacing w:after="0"/>
              <w:rPr>
                <w:sz w:val="1"/>
                <w:szCs w:val="1"/>
                <w:color w:val="auto"/>
              </w:rPr>
            </w:pPr>
          </w:p>
        </w:tc>
      </w:tr>
      <w:tr>
        <w:trPr>
          <w:trHeight w:val="270"/>
        </w:trPr>
        <w:tc>
          <w:tcPr>
            <w:tcW w:w="3920" w:type="dxa"/>
            <w:vAlign w:val="bottom"/>
            <w:tcBorders>
              <w:left w:val="single" w:sz="8" w:color="auto"/>
            </w:tcBorders>
            <w:shd w:val="clear" w:color="auto" w:fill="B3B3B3"/>
          </w:tcPr>
          <w:p>
            <w:pPr>
              <w:spacing w:after="0"/>
              <w:rPr>
                <w:sz w:val="23"/>
                <w:szCs w:val="23"/>
                <w:color w:val="auto"/>
              </w:rPr>
            </w:pPr>
          </w:p>
        </w:tc>
        <w:tc>
          <w:tcPr>
            <w:tcW w:w="160" w:type="dxa"/>
            <w:vAlign w:val="bottom"/>
            <w:shd w:val="clear" w:color="auto" w:fill="B3B3B3"/>
          </w:tcPr>
          <w:p>
            <w:pPr>
              <w:spacing w:after="0"/>
              <w:rPr>
                <w:sz w:val="23"/>
                <w:szCs w:val="23"/>
                <w:color w:val="auto"/>
              </w:rPr>
            </w:pPr>
          </w:p>
        </w:tc>
        <w:tc>
          <w:tcPr>
            <w:tcW w:w="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B3B3B3"/>
          </w:tcPr>
          <w:p>
            <w:pPr>
              <w:spacing w:after="0"/>
              <w:rPr>
                <w:sz w:val="23"/>
                <w:szCs w:val="23"/>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366,250</w:t>
            </w:r>
          </w:p>
        </w:tc>
        <w:tc>
          <w:tcPr>
            <w:tcW w:w="120" w:type="dxa"/>
            <w:vAlign w:val="bottom"/>
            <w:shd w:val="clear" w:color="auto" w:fill="B3B3B3"/>
          </w:tcPr>
          <w:p>
            <w:pPr>
              <w:spacing w:after="0"/>
              <w:rPr>
                <w:sz w:val="23"/>
                <w:szCs w:val="23"/>
                <w:color w:val="auto"/>
              </w:rPr>
            </w:pPr>
          </w:p>
        </w:tc>
        <w:tc>
          <w:tcPr>
            <w:tcW w:w="10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220,726</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294,400</w:t>
            </w:r>
          </w:p>
        </w:tc>
        <w:tc>
          <w:tcPr>
            <w:tcW w:w="100" w:type="dxa"/>
            <w:vAlign w:val="bottom"/>
            <w:shd w:val="clear" w:color="auto" w:fill="B3B3B3"/>
          </w:tcPr>
          <w:p>
            <w:pPr>
              <w:spacing w:after="0"/>
              <w:rPr>
                <w:sz w:val="23"/>
                <w:szCs w:val="23"/>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48,491</w:t>
            </w:r>
          </w:p>
        </w:tc>
        <w:tc>
          <w:tcPr>
            <w:tcW w:w="120" w:type="dxa"/>
            <w:vAlign w:val="bottom"/>
            <w:shd w:val="clear" w:color="auto" w:fill="B3B3B3"/>
          </w:tcPr>
          <w:p>
            <w:pPr>
              <w:spacing w:after="0"/>
              <w:rPr>
                <w:sz w:val="23"/>
                <w:szCs w:val="23"/>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929,867</w:t>
            </w:r>
          </w:p>
        </w:tc>
        <w:tc>
          <w:tcPr>
            <w:tcW w:w="0" w:type="dxa"/>
            <w:vAlign w:val="bottom"/>
          </w:tcPr>
          <w:p>
            <w:pPr>
              <w:spacing w:after="0"/>
              <w:rPr>
                <w:sz w:val="1"/>
                <w:szCs w:val="1"/>
                <w:color w:val="auto"/>
              </w:rPr>
            </w:pPr>
          </w:p>
        </w:tc>
      </w:tr>
      <w:tr>
        <w:trPr>
          <w:trHeight w:val="224"/>
        </w:trPr>
        <w:tc>
          <w:tcPr>
            <w:tcW w:w="3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Douglas A. Lange (d)</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400,962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242,930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220,145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38,844</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902,881</w:t>
            </w:r>
          </w:p>
        </w:tc>
        <w:tc>
          <w:tcPr>
            <w:tcW w:w="0" w:type="dxa"/>
            <w:vAlign w:val="bottom"/>
          </w:tcPr>
          <w:p>
            <w:pPr>
              <w:spacing w:after="0"/>
              <w:rPr>
                <w:sz w:val="1"/>
                <w:szCs w:val="1"/>
                <w:color w:val="auto"/>
              </w:rPr>
            </w:pPr>
          </w:p>
        </w:tc>
      </w:tr>
      <w:tr>
        <w:trPr>
          <w:trHeight w:val="235"/>
        </w:trPr>
        <w:tc>
          <w:tcPr>
            <w:tcW w:w="392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Vice President - Water Treatment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335,385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202,167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269,600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43,666</w:t>
            </w:r>
          </w:p>
        </w:tc>
        <w:tc>
          <w:tcPr>
            <w:tcW w:w="120" w:type="dxa"/>
            <w:vAlign w:val="bottom"/>
          </w:tcPr>
          <w:p>
            <w:pPr>
              <w:spacing w:after="0"/>
              <w:rPr>
                <w:sz w:val="20"/>
                <w:szCs w:val="20"/>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850,818</w:t>
            </w:r>
          </w:p>
        </w:tc>
        <w:tc>
          <w:tcPr>
            <w:tcW w:w="0" w:type="dxa"/>
            <w:vAlign w:val="bottom"/>
          </w:tcPr>
          <w:p>
            <w:pPr>
              <w:spacing w:after="0"/>
              <w:rPr>
                <w:sz w:val="1"/>
                <w:szCs w:val="1"/>
                <w:color w:val="auto"/>
              </w:rPr>
            </w:pPr>
          </w:p>
        </w:tc>
      </w:tr>
      <w:tr>
        <w:trPr>
          <w:trHeight w:val="229"/>
        </w:trPr>
        <w:tc>
          <w:tcPr>
            <w:tcW w:w="3920" w:type="dxa"/>
            <w:vAlign w:val="bottom"/>
            <w:tcBorders>
              <w:left w:val="single" w:sz="8" w:color="auto"/>
            </w:tcBorders>
            <w:shd w:val="clear" w:color="auto" w:fill="B6B6B6"/>
          </w:tcPr>
          <w:p>
            <w:pPr>
              <w:ind w:left="40"/>
              <w:spacing w:after="0"/>
              <w:rPr>
                <w:sz w:val="20"/>
                <w:szCs w:val="20"/>
                <w:color w:val="auto"/>
              </w:rPr>
            </w:pPr>
            <w:r>
              <w:rPr>
                <w:rFonts w:ascii="Arial" w:cs="Arial" w:eastAsia="Arial" w:hAnsi="Arial"/>
                <w:sz w:val="18"/>
                <w:szCs w:val="18"/>
                <w:color w:val="auto"/>
              </w:rPr>
              <w:t>David J. Mangine (e)</w:t>
            </w:r>
          </w:p>
        </w:tc>
        <w:tc>
          <w:tcPr>
            <w:tcW w:w="82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385,385</w:t>
            </w:r>
          </w:p>
        </w:tc>
        <w:tc>
          <w:tcPr>
            <w:tcW w:w="120" w:type="dxa"/>
            <w:vAlign w:val="bottom"/>
            <w:shd w:val="clear" w:color="auto" w:fill="B6B6B6"/>
          </w:tcPr>
          <w:p>
            <w:pPr>
              <w:spacing w:after="0"/>
              <w:rPr>
                <w:sz w:val="19"/>
                <w:szCs w:val="19"/>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232,160</w:t>
            </w:r>
          </w:p>
        </w:tc>
        <w:tc>
          <w:tcPr>
            <w:tcW w:w="1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167,866</w:t>
            </w:r>
          </w:p>
        </w:tc>
        <w:tc>
          <w:tcPr>
            <w:tcW w:w="1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67,194</w:t>
            </w:r>
          </w:p>
        </w:tc>
        <w:tc>
          <w:tcPr>
            <w:tcW w:w="120" w:type="dxa"/>
            <w:vAlign w:val="bottom"/>
            <w:shd w:val="clear" w:color="auto" w:fill="B6B6B6"/>
          </w:tcPr>
          <w:p>
            <w:pPr>
              <w:spacing w:after="0"/>
              <w:rPr>
                <w:sz w:val="19"/>
                <w:szCs w:val="19"/>
                <w:color w:val="auto"/>
              </w:rPr>
            </w:pPr>
          </w:p>
        </w:tc>
        <w:tc>
          <w:tcPr>
            <w:tcW w:w="1260" w:type="dxa"/>
            <w:vAlign w:val="bottom"/>
            <w:tcBorders>
              <w:right w:val="single" w:sz="8" w:color="auto"/>
            </w:tcBorders>
            <w:shd w:val="clear" w:color="auto" w:fill="B6B6B6"/>
          </w:tcPr>
          <w:p>
            <w:pPr>
              <w:jc w:val="right"/>
              <w:ind w:right="12"/>
              <w:spacing w:after="0"/>
              <w:rPr>
                <w:sz w:val="20"/>
                <w:szCs w:val="20"/>
                <w:color w:val="auto"/>
              </w:rPr>
            </w:pPr>
            <w:r>
              <w:rPr>
                <w:rFonts w:ascii="Arial" w:cs="Arial" w:eastAsia="Arial" w:hAnsi="Arial"/>
                <w:sz w:val="18"/>
                <w:szCs w:val="18"/>
                <w:color w:val="auto"/>
              </w:rPr>
              <w:t>852,605</w:t>
            </w:r>
          </w:p>
        </w:tc>
        <w:tc>
          <w:tcPr>
            <w:tcW w:w="0" w:type="dxa"/>
            <w:vAlign w:val="bottom"/>
          </w:tcPr>
          <w:p>
            <w:pPr>
              <w:spacing w:after="0"/>
              <w:rPr>
                <w:sz w:val="1"/>
                <w:szCs w:val="1"/>
                <w:color w:val="auto"/>
              </w:rPr>
            </w:pPr>
          </w:p>
        </w:tc>
      </w:tr>
      <w:tr>
        <w:trPr>
          <w:trHeight w:val="229"/>
        </w:trPr>
        <w:tc>
          <w:tcPr>
            <w:tcW w:w="3920" w:type="dxa"/>
            <w:vAlign w:val="bottom"/>
            <w:tcBorders>
              <w:left w:val="single" w:sz="8" w:color="auto"/>
            </w:tcBorders>
            <w:shd w:val="clear" w:color="auto" w:fill="B6B6B6"/>
          </w:tcPr>
          <w:p>
            <w:pPr>
              <w:ind w:left="160"/>
              <w:spacing w:after="0"/>
              <w:rPr>
                <w:sz w:val="20"/>
                <w:szCs w:val="20"/>
                <w:color w:val="auto"/>
              </w:rPr>
            </w:pPr>
            <w:r>
              <w:rPr>
                <w:rFonts w:ascii="Arial" w:cs="Arial" w:eastAsia="Arial" w:hAnsi="Arial"/>
                <w:sz w:val="18"/>
                <w:szCs w:val="18"/>
                <w:i w:val="1"/>
                <w:iCs w:val="1"/>
                <w:color w:val="auto"/>
              </w:rPr>
              <w:t>Vice President – Industrial Solutions</w:t>
            </w:r>
          </w:p>
        </w:tc>
        <w:tc>
          <w:tcPr>
            <w:tcW w:w="160" w:type="dxa"/>
            <w:vAlign w:val="bottom"/>
            <w:shd w:val="clear" w:color="auto" w:fill="B6B6B6"/>
          </w:tcPr>
          <w:p>
            <w:pPr>
              <w:spacing w:after="0"/>
              <w:rPr>
                <w:sz w:val="19"/>
                <w:szCs w:val="19"/>
                <w:color w:val="auto"/>
              </w:rPr>
            </w:pPr>
          </w:p>
        </w:tc>
        <w:tc>
          <w:tcPr>
            <w:tcW w:w="66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32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32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260" w:type="dxa"/>
            <w:vAlign w:val="bottom"/>
            <w:tcBorders>
              <w:right w:val="single" w:sz="8" w:color="auto"/>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39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Richard G. Erstad (f)</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385,385</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290,200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190,142</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52,581</w:t>
            </w:r>
          </w:p>
        </w:tc>
        <w:tc>
          <w:tcPr>
            <w:tcW w:w="120" w:type="dxa"/>
            <w:vAlign w:val="bottom"/>
          </w:tcPr>
          <w:p>
            <w:pPr>
              <w:spacing w:after="0"/>
              <w:rPr>
                <w:sz w:val="24"/>
                <w:szCs w:val="24"/>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918,308</w:t>
            </w:r>
          </w:p>
        </w:tc>
        <w:tc>
          <w:tcPr>
            <w:tcW w:w="0" w:type="dxa"/>
            <w:vAlign w:val="bottom"/>
          </w:tcPr>
          <w:p>
            <w:pPr>
              <w:spacing w:after="0"/>
              <w:rPr>
                <w:sz w:val="1"/>
                <w:szCs w:val="1"/>
                <w:color w:val="auto"/>
              </w:rPr>
            </w:pPr>
          </w:p>
        </w:tc>
      </w:tr>
      <w:tr>
        <w:trPr>
          <w:trHeight w:val="277"/>
        </w:trPr>
        <w:tc>
          <w:tcPr>
            <w:tcW w:w="392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Former VP, Secretary, and General Counsel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369,885</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281,199</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266,270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50,252</w:t>
            </w:r>
          </w:p>
        </w:tc>
        <w:tc>
          <w:tcPr>
            <w:tcW w:w="120" w:type="dxa"/>
            <w:vAlign w:val="bottom"/>
          </w:tcPr>
          <w:p>
            <w:pPr>
              <w:spacing w:after="0"/>
              <w:rPr>
                <w:sz w:val="24"/>
                <w:szCs w:val="24"/>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967,606</w:t>
            </w:r>
          </w:p>
        </w:tc>
        <w:tc>
          <w:tcPr>
            <w:tcW w:w="0" w:type="dxa"/>
            <w:vAlign w:val="bottom"/>
          </w:tcPr>
          <w:p>
            <w:pPr>
              <w:spacing w:after="0"/>
              <w:rPr>
                <w:sz w:val="1"/>
                <w:szCs w:val="1"/>
                <w:color w:val="auto"/>
              </w:rPr>
            </w:pPr>
          </w:p>
        </w:tc>
      </w:tr>
      <w:tr>
        <w:trPr>
          <w:trHeight w:val="266"/>
        </w:trPr>
        <w:tc>
          <w:tcPr>
            <w:tcW w:w="3920" w:type="dxa"/>
            <w:vAlign w:val="bottom"/>
            <w:tcBorders>
              <w:left w:val="single" w:sz="8" w:color="auto"/>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335,385</w:t>
            </w: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219,046</w:t>
            </w: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269,600</w:t>
            </w: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62,561</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886,592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20" w:right="20" w:hanging="412"/>
        <w:spacing w:after="0" w:line="256" w:lineRule="auto"/>
        <w:tabs>
          <w:tab w:leader="none" w:pos="4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9,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2026 for a description of our accounting for these awards and the assumptions used in valuing the awards. The value is computed based on the estimated probable outcome of the applicable performance conditions as of the grant date. The following table shows the grant date fair values of the performance-based restricted stock unit awards granted in fiscal 2026 as reported, and what such values would have been assuming the highest level of performance conditions would be achieved:</w:t>
      </w:r>
    </w:p>
    <w:tbl>
      <w:tblPr>
        <w:tblLayout w:type="fixed"/>
        <w:tblInd w:w="430" w:type="dxa"/>
        <w:tblCellMar>
          <w:top w:w="0" w:type="dxa"/>
          <w:left w:w="0" w:type="dxa"/>
          <w:bottom w:w="0" w:type="dxa"/>
          <w:right w:w="0" w:type="dxa"/>
        </w:tblCellMar>
      </w:tblPr>
      <w:tr>
        <w:trPr>
          <w:trHeight w:val="207"/>
        </w:trPr>
        <w:tc>
          <w:tcPr>
            <w:tcW w:w="70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 Reported</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Maximum Amount</w:t>
            </w:r>
          </w:p>
        </w:tc>
      </w:tr>
      <w:tr>
        <w:trPr>
          <w:trHeight w:val="224"/>
        </w:trPr>
        <w:tc>
          <w:tcPr>
            <w:tcW w:w="7060" w:type="dxa"/>
            <w:vAlign w:val="bottom"/>
            <w:tcBorders>
              <w:top w:val="single" w:sz="8" w:color="auto"/>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00" w:type="dxa"/>
            <w:vAlign w:val="bottom"/>
            <w:tcBorders>
              <w:top w:val="single" w:sz="8" w:color="B3B3B3"/>
            </w:tcBorders>
            <w:shd w:val="clear" w:color="auto" w:fill="B3B3B3"/>
          </w:tcPr>
          <w:p>
            <w:pPr>
              <w:spacing w:after="0"/>
              <w:rPr>
                <w:sz w:val="19"/>
                <w:szCs w:val="19"/>
                <w:color w:val="auto"/>
              </w:rPr>
            </w:pPr>
          </w:p>
        </w:tc>
        <w:tc>
          <w:tcPr>
            <w:tcW w:w="1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2,062,393</w:t>
            </w:r>
          </w:p>
        </w:tc>
        <w:tc>
          <w:tcPr>
            <w:tcW w:w="100" w:type="dxa"/>
            <w:vAlign w:val="bottom"/>
            <w:tcBorders>
              <w:top w:val="single" w:sz="8" w:color="B3B3B3"/>
            </w:tcBorders>
            <w:shd w:val="clear" w:color="auto" w:fill="B3B3B3"/>
          </w:tcPr>
          <w:p>
            <w:pPr>
              <w:spacing w:after="0"/>
              <w:rPr>
                <w:sz w:val="19"/>
                <w:szCs w:val="19"/>
                <w:color w:val="auto"/>
              </w:rPr>
            </w:pPr>
          </w:p>
        </w:tc>
        <w:tc>
          <w:tcPr>
            <w:tcW w:w="1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3,093,589</w:t>
            </w:r>
          </w:p>
        </w:tc>
      </w:tr>
      <w:tr>
        <w:trPr>
          <w:trHeight w:val="230"/>
        </w:trPr>
        <w:tc>
          <w:tcPr>
            <w:tcW w:w="7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Jeffrey P. Oldenkamp</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1,027,247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1,540,871</w:t>
            </w:r>
          </w:p>
        </w:tc>
      </w:tr>
      <w:tr>
        <w:trPr>
          <w:trHeight w:val="229"/>
        </w:trPr>
        <w:tc>
          <w:tcPr>
            <w:tcW w:w="7060" w:type="dxa"/>
            <w:vAlign w:val="bottom"/>
            <w:tcBorders>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2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328,494</w:t>
            </w:r>
          </w:p>
        </w:tc>
        <w:tc>
          <w:tcPr>
            <w:tcW w:w="100" w:type="dxa"/>
            <w:vAlign w:val="bottom"/>
            <w:shd w:val="clear" w:color="auto" w:fill="B3B3B3"/>
          </w:tcPr>
          <w:p>
            <w:pPr>
              <w:spacing w:after="0"/>
              <w:rPr>
                <w:sz w:val="19"/>
                <w:szCs w:val="19"/>
                <w:color w:val="auto"/>
              </w:rPr>
            </w:pP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492,681</w:t>
            </w:r>
          </w:p>
        </w:tc>
      </w:tr>
      <w:tr>
        <w:trPr>
          <w:trHeight w:val="230"/>
        </w:trPr>
        <w:tc>
          <w:tcPr>
            <w:tcW w:w="70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Douglas A. Lange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242,930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364,395</w:t>
            </w:r>
          </w:p>
        </w:tc>
      </w:tr>
      <w:tr>
        <w:trPr>
          <w:trHeight w:val="230"/>
        </w:trPr>
        <w:tc>
          <w:tcPr>
            <w:tcW w:w="7060" w:type="dxa"/>
            <w:vAlign w:val="bottom"/>
            <w:tcBorders>
              <w:left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David J. Mangine</w:t>
            </w:r>
          </w:p>
        </w:tc>
        <w:tc>
          <w:tcPr>
            <w:tcW w:w="2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232,160</w:t>
            </w:r>
          </w:p>
        </w:tc>
        <w:tc>
          <w:tcPr>
            <w:tcW w:w="100" w:type="dxa"/>
            <w:vAlign w:val="bottom"/>
            <w:shd w:val="clear" w:color="auto" w:fill="B3B3B3"/>
          </w:tcPr>
          <w:p>
            <w:pPr>
              <w:spacing w:after="0"/>
              <w:rPr>
                <w:sz w:val="19"/>
                <w:szCs w:val="19"/>
                <w:color w:val="auto"/>
              </w:rPr>
            </w:pP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348,240</w:t>
            </w:r>
          </w:p>
        </w:tc>
      </w:tr>
      <w:tr>
        <w:trPr>
          <w:trHeight w:val="230"/>
        </w:trPr>
        <w:tc>
          <w:tcPr>
            <w:tcW w:w="70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Richard G. Erstad, Former GC</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290,200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435,240</w:t>
            </w:r>
          </w:p>
        </w:tc>
      </w:tr>
    </w:tbl>
    <w:p>
      <w:pPr>
        <w:spacing w:after="0" w:line="157" w:lineRule="exact"/>
        <w:rPr>
          <w:sz w:val="20"/>
          <w:szCs w:val="20"/>
          <w:color w:val="auto"/>
        </w:rPr>
      </w:pPr>
    </w:p>
    <w:p>
      <w:pPr>
        <w:ind w:left="420" w:right="60" w:hanging="412"/>
        <w:spacing w:after="0" w:line="268" w:lineRule="auto"/>
        <w:tabs>
          <w:tab w:leader="none" w:pos="4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the description of target levels of corporate performance and business unit performance, as described under “Annual Non-Equity Incentive Compensation” in the Compensation Discussion and Analysis above. The amounts reported for fiscal 2026 were paid in fiscal 2027 promptly after approval by the Compensation Committee.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24" w:name="page25"/>
    <w:bookmarkEnd w:id="24"/>
    <w:p>
      <w:pPr>
        <w:ind w:left="420" w:right="80" w:hanging="412"/>
        <w:spacing w:after="0" w:line="268"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of All Other Compensation reported for fiscal 2026 include contributions by the company on behalf of each of our named executive officers to our nonqualified deferred compensation plan, profit sharing plan, ESOP and employer 401(k) matching component of our Profit Sharing Plan, if applicable, as set forth below.</w:t>
      </w:r>
    </w:p>
    <w:tbl>
      <w:tblPr>
        <w:tblLayout w:type="fixed"/>
        <w:tblInd w:w="430" w:type="dxa"/>
        <w:tblCellMar>
          <w:top w:w="0" w:type="dxa"/>
          <w:left w:w="0" w:type="dxa"/>
          <w:bottom w:w="0" w:type="dxa"/>
          <w:right w:w="0" w:type="dxa"/>
        </w:tblCellMar>
      </w:tblPr>
      <w:tr>
        <w:trPr>
          <w:trHeight w:val="142"/>
        </w:trPr>
        <w:tc>
          <w:tcPr>
            <w:tcW w:w="3140" w:type="dxa"/>
            <w:vAlign w:val="bottom"/>
            <w:tcBorders>
              <w:top w:val="single" w:sz="8" w:color="auto"/>
              <w:lef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Nonqualified Deferred</w:t>
            </w:r>
          </w:p>
        </w:tc>
        <w:tc>
          <w:tcPr>
            <w:tcW w:w="5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right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rPr>
              <w:t>Employer 401(k) Matching</w:t>
            </w:r>
          </w:p>
        </w:tc>
        <w:tc>
          <w:tcPr>
            <w:tcW w:w="0" w:type="dxa"/>
            <w:vAlign w:val="bottom"/>
          </w:tcPr>
          <w:p>
            <w:pPr>
              <w:spacing w:after="0"/>
              <w:rPr>
                <w:sz w:val="1"/>
                <w:szCs w:val="1"/>
                <w:color w:val="auto"/>
              </w:rPr>
            </w:pPr>
          </w:p>
        </w:tc>
      </w:tr>
      <w:tr>
        <w:trPr>
          <w:trHeight w:val="148"/>
        </w:trPr>
        <w:tc>
          <w:tcPr>
            <w:tcW w:w="332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Profit Sharing Plan</w:t>
            </w:r>
          </w:p>
        </w:tc>
        <w:tc>
          <w:tcPr>
            <w:tcW w:w="32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ESOP</w:t>
            </w:r>
          </w:p>
        </w:tc>
        <w:tc>
          <w:tcPr>
            <w:tcW w:w="160" w:type="dxa"/>
            <w:vAlign w:val="bottom"/>
          </w:tcPr>
          <w:p>
            <w:pPr>
              <w:spacing w:after="0"/>
              <w:rPr>
                <w:sz w:val="12"/>
                <w:szCs w:val="12"/>
                <w:color w:val="auto"/>
              </w:rPr>
            </w:pPr>
          </w:p>
        </w:tc>
        <w:tc>
          <w:tcPr>
            <w:tcW w:w="1700" w:type="dxa"/>
            <w:vAlign w:val="bottom"/>
            <w:tcBorders>
              <w:right w:val="single" w:sz="8" w:color="auto"/>
            </w:tcBorders>
          </w:tcPr>
          <w:p>
            <w:pPr>
              <w:jc w:val="right"/>
              <w:ind w:right="155"/>
              <w:spacing w:after="0" w:line="149" w:lineRule="exact"/>
              <w:rPr>
                <w:sz w:val="20"/>
                <w:szCs w:val="20"/>
                <w:color w:val="auto"/>
              </w:rPr>
            </w:pPr>
            <w:r>
              <w:rPr>
                <w:rFonts w:ascii="Arial" w:cs="Arial" w:eastAsia="Arial" w:hAnsi="Arial"/>
                <w:sz w:val="14"/>
                <w:szCs w:val="14"/>
                <w:b w:val="1"/>
                <w:bCs w:val="1"/>
                <w:color w:val="auto"/>
              </w:rPr>
              <w:t>Component of Profit</w:t>
            </w:r>
          </w:p>
        </w:tc>
        <w:tc>
          <w:tcPr>
            <w:tcW w:w="0" w:type="dxa"/>
            <w:vAlign w:val="bottom"/>
          </w:tcPr>
          <w:p>
            <w:pPr>
              <w:spacing w:after="0"/>
              <w:rPr>
                <w:sz w:val="1"/>
                <w:szCs w:val="1"/>
                <w:color w:val="auto"/>
              </w:rPr>
            </w:pPr>
          </w:p>
        </w:tc>
      </w:tr>
      <w:tr>
        <w:trPr>
          <w:trHeight w:val="209"/>
        </w:trPr>
        <w:tc>
          <w:tcPr>
            <w:tcW w:w="3320" w:type="dxa"/>
            <w:vAlign w:val="bottom"/>
            <w:tcBorders>
              <w:left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Compensation Plan</w:t>
            </w:r>
          </w:p>
        </w:tc>
        <w:tc>
          <w:tcPr>
            <w:tcW w:w="15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Borders>
              <w:right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Sharing Plan</w:t>
            </w:r>
          </w:p>
        </w:tc>
        <w:tc>
          <w:tcPr>
            <w:tcW w:w="0" w:type="dxa"/>
            <w:vAlign w:val="bottom"/>
          </w:tcPr>
          <w:p>
            <w:pPr>
              <w:spacing w:after="0"/>
              <w:rPr>
                <w:sz w:val="1"/>
                <w:szCs w:val="1"/>
                <w:color w:val="auto"/>
              </w:rPr>
            </w:pPr>
          </w:p>
        </w:tc>
      </w:tr>
      <w:tr>
        <w:trPr>
          <w:trHeight w:val="203"/>
        </w:trPr>
        <w:tc>
          <w:tcPr>
            <w:tcW w:w="3140" w:type="dxa"/>
            <w:vAlign w:val="bottom"/>
            <w:tcBorders>
              <w:top w:val="single" w:sz="8" w:color="auto"/>
              <w:left w:val="single" w:sz="8" w:color="auto"/>
            </w:tcBorders>
            <w:shd w:val="clear" w:color="auto" w:fill="B3B3B3"/>
          </w:tcPr>
          <w:p>
            <w:pPr>
              <w:ind w:left="20"/>
              <w:spacing w:after="0" w:line="203" w:lineRule="exact"/>
              <w:rPr>
                <w:sz w:val="20"/>
                <w:szCs w:val="20"/>
                <w:color w:val="auto"/>
              </w:rPr>
            </w:pPr>
            <w:r>
              <w:rPr>
                <w:rFonts w:ascii="Arial" w:cs="Arial" w:eastAsia="Arial" w:hAnsi="Arial"/>
                <w:sz w:val="18"/>
                <w:szCs w:val="18"/>
                <w:color w:val="auto"/>
              </w:rPr>
              <w:t>Patrick H. Hawkins</w:t>
            </w:r>
          </w:p>
        </w:tc>
        <w:tc>
          <w:tcPr>
            <w:tcW w:w="180" w:type="dxa"/>
            <w:vAlign w:val="bottom"/>
            <w:tcBorders>
              <w:top w:val="single" w:sz="8" w:color="B3B3B3"/>
            </w:tcBorders>
            <w:shd w:val="clear" w:color="auto" w:fill="B3B3B3"/>
          </w:tcPr>
          <w:p>
            <w:pPr>
              <w:spacing w:after="0"/>
              <w:rPr>
                <w:sz w:val="17"/>
                <w:szCs w:val="17"/>
                <w:color w:val="auto"/>
              </w:rPr>
            </w:pPr>
          </w:p>
        </w:tc>
        <w:tc>
          <w:tcPr>
            <w:tcW w:w="140" w:type="dxa"/>
            <w:vAlign w:val="bottom"/>
            <w:tcBorders>
              <w:top w:val="single" w:sz="8" w:color="auto"/>
            </w:tcBorders>
            <w:shd w:val="clear" w:color="auto" w:fill="B3B3B3"/>
          </w:tcPr>
          <w:p>
            <w:pPr>
              <w:jc w:val="right"/>
              <w:spacing w:after="0" w:line="203"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B3B3B3"/>
          </w:tcPr>
          <w:p>
            <w:pPr>
              <w:jc w:val="right"/>
              <w:spacing w:after="0" w:line="203" w:lineRule="exact"/>
              <w:rPr>
                <w:sz w:val="20"/>
                <w:szCs w:val="20"/>
                <w:color w:val="auto"/>
              </w:rPr>
            </w:pPr>
            <w:r>
              <w:rPr>
                <w:rFonts w:ascii="Arial" w:cs="Arial" w:eastAsia="Arial" w:hAnsi="Arial"/>
                <w:sz w:val="18"/>
                <w:szCs w:val="18"/>
                <w:color w:val="auto"/>
              </w:rPr>
              <w:t>35,000</w:t>
            </w:r>
          </w:p>
        </w:tc>
        <w:tc>
          <w:tcPr>
            <w:tcW w:w="120" w:type="dxa"/>
            <w:vAlign w:val="bottom"/>
            <w:tcBorders>
              <w:top w:val="single" w:sz="8" w:color="B3B3B3"/>
            </w:tcBorders>
            <w:shd w:val="clear" w:color="auto" w:fill="B3B3B3"/>
          </w:tcPr>
          <w:p>
            <w:pPr>
              <w:spacing w:after="0"/>
              <w:rPr>
                <w:sz w:val="17"/>
                <w:szCs w:val="17"/>
                <w:color w:val="auto"/>
              </w:rPr>
            </w:pPr>
          </w:p>
        </w:tc>
        <w:tc>
          <w:tcPr>
            <w:tcW w:w="520" w:type="dxa"/>
            <w:vAlign w:val="bottom"/>
            <w:tcBorders>
              <w:top w:val="single" w:sz="8" w:color="auto"/>
            </w:tcBorders>
            <w:shd w:val="clear" w:color="auto" w:fill="B3B3B3"/>
          </w:tcPr>
          <w:p>
            <w:pPr>
              <w:jc w:val="right"/>
              <w:ind w:right="313"/>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B3B3B3"/>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B3B3B3"/>
            </w:tcBorders>
            <w:shd w:val="clear" w:color="auto" w:fill="B3B3B3"/>
          </w:tcPr>
          <w:p>
            <w:pPr>
              <w:spacing w:after="0"/>
              <w:rPr>
                <w:sz w:val="17"/>
                <w:szCs w:val="17"/>
                <w:color w:val="auto"/>
              </w:rPr>
            </w:pPr>
          </w:p>
        </w:tc>
        <w:tc>
          <w:tcPr>
            <w:tcW w:w="320" w:type="dxa"/>
            <w:vAlign w:val="bottom"/>
            <w:tcBorders>
              <w:top w:val="single" w:sz="8" w:color="auto"/>
            </w:tcBorders>
            <w:shd w:val="clear" w:color="auto" w:fill="B3B3B3"/>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B3B3B3"/>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auto"/>
            </w:tcBorders>
            <w:shd w:val="clear" w:color="auto" w:fill="B3B3B3"/>
          </w:tcPr>
          <w:p>
            <w:pPr>
              <w:ind w:left="20"/>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top w:val="single" w:sz="8" w:color="auto"/>
              <w:right w:val="single" w:sz="8" w:color="auto"/>
            </w:tcBorders>
            <w:shd w:val="clear" w:color="auto" w:fill="B3B3B3"/>
          </w:tcPr>
          <w:p>
            <w:pPr>
              <w:jc w:val="right"/>
              <w:ind w:right="15"/>
              <w:spacing w:after="0" w:line="203" w:lineRule="exact"/>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33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9"/>
        </w:trPr>
        <w:tc>
          <w:tcPr>
            <w:tcW w:w="332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B3B3B3"/>
          </w:tcPr>
          <w:p>
            <w:pPr>
              <w:jc w:val="right"/>
              <w:ind w:right="31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B3B3B3"/>
          </w:tcPr>
          <w:p>
            <w:pPr>
              <w:spacing w:after="0"/>
              <w:rPr>
                <w:sz w:val="19"/>
                <w:szCs w:val="19"/>
                <w:color w:val="auto"/>
              </w:rPr>
            </w:pPr>
          </w:p>
        </w:tc>
        <w:tc>
          <w:tcPr>
            <w:tcW w:w="320" w:type="dxa"/>
            <w:vAlign w:val="bottom"/>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B3B3B3"/>
          </w:tcPr>
          <w:p>
            <w:pPr>
              <w:spacing w:after="0"/>
              <w:rPr>
                <w:sz w:val="19"/>
                <w:szCs w:val="19"/>
                <w:color w:val="auto"/>
              </w:rPr>
            </w:pPr>
          </w:p>
        </w:tc>
        <w:tc>
          <w:tcPr>
            <w:tcW w:w="160" w:type="dxa"/>
            <w:vAlign w:val="bottom"/>
            <w:shd w:val="clear" w:color="auto" w:fill="B3B3B3"/>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33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Douglas A. Lange</w:t>
            </w: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9"/>
        </w:trPr>
        <w:tc>
          <w:tcPr>
            <w:tcW w:w="332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David J. Mangine</w:t>
            </w: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B3B3B3"/>
          </w:tcPr>
          <w:p>
            <w:pPr>
              <w:spacing w:after="0"/>
              <w:rPr>
                <w:sz w:val="19"/>
                <w:szCs w:val="19"/>
                <w:color w:val="auto"/>
              </w:rPr>
            </w:pPr>
          </w:p>
        </w:tc>
        <w:tc>
          <w:tcPr>
            <w:tcW w:w="520" w:type="dxa"/>
            <w:vAlign w:val="bottom"/>
            <w:shd w:val="clear" w:color="auto" w:fill="B3B3B3"/>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3B3B3"/>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9"/>
        </w:trPr>
        <w:tc>
          <w:tcPr>
            <w:tcW w:w="33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Richard G. Erstad, Former GC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14,850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right="60"/>
        <w:spacing w:after="0" w:line="287" w:lineRule="auto"/>
        <w:rPr>
          <w:sz w:val="20"/>
          <w:szCs w:val="20"/>
          <w:color w:val="auto"/>
        </w:rPr>
      </w:pPr>
      <w:r>
        <w:rPr>
          <w:rFonts w:ascii="Arial" w:cs="Arial" w:eastAsia="Arial" w:hAnsi="Arial"/>
          <w:sz w:val="18"/>
          <w:szCs w:val="18"/>
          <w:color w:val="auto"/>
        </w:rPr>
        <w:t>The remaining amount included for each individual, if any, consists of a company-provided car benefit (based on the incremental cost to the company).</w:t>
      </w:r>
    </w:p>
    <w:p>
      <w:pPr>
        <w:spacing w:after="0" w:line="31"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Lange was not a named executive in fiscal 2025.</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Mangine was not a named executive in fiscal 2025 or fiscal 2024.</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Erstad ceased service as an executive officer as of December 28, 2025, and retired from the company on May 13, 2026.</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11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2026. The material terms of the fiscal 2026 equity and non-equity incentive awards are described under "Compensation of Executive Officers and Directors - Compensation Discussion and Analysis."</w:t>
      </w:r>
    </w:p>
    <w:tbl>
      <w:tblPr>
        <w:tblLayout w:type="fixed"/>
        <w:tblInd w:w="10" w:type="dxa"/>
        <w:tblCellMar>
          <w:top w:w="0" w:type="dxa"/>
          <w:left w:w="0" w:type="dxa"/>
          <w:bottom w:w="0" w:type="dxa"/>
          <w:right w:w="0" w:type="dxa"/>
        </w:tblCellMar>
      </w:tblPr>
      <w:tr>
        <w:trPr>
          <w:trHeight w:val="228"/>
        </w:trPr>
        <w:tc>
          <w:tcPr>
            <w:tcW w:w="2340" w:type="dxa"/>
            <w:vAlign w:val="bottom"/>
            <w:tcBorders>
              <w:top w:val="single" w:sz="8" w:color="auto"/>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rPr>
              <w:t>Estimated Future Payouts Under</w:t>
            </w:r>
          </w:p>
        </w:tc>
        <w:tc>
          <w:tcPr>
            <w:tcW w:w="300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Non-Equity Incentive Plan Awards(a)</w:t>
            </w:r>
          </w:p>
        </w:tc>
        <w:tc>
          <w:tcPr>
            <w:tcW w:w="3000" w:type="dxa"/>
            <w:vAlign w:val="bottom"/>
            <w:gridSpan w:val="5"/>
          </w:tcPr>
          <w:p>
            <w:pPr>
              <w:jc w:val="center"/>
              <w:spacing w:after="0"/>
              <w:rPr>
                <w:sz w:val="20"/>
                <w:szCs w:val="20"/>
                <w:color w:val="auto"/>
              </w:rPr>
            </w:pPr>
            <w:r>
              <w:rPr>
                <w:rFonts w:ascii="Arial" w:cs="Arial" w:eastAsia="Arial" w:hAnsi="Arial"/>
                <w:sz w:val="14"/>
                <w:szCs w:val="14"/>
                <w:b w:val="1"/>
                <w:bCs w:val="1"/>
                <w:color w:val="auto"/>
              </w:rPr>
              <w:t>Equity Incentive Plan Awards(b)</w:t>
            </w:r>
          </w:p>
        </w:tc>
        <w:tc>
          <w:tcPr>
            <w:tcW w:w="12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Threshold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Maximum</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Threshold</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Target</w:t>
            </w:r>
          </w:p>
        </w:tc>
        <w:tc>
          <w:tcPr>
            <w:tcW w:w="9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2"/>
                <w:szCs w:val="12"/>
                <w:color w:val="auto"/>
              </w:rPr>
            </w:pPr>
          </w:p>
        </w:tc>
        <w:tc>
          <w:tcPr>
            <w:tcW w:w="12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Value of Stock</w:t>
            </w:r>
          </w:p>
        </w:tc>
        <w:tc>
          <w:tcPr>
            <w:tcW w:w="0" w:type="dxa"/>
            <w:vAlign w:val="bottom"/>
          </w:tcPr>
          <w:p>
            <w:pPr>
              <w:spacing w:after="0"/>
              <w:rPr>
                <w:sz w:val="1"/>
                <w:szCs w:val="1"/>
                <w:color w:val="auto"/>
              </w:rPr>
            </w:pPr>
          </w:p>
        </w:tc>
      </w:tr>
      <w:tr>
        <w:trPr>
          <w:trHeight w:val="144"/>
        </w:trPr>
        <w:tc>
          <w:tcPr>
            <w:tcW w:w="23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9"/>
        </w:trPr>
        <w:tc>
          <w:tcPr>
            <w:tcW w:w="2340" w:type="dxa"/>
            <w:vAlign w:val="bottom"/>
            <w:tcBorders>
              <w:left w:val="single" w:sz="8" w:color="auto"/>
              <w:bottom w:val="single" w:sz="8" w:color="auto"/>
            </w:tcBorders>
            <w:vMerge w:val="continue"/>
          </w:tcPr>
          <w:p>
            <w:pPr>
              <w:spacing w:after="0"/>
              <w:rPr>
                <w:sz w:val="16"/>
                <w:szCs w:val="16"/>
                <w:color w:val="auto"/>
              </w:rPr>
            </w:pPr>
          </w:p>
        </w:tc>
        <w:tc>
          <w:tcPr>
            <w:tcW w:w="140" w:type="dxa"/>
            <w:vAlign w:val="bottom"/>
            <w:tcBorders>
              <w:bottom w:val="single" w:sz="8" w:color="B3B3B3"/>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B3B3B3"/>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96"/>
        </w:trPr>
        <w:tc>
          <w:tcPr>
            <w:tcW w:w="2340" w:type="dxa"/>
            <w:vAlign w:val="bottom"/>
            <w:tcBorders>
              <w:left w:val="single" w:sz="8" w:color="auto"/>
            </w:tcBorders>
            <w:shd w:val="clear" w:color="auto" w:fill="B6B6B6"/>
          </w:tcPr>
          <w:p>
            <w:pPr>
              <w:ind w:left="40"/>
              <w:spacing w:after="0" w:line="196" w:lineRule="exact"/>
              <w:rPr>
                <w:sz w:val="20"/>
                <w:szCs w:val="20"/>
                <w:color w:val="auto"/>
              </w:rPr>
            </w:pPr>
            <w:r>
              <w:rPr>
                <w:rFonts w:ascii="Arial" w:cs="Arial" w:eastAsia="Arial" w:hAnsi="Arial"/>
                <w:sz w:val="18"/>
                <w:szCs w:val="18"/>
                <w:color w:val="auto"/>
                <w:highlight w:val="lightGray"/>
              </w:rPr>
              <w:t>Patrick H. Hawkins, Chief</w:t>
            </w:r>
          </w:p>
        </w:tc>
        <w:tc>
          <w:tcPr>
            <w:tcW w:w="140" w:type="dxa"/>
            <w:vAlign w:val="bottom"/>
            <w:shd w:val="clear" w:color="auto" w:fill="B3B3B3"/>
          </w:tcPr>
          <w:p>
            <w:pPr>
              <w:spacing w:after="0"/>
              <w:rPr>
                <w:sz w:val="17"/>
                <w:szCs w:val="17"/>
                <w:color w:val="auto"/>
              </w:rPr>
            </w:pPr>
          </w:p>
        </w:tc>
        <w:tc>
          <w:tcPr>
            <w:tcW w:w="1100" w:type="dxa"/>
            <w:vAlign w:val="bottom"/>
            <w:shd w:val="clear" w:color="auto" w:fill="B3B3B3"/>
          </w:tcPr>
          <w:p>
            <w:pPr>
              <w:jc w:val="right"/>
              <w:spacing w:after="0" w:line="196" w:lineRule="exact"/>
              <w:rPr>
                <w:sz w:val="20"/>
                <w:szCs w:val="20"/>
                <w:color w:val="auto"/>
              </w:rPr>
            </w:pPr>
            <w:r>
              <w:rPr>
                <w:rFonts w:ascii="Arial" w:cs="Arial" w:eastAsia="Arial" w:hAnsi="Arial"/>
                <w:sz w:val="18"/>
                <w:szCs w:val="18"/>
                <w:color w:val="auto"/>
              </w:rPr>
              <w:t>5/14/2025</w:t>
            </w:r>
          </w:p>
        </w:tc>
        <w:tc>
          <w:tcPr>
            <w:tcW w:w="1040" w:type="dxa"/>
            <w:vAlign w:val="bottom"/>
            <w:gridSpan w:val="2"/>
            <w:shd w:val="clear" w:color="auto" w:fill="B3B3B3"/>
          </w:tcPr>
          <w:p>
            <w:pPr>
              <w:jc w:val="right"/>
              <w:ind w:right="8"/>
              <w:spacing w:after="0" w:line="196" w:lineRule="exact"/>
              <w:rPr>
                <w:sz w:val="20"/>
                <w:szCs w:val="20"/>
                <w:color w:val="auto"/>
              </w:rPr>
            </w:pPr>
            <w:r>
              <w:rPr>
                <w:rFonts w:ascii="Arial" w:cs="Arial" w:eastAsia="Arial" w:hAnsi="Arial"/>
                <w:sz w:val="18"/>
                <w:szCs w:val="18"/>
                <w:color w:val="auto"/>
              </w:rPr>
              <w:t>375,000</w:t>
            </w:r>
          </w:p>
        </w:tc>
        <w:tc>
          <w:tcPr>
            <w:tcW w:w="100" w:type="dxa"/>
            <w:vAlign w:val="bottom"/>
            <w:shd w:val="clear" w:color="auto" w:fill="B3B3B3"/>
          </w:tcPr>
          <w:p>
            <w:pPr>
              <w:spacing w:after="0"/>
              <w:rPr>
                <w:sz w:val="17"/>
                <w:szCs w:val="17"/>
                <w:color w:val="auto"/>
              </w:rPr>
            </w:pPr>
          </w:p>
        </w:tc>
        <w:tc>
          <w:tcPr>
            <w:tcW w:w="940" w:type="dxa"/>
            <w:vAlign w:val="bottom"/>
            <w:shd w:val="clear" w:color="auto" w:fill="B3B3B3"/>
          </w:tcPr>
          <w:p>
            <w:pPr>
              <w:jc w:val="right"/>
              <w:spacing w:after="0" w:line="196" w:lineRule="exact"/>
              <w:rPr>
                <w:sz w:val="20"/>
                <w:szCs w:val="20"/>
                <w:color w:val="auto"/>
              </w:rPr>
            </w:pPr>
            <w:r>
              <w:rPr>
                <w:rFonts w:ascii="Arial" w:cs="Arial" w:eastAsia="Arial" w:hAnsi="Arial"/>
                <w:sz w:val="18"/>
                <w:szCs w:val="18"/>
                <w:color w:val="auto"/>
              </w:rPr>
              <w:t>750,000</w:t>
            </w:r>
          </w:p>
        </w:tc>
        <w:tc>
          <w:tcPr>
            <w:tcW w:w="100" w:type="dxa"/>
            <w:vAlign w:val="bottom"/>
            <w:shd w:val="clear" w:color="auto" w:fill="B3B3B3"/>
          </w:tcPr>
          <w:p>
            <w:pPr>
              <w:spacing w:after="0"/>
              <w:rPr>
                <w:sz w:val="17"/>
                <w:szCs w:val="17"/>
                <w:color w:val="auto"/>
              </w:rPr>
            </w:pPr>
          </w:p>
        </w:tc>
        <w:tc>
          <w:tcPr>
            <w:tcW w:w="940" w:type="dxa"/>
            <w:vAlign w:val="bottom"/>
            <w:shd w:val="clear" w:color="auto" w:fill="B3B3B3"/>
          </w:tcPr>
          <w:p>
            <w:pPr>
              <w:jc w:val="right"/>
              <w:spacing w:after="0" w:line="196" w:lineRule="exact"/>
              <w:rPr>
                <w:sz w:val="20"/>
                <w:szCs w:val="20"/>
                <w:color w:val="auto"/>
              </w:rPr>
            </w:pPr>
            <w:r>
              <w:rPr>
                <w:rFonts w:ascii="Arial" w:cs="Arial" w:eastAsia="Arial" w:hAnsi="Arial"/>
                <w:sz w:val="18"/>
                <w:szCs w:val="18"/>
                <w:color w:val="auto"/>
              </w:rPr>
              <w:t>1,500,000</w:t>
            </w: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1280" w:type="dxa"/>
            <w:vAlign w:val="bottom"/>
            <w:tcBorders>
              <w:right w:val="single" w:sz="8" w:color="auto"/>
            </w:tcBorders>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left w:val="single" w:sz="8" w:color="auto"/>
            </w:tcBorders>
            <w:shd w:val="clear" w:color="auto" w:fill="B6B6B6"/>
          </w:tcPr>
          <w:p>
            <w:pPr>
              <w:ind w:left="40"/>
              <w:spacing w:after="0" w:line="202" w:lineRule="exact"/>
              <w:rPr>
                <w:sz w:val="20"/>
                <w:szCs w:val="20"/>
                <w:color w:val="auto"/>
              </w:rPr>
            </w:pPr>
            <w:r>
              <w:rPr>
                <w:rFonts w:ascii="Arial" w:cs="Arial" w:eastAsia="Arial" w:hAnsi="Arial"/>
                <w:sz w:val="18"/>
                <w:szCs w:val="18"/>
                <w:color w:val="auto"/>
                <w:highlight w:val="lightGray"/>
              </w:rPr>
              <w:t>Executive Officer</w:t>
            </w:r>
          </w:p>
        </w:tc>
        <w:tc>
          <w:tcPr>
            <w:tcW w:w="1240" w:type="dxa"/>
            <w:vAlign w:val="bottom"/>
            <w:gridSpan w:val="2"/>
            <w:vMerge w:val="restart"/>
            <w:shd w:val="clear" w:color="auto" w:fill="B3B3B3"/>
          </w:tcPr>
          <w:p>
            <w:pPr>
              <w:jc w:val="right"/>
              <w:spacing w:after="0"/>
              <w:rPr>
                <w:sz w:val="20"/>
                <w:szCs w:val="20"/>
                <w:color w:val="auto"/>
              </w:rPr>
            </w:pPr>
            <w:r>
              <w:rPr>
                <w:rFonts w:ascii="Arial" w:cs="Arial" w:eastAsia="Arial" w:hAnsi="Arial"/>
                <w:sz w:val="18"/>
                <w:szCs w:val="18"/>
                <w:color w:val="auto"/>
              </w:rPr>
              <w:t>5/14/2025</w:t>
            </w:r>
          </w:p>
        </w:tc>
        <w:tc>
          <w:tcPr>
            <w:tcW w:w="100" w:type="dxa"/>
            <w:vAlign w:val="bottom"/>
            <w:shd w:val="clear" w:color="auto" w:fill="B3B3B3"/>
          </w:tcPr>
          <w:p>
            <w:pPr>
              <w:spacing w:after="0"/>
              <w:rPr>
                <w:sz w:val="17"/>
                <w:szCs w:val="17"/>
                <w:color w:val="auto"/>
              </w:rPr>
            </w:pPr>
          </w:p>
        </w:tc>
        <w:tc>
          <w:tcPr>
            <w:tcW w:w="94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94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94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8,617</w:t>
            </w:r>
          </w:p>
        </w:tc>
        <w:tc>
          <w:tcPr>
            <w:tcW w:w="120" w:type="dxa"/>
            <w:vAlign w:val="bottom"/>
            <w:shd w:val="clear" w:color="auto" w:fill="B3B3B3"/>
          </w:tcPr>
          <w:p>
            <w:pPr>
              <w:spacing w:after="0"/>
              <w:rPr>
                <w:sz w:val="17"/>
                <w:szCs w:val="17"/>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shd w:val="clear" w:color="auto" w:fill="B3B3B3"/>
          </w:tcPr>
          <w:p>
            <w:pPr>
              <w:spacing w:after="0"/>
              <w:rPr>
                <w:sz w:val="17"/>
                <w:szCs w:val="17"/>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25,851</w:t>
            </w:r>
          </w:p>
        </w:tc>
        <w:tc>
          <w:tcPr>
            <w:tcW w:w="140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2,062,393</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shd w:val="clear" w:color="auto" w:fill="B6B6B6"/>
          </w:tcPr>
          <w:p>
            <w:pPr>
              <w:spacing w:after="0"/>
              <w:rPr>
                <w:sz w:val="10"/>
                <w:szCs w:val="10"/>
                <w:color w:val="auto"/>
              </w:rPr>
            </w:pPr>
          </w:p>
        </w:tc>
        <w:tc>
          <w:tcPr>
            <w:tcW w:w="1240" w:type="dxa"/>
            <w:vAlign w:val="bottom"/>
            <w:gridSpan w:val="2"/>
            <w:vMerge w:val="continue"/>
            <w:shd w:val="clear" w:color="auto" w:fill="B3B3B3"/>
          </w:tcPr>
          <w:p>
            <w:pPr>
              <w:spacing w:after="0"/>
              <w:rPr>
                <w:sz w:val="10"/>
                <w:szCs w:val="10"/>
                <w:color w:val="auto"/>
              </w:rPr>
            </w:pPr>
          </w:p>
        </w:tc>
        <w:tc>
          <w:tcPr>
            <w:tcW w:w="100" w:type="dxa"/>
            <w:vAlign w:val="bottom"/>
            <w:shd w:val="clear" w:color="auto" w:fill="B3B3B3"/>
          </w:tcPr>
          <w:p>
            <w:pPr>
              <w:spacing w:after="0"/>
              <w:rPr>
                <w:sz w:val="10"/>
                <w:szCs w:val="10"/>
                <w:color w:val="auto"/>
              </w:rPr>
            </w:pPr>
          </w:p>
        </w:tc>
        <w:tc>
          <w:tcPr>
            <w:tcW w:w="940" w:type="dxa"/>
            <w:vAlign w:val="bottom"/>
            <w:shd w:val="clear" w:color="auto" w:fill="B3B3B3"/>
          </w:tcPr>
          <w:p>
            <w:pPr>
              <w:spacing w:after="0"/>
              <w:rPr>
                <w:sz w:val="10"/>
                <w:szCs w:val="10"/>
                <w:color w:val="auto"/>
              </w:rPr>
            </w:pPr>
          </w:p>
        </w:tc>
        <w:tc>
          <w:tcPr>
            <w:tcW w:w="100" w:type="dxa"/>
            <w:vAlign w:val="bottom"/>
            <w:shd w:val="clear" w:color="auto" w:fill="B3B3B3"/>
          </w:tcPr>
          <w:p>
            <w:pPr>
              <w:spacing w:after="0"/>
              <w:rPr>
                <w:sz w:val="10"/>
                <w:szCs w:val="10"/>
                <w:color w:val="auto"/>
              </w:rPr>
            </w:pPr>
          </w:p>
        </w:tc>
        <w:tc>
          <w:tcPr>
            <w:tcW w:w="940" w:type="dxa"/>
            <w:vAlign w:val="bottom"/>
            <w:shd w:val="clear" w:color="auto" w:fill="B3B3B3"/>
          </w:tcPr>
          <w:p>
            <w:pPr>
              <w:spacing w:after="0"/>
              <w:rPr>
                <w:sz w:val="10"/>
                <w:szCs w:val="10"/>
                <w:color w:val="auto"/>
              </w:rPr>
            </w:pPr>
          </w:p>
        </w:tc>
        <w:tc>
          <w:tcPr>
            <w:tcW w:w="100" w:type="dxa"/>
            <w:vAlign w:val="bottom"/>
            <w:shd w:val="clear" w:color="auto" w:fill="B3B3B3"/>
          </w:tcPr>
          <w:p>
            <w:pPr>
              <w:spacing w:after="0"/>
              <w:rPr>
                <w:sz w:val="10"/>
                <w:szCs w:val="10"/>
                <w:color w:val="auto"/>
              </w:rPr>
            </w:pPr>
          </w:p>
        </w:tc>
        <w:tc>
          <w:tcPr>
            <w:tcW w:w="940" w:type="dxa"/>
            <w:vAlign w:val="bottom"/>
            <w:shd w:val="clear" w:color="auto" w:fill="B3B3B3"/>
          </w:tcPr>
          <w:p>
            <w:pPr>
              <w:spacing w:after="0"/>
              <w:rPr>
                <w:sz w:val="10"/>
                <w:szCs w:val="10"/>
                <w:color w:val="auto"/>
              </w:rPr>
            </w:pPr>
          </w:p>
        </w:tc>
        <w:tc>
          <w:tcPr>
            <w:tcW w:w="120" w:type="dxa"/>
            <w:vAlign w:val="bottom"/>
            <w:shd w:val="clear" w:color="auto" w:fill="B3B3B3"/>
          </w:tcPr>
          <w:p>
            <w:pPr>
              <w:spacing w:after="0"/>
              <w:rPr>
                <w:sz w:val="10"/>
                <w:szCs w:val="10"/>
                <w:color w:val="auto"/>
              </w:rPr>
            </w:pPr>
          </w:p>
        </w:tc>
        <w:tc>
          <w:tcPr>
            <w:tcW w:w="920" w:type="dxa"/>
            <w:vAlign w:val="bottom"/>
            <w:vMerge w:val="continue"/>
            <w:shd w:val="clear" w:color="auto" w:fill="B3B3B3"/>
          </w:tcPr>
          <w:p>
            <w:pPr>
              <w:spacing w:after="0"/>
              <w:rPr>
                <w:sz w:val="10"/>
                <w:szCs w:val="10"/>
                <w:color w:val="auto"/>
              </w:rPr>
            </w:pPr>
          </w:p>
        </w:tc>
        <w:tc>
          <w:tcPr>
            <w:tcW w:w="120" w:type="dxa"/>
            <w:vAlign w:val="bottom"/>
            <w:shd w:val="clear" w:color="auto" w:fill="B3B3B3"/>
          </w:tcPr>
          <w:p>
            <w:pPr>
              <w:spacing w:after="0"/>
              <w:rPr>
                <w:sz w:val="10"/>
                <w:szCs w:val="10"/>
                <w:color w:val="auto"/>
              </w:rPr>
            </w:pPr>
          </w:p>
        </w:tc>
        <w:tc>
          <w:tcPr>
            <w:tcW w:w="920" w:type="dxa"/>
            <w:vAlign w:val="bottom"/>
            <w:vMerge w:val="continue"/>
            <w:shd w:val="clear" w:color="auto" w:fill="B3B3B3"/>
          </w:tcPr>
          <w:p>
            <w:pPr>
              <w:spacing w:after="0"/>
              <w:rPr>
                <w:sz w:val="10"/>
                <w:szCs w:val="10"/>
                <w:color w:val="auto"/>
              </w:rPr>
            </w:pPr>
          </w:p>
        </w:tc>
        <w:tc>
          <w:tcPr>
            <w:tcW w:w="120" w:type="dxa"/>
            <w:vAlign w:val="bottom"/>
            <w:shd w:val="clear" w:color="auto" w:fill="B3B3B3"/>
          </w:tcPr>
          <w:p>
            <w:pPr>
              <w:spacing w:after="0"/>
              <w:rPr>
                <w:sz w:val="10"/>
                <w:szCs w:val="10"/>
                <w:color w:val="auto"/>
              </w:rPr>
            </w:pPr>
          </w:p>
        </w:tc>
        <w:tc>
          <w:tcPr>
            <w:tcW w:w="920" w:type="dxa"/>
            <w:vAlign w:val="bottom"/>
            <w:vMerge w:val="continue"/>
            <w:shd w:val="clear" w:color="auto" w:fill="B3B3B3"/>
          </w:tcPr>
          <w:p>
            <w:pPr>
              <w:spacing w:after="0"/>
              <w:rPr>
                <w:sz w:val="10"/>
                <w:szCs w:val="10"/>
                <w:color w:val="auto"/>
              </w:rPr>
            </w:pPr>
          </w:p>
        </w:tc>
        <w:tc>
          <w:tcPr>
            <w:tcW w:w="1400" w:type="dxa"/>
            <w:vAlign w:val="bottom"/>
            <w:tcBorders>
              <w:right w:val="single" w:sz="8" w:color="auto"/>
            </w:tcBorders>
            <w:gridSpan w:val="2"/>
            <w:vMerge w:val="continue"/>
            <w:shd w:val="clear" w:color="auto" w:fill="B3B3B3"/>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P. Oldenkamp, Chief</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5/14/2025</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220,125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440,250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880,500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Financial Officer</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5/14/2025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8,584</w:t>
            </w:r>
          </w:p>
        </w:tc>
        <w:tc>
          <w:tcPr>
            <w:tcW w:w="1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12,876</w:t>
            </w:r>
          </w:p>
        </w:tc>
        <w:tc>
          <w:tcPr>
            <w:tcW w:w="140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1,027,247</w:t>
            </w:r>
          </w:p>
        </w:tc>
        <w:tc>
          <w:tcPr>
            <w:tcW w:w="0" w:type="dxa"/>
            <w:vAlign w:val="bottom"/>
          </w:tcPr>
          <w:p>
            <w:pPr>
              <w:spacing w:after="0"/>
              <w:rPr>
                <w:sz w:val="1"/>
                <w:szCs w:val="1"/>
                <w:color w:val="auto"/>
              </w:rPr>
            </w:pPr>
          </w:p>
        </w:tc>
      </w:tr>
      <w:tr>
        <w:trPr>
          <w:trHeight w:val="85"/>
        </w:trPr>
        <w:tc>
          <w:tcPr>
            <w:tcW w:w="2340" w:type="dxa"/>
            <w:vAlign w:val="bottom"/>
            <w:tcBorders>
              <w:left w:val="single" w:sz="8" w:color="auto"/>
            </w:tcBorders>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4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Drew M. Grahek, Vice</w:t>
            </w:r>
          </w:p>
        </w:tc>
        <w:tc>
          <w:tcPr>
            <w:tcW w:w="140" w:type="dxa"/>
            <w:vAlign w:val="bottom"/>
            <w:shd w:val="clear" w:color="auto" w:fill="B3B3B3"/>
          </w:tcPr>
          <w:p>
            <w:pPr>
              <w:spacing w:after="0"/>
              <w:rPr>
                <w:sz w:val="18"/>
                <w:szCs w:val="18"/>
                <w:color w:val="auto"/>
              </w:rPr>
            </w:pPr>
          </w:p>
        </w:tc>
        <w:tc>
          <w:tcPr>
            <w:tcW w:w="11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5/14/2025</w:t>
            </w:r>
          </w:p>
        </w:tc>
        <w:tc>
          <w:tcPr>
            <w:tcW w:w="1040" w:type="dxa"/>
            <w:vAlign w:val="bottom"/>
            <w:gridSpan w:val="2"/>
            <w:shd w:val="clear" w:color="auto" w:fill="B3B3B3"/>
          </w:tcPr>
          <w:p>
            <w:pPr>
              <w:jc w:val="right"/>
              <w:ind w:right="8"/>
              <w:spacing w:after="0"/>
              <w:rPr>
                <w:sz w:val="20"/>
                <w:szCs w:val="20"/>
                <w:color w:val="auto"/>
              </w:rPr>
            </w:pPr>
            <w:r>
              <w:rPr>
                <w:rFonts w:ascii="Arial" w:cs="Arial" w:eastAsia="Arial" w:hAnsi="Arial"/>
                <w:sz w:val="18"/>
                <w:szCs w:val="18"/>
                <w:color w:val="auto"/>
              </w:rPr>
              <w:t>109,500</w:t>
            </w:r>
          </w:p>
        </w:tc>
        <w:tc>
          <w:tcPr>
            <w:tcW w:w="100" w:type="dxa"/>
            <w:vAlign w:val="bottom"/>
            <w:shd w:val="clear" w:color="auto" w:fill="B3B3B3"/>
          </w:tcPr>
          <w:p>
            <w:pPr>
              <w:spacing w:after="0"/>
              <w:rPr>
                <w:sz w:val="18"/>
                <w:szCs w:val="18"/>
                <w:color w:val="auto"/>
              </w:rPr>
            </w:pPr>
          </w:p>
        </w:tc>
        <w:tc>
          <w:tcPr>
            <w:tcW w:w="9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219,000</w:t>
            </w:r>
          </w:p>
        </w:tc>
        <w:tc>
          <w:tcPr>
            <w:tcW w:w="100" w:type="dxa"/>
            <w:vAlign w:val="bottom"/>
            <w:shd w:val="clear" w:color="auto" w:fill="B3B3B3"/>
          </w:tcPr>
          <w:p>
            <w:pPr>
              <w:spacing w:after="0"/>
              <w:rPr>
                <w:sz w:val="18"/>
                <w:szCs w:val="18"/>
                <w:color w:val="auto"/>
              </w:rPr>
            </w:pPr>
          </w:p>
        </w:tc>
        <w:tc>
          <w:tcPr>
            <w:tcW w:w="9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438,000</w:t>
            </w: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128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President - Operations</w:t>
            </w:r>
          </w:p>
        </w:tc>
        <w:tc>
          <w:tcPr>
            <w:tcW w:w="140" w:type="dxa"/>
            <w:vAlign w:val="bottom"/>
            <w:shd w:val="clear" w:color="auto" w:fill="B3B3B3"/>
          </w:tcPr>
          <w:p>
            <w:pPr>
              <w:spacing w:after="0"/>
              <w:rPr>
                <w:sz w:val="20"/>
                <w:szCs w:val="20"/>
                <w:color w:val="auto"/>
              </w:rPr>
            </w:pP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5/14/2025</w:t>
            </w:r>
          </w:p>
        </w:tc>
        <w:tc>
          <w:tcPr>
            <w:tcW w:w="100" w:type="dxa"/>
            <w:vAlign w:val="bottom"/>
            <w:shd w:val="clear" w:color="auto" w:fill="B3B3B3"/>
          </w:tcPr>
          <w:p>
            <w:pPr>
              <w:spacing w:after="0"/>
              <w:rPr>
                <w:sz w:val="20"/>
                <w:szCs w:val="20"/>
                <w:color w:val="auto"/>
              </w:rPr>
            </w:pPr>
          </w:p>
        </w:tc>
        <w:tc>
          <w:tcPr>
            <w:tcW w:w="94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94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94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B3B3B3"/>
          </w:tcPr>
          <w:p>
            <w:pPr>
              <w:spacing w:after="0"/>
              <w:rPr>
                <w:sz w:val="20"/>
                <w:szCs w:val="20"/>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2,745</w:t>
            </w:r>
          </w:p>
        </w:tc>
        <w:tc>
          <w:tcPr>
            <w:tcW w:w="120" w:type="dxa"/>
            <w:vAlign w:val="bottom"/>
            <w:shd w:val="clear" w:color="auto" w:fill="B3B3B3"/>
          </w:tcPr>
          <w:p>
            <w:pPr>
              <w:spacing w:after="0"/>
              <w:rPr>
                <w:sz w:val="20"/>
                <w:szCs w:val="20"/>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4,117</w:t>
            </w:r>
          </w:p>
        </w:tc>
        <w:tc>
          <w:tcPr>
            <w:tcW w:w="140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328,494</w:t>
            </w:r>
          </w:p>
        </w:tc>
        <w:tc>
          <w:tcPr>
            <w:tcW w:w="0" w:type="dxa"/>
            <w:vAlign w:val="bottom"/>
          </w:tcPr>
          <w:p>
            <w:pPr>
              <w:spacing w:after="0"/>
              <w:rPr>
                <w:sz w:val="1"/>
                <w:szCs w:val="1"/>
                <w:color w:val="auto"/>
              </w:rPr>
            </w:pPr>
          </w:p>
        </w:tc>
      </w:tr>
      <w:tr>
        <w:trPr>
          <w:trHeight w:val="85"/>
        </w:trPr>
        <w:tc>
          <w:tcPr>
            <w:tcW w:w="2340" w:type="dxa"/>
            <w:vAlign w:val="bottom"/>
            <w:tcBorders>
              <w:left w:val="single" w:sz="8" w:color="auto"/>
            </w:tcBorders>
            <w:shd w:val="clear" w:color="auto" w:fill="B3B3B3"/>
          </w:tcPr>
          <w:p>
            <w:pPr>
              <w:spacing w:after="0"/>
              <w:rPr>
                <w:sz w:val="7"/>
                <w:szCs w:val="7"/>
                <w:color w:val="auto"/>
              </w:rPr>
            </w:pPr>
          </w:p>
        </w:tc>
        <w:tc>
          <w:tcPr>
            <w:tcW w:w="140" w:type="dxa"/>
            <w:vAlign w:val="bottom"/>
            <w:shd w:val="clear" w:color="auto" w:fill="B3B3B3"/>
          </w:tcPr>
          <w:p>
            <w:pPr>
              <w:spacing w:after="0"/>
              <w:rPr>
                <w:sz w:val="7"/>
                <w:szCs w:val="7"/>
                <w:color w:val="auto"/>
              </w:rPr>
            </w:pPr>
          </w:p>
        </w:tc>
        <w:tc>
          <w:tcPr>
            <w:tcW w:w="110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940" w:type="dxa"/>
            <w:vAlign w:val="bottom"/>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940" w:type="dxa"/>
            <w:vAlign w:val="bottom"/>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940" w:type="dxa"/>
            <w:vAlign w:val="bottom"/>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92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92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920" w:type="dxa"/>
            <w:vAlign w:val="bottom"/>
            <w:vMerge w:val="continue"/>
            <w:shd w:val="clear" w:color="auto" w:fill="B3B3B3"/>
          </w:tcPr>
          <w:p>
            <w:pPr>
              <w:spacing w:after="0"/>
              <w:rPr>
                <w:sz w:val="7"/>
                <w:szCs w:val="7"/>
                <w:color w:val="auto"/>
              </w:rPr>
            </w:pPr>
          </w:p>
        </w:tc>
        <w:tc>
          <w:tcPr>
            <w:tcW w:w="1400" w:type="dxa"/>
            <w:vAlign w:val="bottom"/>
            <w:tcBorders>
              <w:right w:val="single" w:sz="8" w:color="auto"/>
            </w:tcBorders>
            <w:gridSpan w:val="2"/>
            <w:vMerge w:val="continue"/>
            <w:shd w:val="clear" w:color="auto" w:fill="B3B3B3"/>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Douglas A. Lange, Vice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5/14/2025</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101,250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202,500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405,000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President - Water Treatment</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5/14/2025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3,045</w:t>
            </w:r>
          </w:p>
        </w:tc>
        <w:tc>
          <w:tcPr>
            <w:tcW w:w="140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242,930</w:t>
            </w:r>
          </w:p>
        </w:tc>
        <w:tc>
          <w:tcPr>
            <w:tcW w:w="0" w:type="dxa"/>
            <w:vAlign w:val="bottom"/>
          </w:tcPr>
          <w:p>
            <w:pPr>
              <w:spacing w:after="0"/>
              <w:rPr>
                <w:sz w:val="1"/>
                <w:szCs w:val="1"/>
                <w:color w:val="auto"/>
              </w:rPr>
            </w:pPr>
          </w:p>
        </w:tc>
      </w:tr>
      <w:tr>
        <w:trPr>
          <w:trHeight w:val="109"/>
        </w:trPr>
        <w:tc>
          <w:tcPr>
            <w:tcW w:w="2340" w:type="dxa"/>
            <w:vAlign w:val="bottom"/>
            <w:tcBorders>
              <w:left w:val="single" w:sz="8" w:color="auto"/>
            </w:tcBorders>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340" w:type="dxa"/>
            <w:vAlign w:val="bottom"/>
            <w:tcBorders>
              <w:left w:val="single" w:sz="8" w:color="auto"/>
            </w:tcBorders>
            <w:shd w:val="clear" w:color="auto" w:fill="B3B3B3"/>
          </w:tcPr>
          <w:p>
            <w:pPr>
              <w:ind w:left="40"/>
              <w:spacing w:after="0" w:line="183" w:lineRule="exact"/>
              <w:rPr>
                <w:sz w:val="20"/>
                <w:szCs w:val="20"/>
                <w:color w:val="auto"/>
              </w:rPr>
            </w:pPr>
            <w:r>
              <w:rPr>
                <w:rFonts w:ascii="Arial" w:cs="Arial" w:eastAsia="Arial" w:hAnsi="Arial"/>
                <w:sz w:val="18"/>
                <w:szCs w:val="18"/>
                <w:color w:val="auto"/>
              </w:rPr>
              <w:t>David J. Mangine, Vice</w:t>
            </w:r>
          </w:p>
        </w:tc>
        <w:tc>
          <w:tcPr>
            <w:tcW w:w="140" w:type="dxa"/>
            <w:vAlign w:val="bottom"/>
            <w:shd w:val="clear" w:color="auto" w:fill="B6B6B6"/>
          </w:tcPr>
          <w:p>
            <w:pPr>
              <w:spacing w:after="0"/>
              <w:rPr>
                <w:sz w:val="15"/>
                <w:szCs w:val="15"/>
                <w:color w:val="auto"/>
              </w:rPr>
            </w:pPr>
          </w:p>
        </w:tc>
        <w:tc>
          <w:tcPr>
            <w:tcW w:w="11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5/14/2025</w:t>
            </w:r>
          </w:p>
        </w:tc>
        <w:tc>
          <w:tcPr>
            <w:tcW w:w="1040" w:type="dxa"/>
            <w:vAlign w:val="bottom"/>
            <w:gridSpan w:val="2"/>
            <w:vMerge w:val="restart"/>
            <w:shd w:val="clear" w:color="auto" w:fill="B6B6B6"/>
          </w:tcPr>
          <w:p>
            <w:pPr>
              <w:jc w:val="right"/>
              <w:ind w:right="8"/>
              <w:spacing w:after="0"/>
              <w:rPr>
                <w:sz w:val="20"/>
                <w:szCs w:val="20"/>
                <w:color w:val="auto"/>
              </w:rPr>
            </w:pPr>
            <w:r>
              <w:rPr>
                <w:rFonts w:ascii="Arial" w:cs="Arial" w:eastAsia="Arial" w:hAnsi="Arial"/>
                <w:sz w:val="18"/>
                <w:szCs w:val="18"/>
                <w:color w:val="auto"/>
              </w:rPr>
              <w:t>77,400</w:t>
            </w:r>
          </w:p>
        </w:tc>
        <w:tc>
          <w:tcPr>
            <w:tcW w:w="100" w:type="dxa"/>
            <w:vAlign w:val="bottom"/>
            <w:shd w:val="clear" w:color="auto" w:fill="B6B6B6"/>
          </w:tcPr>
          <w:p>
            <w:pPr>
              <w:spacing w:after="0"/>
              <w:rPr>
                <w:sz w:val="15"/>
                <w:szCs w:val="15"/>
                <w:color w:val="auto"/>
              </w:rPr>
            </w:pPr>
          </w:p>
        </w:tc>
        <w:tc>
          <w:tcPr>
            <w:tcW w:w="94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154,800</w:t>
            </w:r>
          </w:p>
        </w:tc>
        <w:tc>
          <w:tcPr>
            <w:tcW w:w="100" w:type="dxa"/>
            <w:vAlign w:val="bottom"/>
            <w:shd w:val="clear" w:color="auto" w:fill="B6B6B6"/>
          </w:tcPr>
          <w:p>
            <w:pPr>
              <w:spacing w:after="0"/>
              <w:rPr>
                <w:sz w:val="15"/>
                <w:szCs w:val="15"/>
                <w:color w:val="auto"/>
              </w:rPr>
            </w:pPr>
          </w:p>
        </w:tc>
        <w:tc>
          <w:tcPr>
            <w:tcW w:w="94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309,600</w:t>
            </w:r>
          </w:p>
        </w:tc>
        <w:tc>
          <w:tcPr>
            <w:tcW w:w="120" w:type="dxa"/>
            <w:vAlign w:val="bottom"/>
            <w:shd w:val="clear" w:color="auto" w:fill="B6B6B6"/>
          </w:tcPr>
          <w:p>
            <w:pPr>
              <w:spacing w:after="0"/>
              <w:rPr>
                <w:sz w:val="15"/>
                <w:szCs w:val="15"/>
                <w:color w:val="auto"/>
              </w:rPr>
            </w:pPr>
          </w:p>
        </w:tc>
        <w:tc>
          <w:tcPr>
            <w:tcW w:w="92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92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92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1280" w:type="dxa"/>
            <w:vAlign w:val="bottom"/>
            <w:tcBorders>
              <w:right w:val="single" w:sz="8" w:color="auto"/>
            </w:tcBorders>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340" w:type="dxa"/>
            <w:vAlign w:val="bottom"/>
            <w:tcBorders>
              <w:left w:val="single" w:sz="8" w:color="auto"/>
            </w:tcBorders>
            <w:vMerge w:val="restart"/>
            <w:shd w:val="clear" w:color="auto" w:fill="B3B3B3"/>
          </w:tcPr>
          <w:p>
            <w:pPr>
              <w:ind w:left="40"/>
              <w:spacing w:after="0" w:line="181" w:lineRule="exact"/>
              <w:rPr>
                <w:sz w:val="20"/>
                <w:szCs w:val="20"/>
                <w:color w:val="auto"/>
              </w:rPr>
            </w:pPr>
            <w:r>
              <w:rPr>
                <w:rFonts w:ascii="Arial" w:cs="Arial" w:eastAsia="Arial" w:hAnsi="Arial"/>
                <w:sz w:val="18"/>
                <w:szCs w:val="18"/>
                <w:color w:val="auto"/>
              </w:rPr>
              <w:t>President - Industrial</w:t>
            </w:r>
          </w:p>
        </w:tc>
        <w:tc>
          <w:tcPr>
            <w:tcW w:w="140" w:type="dxa"/>
            <w:vAlign w:val="bottom"/>
            <w:shd w:val="clear" w:color="auto" w:fill="B6B6B6"/>
          </w:tcPr>
          <w:p>
            <w:pPr>
              <w:spacing w:after="0"/>
              <w:rPr>
                <w:sz w:val="11"/>
                <w:szCs w:val="11"/>
                <w:color w:val="auto"/>
              </w:rPr>
            </w:pPr>
          </w:p>
        </w:tc>
        <w:tc>
          <w:tcPr>
            <w:tcW w:w="1100" w:type="dxa"/>
            <w:vAlign w:val="bottom"/>
            <w:vMerge w:val="continue"/>
            <w:shd w:val="clear" w:color="auto" w:fill="B6B6B6"/>
          </w:tcPr>
          <w:p>
            <w:pPr>
              <w:spacing w:after="0"/>
              <w:rPr>
                <w:sz w:val="11"/>
                <w:szCs w:val="11"/>
                <w:color w:val="auto"/>
              </w:rPr>
            </w:pPr>
          </w:p>
        </w:tc>
        <w:tc>
          <w:tcPr>
            <w:tcW w:w="1040" w:type="dxa"/>
            <w:vAlign w:val="bottom"/>
            <w:gridSpan w:val="2"/>
            <w:vMerge w:val="continue"/>
            <w:shd w:val="clear" w:color="auto" w:fill="B6B6B6"/>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940" w:type="dxa"/>
            <w:vAlign w:val="bottom"/>
            <w:vMerge w:val="continue"/>
            <w:shd w:val="clear" w:color="auto" w:fill="B6B6B6"/>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940" w:type="dxa"/>
            <w:vAlign w:val="bottom"/>
            <w:vMerge w:val="continue"/>
            <w:shd w:val="clear" w:color="auto" w:fill="B6B6B6"/>
          </w:tcPr>
          <w:p>
            <w:pPr>
              <w:spacing w:after="0"/>
              <w:rPr>
                <w:sz w:val="11"/>
                <w:szCs w:val="11"/>
                <w:color w:val="auto"/>
              </w:rPr>
            </w:pPr>
          </w:p>
        </w:tc>
        <w:tc>
          <w:tcPr>
            <w:tcW w:w="120" w:type="dxa"/>
            <w:vAlign w:val="bottom"/>
            <w:shd w:val="clear" w:color="auto" w:fill="B6B6B6"/>
          </w:tcPr>
          <w:p>
            <w:pPr>
              <w:spacing w:after="0"/>
              <w:rPr>
                <w:sz w:val="11"/>
                <w:szCs w:val="11"/>
                <w:color w:val="auto"/>
              </w:rPr>
            </w:pPr>
          </w:p>
        </w:tc>
        <w:tc>
          <w:tcPr>
            <w:tcW w:w="920" w:type="dxa"/>
            <w:vAlign w:val="bottom"/>
            <w:shd w:val="clear" w:color="auto" w:fill="B6B6B6"/>
          </w:tcPr>
          <w:p>
            <w:pPr>
              <w:spacing w:after="0"/>
              <w:rPr>
                <w:sz w:val="11"/>
                <w:szCs w:val="11"/>
                <w:color w:val="auto"/>
              </w:rPr>
            </w:pPr>
          </w:p>
        </w:tc>
        <w:tc>
          <w:tcPr>
            <w:tcW w:w="120" w:type="dxa"/>
            <w:vAlign w:val="bottom"/>
            <w:shd w:val="clear" w:color="auto" w:fill="B6B6B6"/>
          </w:tcPr>
          <w:p>
            <w:pPr>
              <w:spacing w:after="0"/>
              <w:rPr>
                <w:sz w:val="11"/>
                <w:szCs w:val="11"/>
                <w:color w:val="auto"/>
              </w:rPr>
            </w:pPr>
          </w:p>
        </w:tc>
        <w:tc>
          <w:tcPr>
            <w:tcW w:w="920" w:type="dxa"/>
            <w:vAlign w:val="bottom"/>
            <w:shd w:val="clear" w:color="auto" w:fill="B6B6B6"/>
          </w:tcPr>
          <w:p>
            <w:pPr>
              <w:spacing w:after="0"/>
              <w:rPr>
                <w:sz w:val="11"/>
                <w:szCs w:val="11"/>
                <w:color w:val="auto"/>
              </w:rPr>
            </w:pPr>
          </w:p>
        </w:tc>
        <w:tc>
          <w:tcPr>
            <w:tcW w:w="120" w:type="dxa"/>
            <w:vAlign w:val="bottom"/>
            <w:shd w:val="clear" w:color="auto" w:fill="B6B6B6"/>
          </w:tcPr>
          <w:p>
            <w:pPr>
              <w:spacing w:after="0"/>
              <w:rPr>
                <w:sz w:val="11"/>
                <w:szCs w:val="11"/>
                <w:color w:val="auto"/>
              </w:rPr>
            </w:pPr>
          </w:p>
        </w:tc>
        <w:tc>
          <w:tcPr>
            <w:tcW w:w="920" w:type="dxa"/>
            <w:vAlign w:val="bottom"/>
            <w:shd w:val="clear" w:color="auto" w:fill="B6B6B6"/>
          </w:tcPr>
          <w:p>
            <w:pPr>
              <w:spacing w:after="0"/>
              <w:rPr>
                <w:sz w:val="11"/>
                <w:szCs w:val="11"/>
                <w:color w:val="auto"/>
              </w:rPr>
            </w:pPr>
          </w:p>
        </w:tc>
        <w:tc>
          <w:tcPr>
            <w:tcW w:w="120" w:type="dxa"/>
            <w:vAlign w:val="bottom"/>
            <w:shd w:val="clear" w:color="auto" w:fill="B6B6B6"/>
          </w:tcPr>
          <w:p>
            <w:pPr>
              <w:spacing w:after="0"/>
              <w:rPr>
                <w:sz w:val="11"/>
                <w:szCs w:val="11"/>
                <w:color w:val="auto"/>
              </w:rPr>
            </w:pPr>
          </w:p>
        </w:tc>
        <w:tc>
          <w:tcPr>
            <w:tcW w:w="1280" w:type="dxa"/>
            <w:vAlign w:val="bottom"/>
            <w:tcBorders>
              <w:right w:val="single" w:sz="8" w:color="auto"/>
            </w:tcBorders>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340" w:type="dxa"/>
            <w:vAlign w:val="bottom"/>
            <w:tcBorders>
              <w:left w:val="single" w:sz="8" w:color="auto"/>
            </w:tcBorders>
            <w:vMerge w:val="continue"/>
            <w:shd w:val="clear" w:color="auto" w:fill="B3B3B3"/>
          </w:tcPr>
          <w:p>
            <w:pPr>
              <w:spacing w:after="0"/>
              <w:rPr>
                <w:sz w:val="4"/>
                <w:szCs w:val="4"/>
                <w:color w:val="auto"/>
              </w:rPr>
            </w:pPr>
          </w:p>
        </w:tc>
        <w:tc>
          <w:tcPr>
            <w:tcW w:w="140" w:type="dxa"/>
            <w:vAlign w:val="bottom"/>
            <w:shd w:val="clear" w:color="auto" w:fill="B6B6B6"/>
          </w:tcPr>
          <w:p>
            <w:pPr>
              <w:spacing w:after="0"/>
              <w:rPr>
                <w:sz w:val="4"/>
                <w:szCs w:val="4"/>
                <w:color w:val="auto"/>
              </w:rPr>
            </w:pPr>
          </w:p>
        </w:tc>
        <w:tc>
          <w:tcPr>
            <w:tcW w:w="1100" w:type="dxa"/>
            <w:vAlign w:val="bottom"/>
            <w:shd w:val="clear" w:color="auto" w:fill="B6B6B6"/>
          </w:tcPr>
          <w:p>
            <w:pPr>
              <w:spacing w:after="0"/>
              <w:rPr>
                <w:sz w:val="4"/>
                <w:szCs w:val="4"/>
                <w:color w:val="auto"/>
              </w:rPr>
            </w:pPr>
          </w:p>
        </w:tc>
        <w:tc>
          <w:tcPr>
            <w:tcW w:w="100" w:type="dxa"/>
            <w:vAlign w:val="bottom"/>
            <w:shd w:val="clear" w:color="auto" w:fill="B6B6B6"/>
          </w:tcPr>
          <w:p>
            <w:pPr>
              <w:spacing w:after="0"/>
              <w:rPr>
                <w:sz w:val="4"/>
                <w:szCs w:val="4"/>
                <w:color w:val="auto"/>
              </w:rPr>
            </w:pPr>
          </w:p>
        </w:tc>
        <w:tc>
          <w:tcPr>
            <w:tcW w:w="940" w:type="dxa"/>
            <w:vAlign w:val="bottom"/>
            <w:shd w:val="clear" w:color="auto" w:fill="B6B6B6"/>
          </w:tcPr>
          <w:p>
            <w:pPr>
              <w:spacing w:after="0"/>
              <w:rPr>
                <w:sz w:val="4"/>
                <w:szCs w:val="4"/>
                <w:color w:val="auto"/>
              </w:rPr>
            </w:pPr>
          </w:p>
        </w:tc>
        <w:tc>
          <w:tcPr>
            <w:tcW w:w="100" w:type="dxa"/>
            <w:vAlign w:val="bottom"/>
            <w:shd w:val="clear" w:color="auto" w:fill="B6B6B6"/>
          </w:tcPr>
          <w:p>
            <w:pPr>
              <w:spacing w:after="0"/>
              <w:rPr>
                <w:sz w:val="4"/>
                <w:szCs w:val="4"/>
                <w:color w:val="auto"/>
              </w:rPr>
            </w:pPr>
          </w:p>
        </w:tc>
        <w:tc>
          <w:tcPr>
            <w:tcW w:w="940" w:type="dxa"/>
            <w:vAlign w:val="bottom"/>
            <w:shd w:val="clear" w:color="auto" w:fill="B6B6B6"/>
          </w:tcPr>
          <w:p>
            <w:pPr>
              <w:spacing w:after="0"/>
              <w:rPr>
                <w:sz w:val="4"/>
                <w:szCs w:val="4"/>
                <w:color w:val="auto"/>
              </w:rPr>
            </w:pPr>
          </w:p>
        </w:tc>
        <w:tc>
          <w:tcPr>
            <w:tcW w:w="100" w:type="dxa"/>
            <w:vAlign w:val="bottom"/>
            <w:shd w:val="clear" w:color="auto" w:fill="B6B6B6"/>
          </w:tcPr>
          <w:p>
            <w:pPr>
              <w:spacing w:after="0"/>
              <w:rPr>
                <w:sz w:val="4"/>
                <w:szCs w:val="4"/>
                <w:color w:val="auto"/>
              </w:rPr>
            </w:pPr>
          </w:p>
        </w:tc>
        <w:tc>
          <w:tcPr>
            <w:tcW w:w="940" w:type="dxa"/>
            <w:vAlign w:val="bottom"/>
            <w:shd w:val="clear" w:color="auto" w:fill="B6B6B6"/>
          </w:tcPr>
          <w:p>
            <w:pPr>
              <w:spacing w:after="0"/>
              <w:rPr>
                <w:sz w:val="4"/>
                <w:szCs w:val="4"/>
                <w:color w:val="auto"/>
              </w:rPr>
            </w:pPr>
          </w:p>
        </w:tc>
        <w:tc>
          <w:tcPr>
            <w:tcW w:w="120" w:type="dxa"/>
            <w:vAlign w:val="bottom"/>
            <w:shd w:val="clear" w:color="auto" w:fill="B6B6B6"/>
          </w:tcPr>
          <w:p>
            <w:pPr>
              <w:spacing w:after="0"/>
              <w:rPr>
                <w:sz w:val="4"/>
                <w:szCs w:val="4"/>
                <w:color w:val="auto"/>
              </w:rPr>
            </w:pPr>
          </w:p>
        </w:tc>
        <w:tc>
          <w:tcPr>
            <w:tcW w:w="920" w:type="dxa"/>
            <w:vAlign w:val="bottom"/>
            <w:shd w:val="clear" w:color="auto" w:fill="B6B6B6"/>
          </w:tcPr>
          <w:p>
            <w:pPr>
              <w:spacing w:after="0"/>
              <w:rPr>
                <w:sz w:val="4"/>
                <w:szCs w:val="4"/>
                <w:color w:val="auto"/>
              </w:rPr>
            </w:pPr>
          </w:p>
        </w:tc>
        <w:tc>
          <w:tcPr>
            <w:tcW w:w="120" w:type="dxa"/>
            <w:vAlign w:val="bottom"/>
            <w:shd w:val="clear" w:color="auto" w:fill="B6B6B6"/>
          </w:tcPr>
          <w:p>
            <w:pPr>
              <w:spacing w:after="0"/>
              <w:rPr>
                <w:sz w:val="4"/>
                <w:szCs w:val="4"/>
                <w:color w:val="auto"/>
              </w:rPr>
            </w:pPr>
          </w:p>
        </w:tc>
        <w:tc>
          <w:tcPr>
            <w:tcW w:w="920" w:type="dxa"/>
            <w:vAlign w:val="bottom"/>
            <w:shd w:val="clear" w:color="auto" w:fill="B6B6B6"/>
          </w:tcPr>
          <w:p>
            <w:pPr>
              <w:spacing w:after="0"/>
              <w:rPr>
                <w:sz w:val="4"/>
                <w:szCs w:val="4"/>
                <w:color w:val="auto"/>
              </w:rPr>
            </w:pPr>
          </w:p>
        </w:tc>
        <w:tc>
          <w:tcPr>
            <w:tcW w:w="120" w:type="dxa"/>
            <w:vAlign w:val="bottom"/>
            <w:shd w:val="clear" w:color="auto" w:fill="B6B6B6"/>
          </w:tcPr>
          <w:p>
            <w:pPr>
              <w:spacing w:after="0"/>
              <w:rPr>
                <w:sz w:val="4"/>
                <w:szCs w:val="4"/>
                <w:color w:val="auto"/>
              </w:rPr>
            </w:pPr>
          </w:p>
        </w:tc>
        <w:tc>
          <w:tcPr>
            <w:tcW w:w="920" w:type="dxa"/>
            <w:vAlign w:val="bottom"/>
            <w:shd w:val="clear" w:color="auto" w:fill="B6B6B6"/>
          </w:tcPr>
          <w:p>
            <w:pPr>
              <w:spacing w:after="0"/>
              <w:rPr>
                <w:sz w:val="4"/>
                <w:szCs w:val="4"/>
                <w:color w:val="auto"/>
              </w:rPr>
            </w:pPr>
          </w:p>
        </w:tc>
        <w:tc>
          <w:tcPr>
            <w:tcW w:w="120" w:type="dxa"/>
            <w:vAlign w:val="bottom"/>
            <w:shd w:val="clear" w:color="auto" w:fill="B6B6B6"/>
          </w:tcPr>
          <w:p>
            <w:pPr>
              <w:spacing w:after="0"/>
              <w:rPr>
                <w:sz w:val="4"/>
                <w:szCs w:val="4"/>
                <w:color w:val="auto"/>
              </w:rPr>
            </w:pPr>
          </w:p>
        </w:tc>
        <w:tc>
          <w:tcPr>
            <w:tcW w:w="1280" w:type="dxa"/>
            <w:vAlign w:val="bottom"/>
            <w:tcBorders>
              <w:right w:val="single" w:sz="8" w:color="auto"/>
            </w:tcBorders>
            <w:shd w:val="clear" w:color="auto" w:fill="B6B6B6"/>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Solutions</w:t>
            </w:r>
          </w:p>
        </w:tc>
        <w:tc>
          <w:tcPr>
            <w:tcW w:w="124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5/14/2025</w:t>
            </w:r>
          </w:p>
        </w:tc>
        <w:tc>
          <w:tcPr>
            <w:tcW w:w="10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2,910</w:t>
            </w:r>
          </w:p>
        </w:tc>
        <w:tc>
          <w:tcPr>
            <w:tcW w:w="1400" w:type="dxa"/>
            <w:vAlign w:val="bottom"/>
            <w:tcBorders>
              <w:right w:val="single" w:sz="8" w:color="auto"/>
            </w:tcBorders>
            <w:gridSpan w:val="2"/>
            <w:shd w:val="clear" w:color="auto" w:fill="B6B6B6"/>
          </w:tcPr>
          <w:p>
            <w:pPr>
              <w:jc w:val="right"/>
              <w:ind w:right="28"/>
              <w:spacing w:after="0"/>
              <w:rPr>
                <w:sz w:val="20"/>
                <w:szCs w:val="20"/>
                <w:color w:val="auto"/>
              </w:rPr>
            </w:pPr>
            <w:r>
              <w:rPr>
                <w:rFonts w:ascii="Arial" w:cs="Arial" w:eastAsia="Arial" w:hAnsi="Arial"/>
                <w:sz w:val="18"/>
                <w:szCs w:val="18"/>
                <w:color w:val="auto"/>
              </w:rPr>
              <w:t>232,160</w:t>
            </w:r>
          </w:p>
        </w:tc>
        <w:tc>
          <w:tcPr>
            <w:tcW w:w="0" w:type="dxa"/>
            <w:vAlign w:val="bottom"/>
          </w:tcPr>
          <w:p>
            <w:pPr>
              <w:spacing w:after="0"/>
              <w:rPr>
                <w:sz w:val="1"/>
                <w:szCs w:val="1"/>
                <w:color w:val="auto"/>
              </w:rPr>
            </w:pPr>
          </w:p>
        </w:tc>
      </w:tr>
      <w:tr>
        <w:trPr>
          <w:trHeight w:val="184"/>
        </w:trPr>
        <w:tc>
          <w:tcPr>
            <w:tcW w:w="2340" w:type="dxa"/>
            <w:vAlign w:val="bottom"/>
            <w:tcBorders>
              <w:left w:val="single" w:sz="8" w:color="auto"/>
            </w:tcBorders>
          </w:tcPr>
          <w:p>
            <w:pPr>
              <w:ind w:left="40"/>
              <w:spacing w:after="0" w:line="183" w:lineRule="exact"/>
              <w:rPr>
                <w:sz w:val="20"/>
                <w:szCs w:val="20"/>
                <w:color w:val="auto"/>
              </w:rPr>
            </w:pPr>
            <w:r>
              <w:rPr>
                <w:rFonts w:ascii="Arial" w:cs="Arial" w:eastAsia="Arial" w:hAnsi="Arial"/>
                <w:sz w:val="18"/>
                <w:szCs w:val="18"/>
                <w:color w:val="auto"/>
              </w:rPr>
              <w:t>Richard G. Erstad, Former</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5/14/2025</w:t>
            </w:r>
          </w:p>
        </w:tc>
        <w:tc>
          <w:tcPr>
            <w:tcW w:w="104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96,750</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193,500</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387,000</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GC</w:t>
            </w:r>
          </w:p>
        </w:tc>
        <w:tc>
          <w:tcPr>
            <w:tcW w:w="12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tcBorders>
            <w:vMerge w:val="continue"/>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5/14/2025</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3,637</w:t>
            </w:r>
          </w:p>
        </w:tc>
        <w:tc>
          <w:tcPr>
            <w:tcW w:w="140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290,200</w:t>
            </w:r>
          </w:p>
        </w:tc>
        <w:tc>
          <w:tcPr>
            <w:tcW w:w="0" w:type="dxa"/>
            <w:vAlign w:val="bottom"/>
          </w:tcPr>
          <w:p>
            <w:pPr>
              <w:spacing w:after="0"/>
              <w:rPr>
                <w:sz w:val="1"/>
                <w:szCs w:val="1"/>
                <w:color w:val="auto"/>
              </w:rPr>
            </w:pPr>
          </w:p>
        </w:tc>
      </w:tr>
      <w:tr>
        <w:trPr>
          <w:trHeight w:val="198"/>
        </w:trPr>
        <w:tc>
          <w:tcPr>
            <w:tcW w:w="2340" w:type="dxa"/>
            <w:vAlign w:val="bottom"/>
            <w:tcBorders>
              <w:left w:val="single" w:sz="8" w:color="auto"/>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hanging="412"/>
        <w:spacing w:after="0" w:line="255" w:lineRule="auto"/>
        <w:tabs>
          <w:tab w:leader="none" w:pos="4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compensation arrangement for fiscal 2026. Potential payments are based on specified levels of performance against corporate and business unit objectives, as applicable, as described under “Annual Non-Equity Incentive Compensation” in the Compensation Discussion and Analysis. The actual amounts earned for fiscal 2026 are the sole components of “Non-Equity Incentive Plan Compensation” in the Summary Compensation Table above. Except in the case of death or retirement, executives must be employed on the last day of the fiscal year to be eligible for a payment. The threshold, target and maximum payments are based on the plan’s requirements, which were 50%, 100% and 200% of base salary, respectively, for Mr. Hawkins; 37.5%, 75% and 150% of base salary, respectively, for Mr. Oldenkamp; 25%, 50% and 100% of base salary, respectively, for each of Messrs. Grahek, Lange, and Erstad; and 20%, 40% and 80% of base salary, respectively, for Mr. Mangine.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5" w:name="page26"/>
    <w:bookmarkEnd w:id="25"/>
    <w:p>
      <w:pPr>
        <w:ind w:left="420" w:right="140" w:hanging="412"/>
        <w:spacing w:after="0" w:line="255"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2026 under our 2019 Plan. The number of shares of restricted stock to be issued was based on the degree to which we achieved specified levels of income before taxes during fiscal 2026. See “Annual Equity Awards” in the Compensation Discussion and Analysis for the performance goals applicable to the performance-based restricted stock units granted for performance in fiscal 2026. Additional terms of the outstanding performance-based restricted stock units are described in Note (a) to the Outstanding Equity Awards at 2026 Fiscal Year-End table. The number of shares of restricted stock actually issued to each individual for fiscal 2026 performance was 98% of target, and is as follows: Mr. Hawkins, 16,934 shares; Mr. Oldenkamp, 8,435 shares; Mr. Grahek, 2,697 shares; Mr. Lange, 1,994 shares; Mr. Mangine, 1,906 shares; and Mr. Erstad, 2,382 shares. Performance-based restricted stock units are not entitled to dividends; however, dividends are paid on restricted stock issued in settlement of such awards.</w:t>
      </w:r>
    </w:p>
    <w:p>
      <w:pPr>
        <w:spacing w:after="0" w:line="45" w:lineRule="exact"/>
        <w:rPr>
          <w:rFonts w:ascii="Arial" w:cs="Arial" w:eastAsia="Arial" w:hAnsi="Arial"/>
          <w:sz w:val="18"/>
          <w:szCs w:val="18"/>
          <w:color w:val="auto"/>
        </w:rPr>
      </w:pPr>
    </w:p>
    <w:p>
      <w:pPr>
        <w:ind w:left="420" w:right="80" w:hanging="412"/>
        <w:spacing w:after="0" w:line="262" w:lineRule="auto"/>
        <w:tabs>
          <w:tab w:leader="none" w:pos="4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shares of restricted stock that could be issued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2026 Fiscal Year-End</w:t>
      </w:r>
    </w:p>
    <w:p>
      <w:pPr>
        <w:spacing w:after="0" w:line="1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equity awards held by our named executive officers as of March 29, 2026 which have been issued under our 2019 Plan.</w:t>
      </w:r>
    </w:p>
    <w:tbl>
      <w:tblPr>
        <w:tblLayout w:type="fixed"/>
        <w:tblInd w:w="10" w:type="dxa"/>
        <w:tblCellMar>
          <w:top w:w="0" w:type="dxa"/>
          <w:left w:w="0" w:type="dxa"/>
          <w:bottom w:w="0" w:type="dxa"/>
          <w:right w:w="0" w:type="dxa"/>
        </w:tblCellMar>
      </w:tblPr>
      <w:tr>
        <w:trPr>
          <w:trHeight w:val="195"/>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59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7"/>
        </w:trPr>
        <w:tc>
          <w:tcPr>
            <w:tcW w:w="66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Number of Shares or</w:t>
            </w:r>
          </w:p>
        </w:tc>
        <w:tc>
          <w:tcPr>
            <w:tcW w:w="21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4"/>
        </w:trPr>
        <w:tc>
          <w:tcPr>
            <w:tcW w:w="66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Units of Stock That</w:t>
            </w:r>
          </w:p>
        </w:tc>
        <w:tc>
          <w:tcPr>
            <w:tcW w:w="21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39"/>
        </w:trPr>
        <w:tc>
          <w:tcPr>
            <w:tcW w:w="67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Have Not Vested</w:t>
            </w:r>
          </w:p>
        </w:tc>
        <w:tc>
          <w:tcPr>
            <w:tcW w:w="21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197"/>
        </w:trPr>
        <w:tc>
          <w:tcPr>
            <w:tcW w:w="6700" w:type="dxa"/>
            <w:vAlign w:val="bottom"/>
            <w:tcBorders>
              <w:left w:val="single" w:sz="8" w:color="auto"/>
            </w:tcBorders>
            <w:gridSpan w:val="2"/>
            <w:vMerge w:val="continue"/>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 ($)(b)</w:t>
            </w:r>
          </w:p>
        </w:tc>
        <w:tc>
          <w:tcPr>
            <w:tcW w:w="0" w:type="dxa"/>
            <w:vAlign w:val="bottom"/>
          </w:tcPr>
          <w:p>
            <w:pPr>
              <w:spacing w:after="0"/>
              <w:rPr>
                <w:sz w:val="1"/>
                <w:szCs w:val="1"/>
                <w:color w:val="auto"/>
              </w:rPr>
            </w:pPr>
          </w:p>
        </w:tc>
      </w:tr>
      <w:tr>
        <w:trPr>
          <w:trHeight w:val="224"/>
        </w:trPr>
        <w:tc>
          <w:tcPr>
            <w:tcW w:w="66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00" w:type="dxa"/>
            <w:vAlign w:val="bottom"/>
            <w:tcBorders>
              <w:top w:val="single" w:sz="8" w:color="B3B3B3"/>
            </w:tcBorders>
            <w:shd w:val="clear" w:color="auto" w:fill="B3B3B3"/>
          </w:tcPr>
          <w:p>
            <w:pPr>
              <w:spacing w:after="0"/>
              <w:rPr>
                <w:sz w:val="19"/>
                <w:szCs w:val="19"/>
                <w:color w:val="auto"/>
              </w:rPr>
            </w:pPr>
          </w:p>
        </w:tc>
        <w:tc>
          <w:tcPr>
            <w:tcW w:w="20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61,236</w:t>
            </w:r>
          </w:p>
        </w:tc>
        <w:tc>
          <w:tcPr>
            <w:tcW w:w="120" w:type="dxa"/>
            <w:vAlign w:val="bottom"/>
            <w:tcBorders>
              <w:top w:val="single" w:sz="8" w:color="B3B3B3"/>
            </w:tcBorders>
            <w:shd w:val="clear" w:color="auto" w:fill="B3B3B3"/>
          </w:tcPr>
          <w:p>
            <w:pPr>
              <w:spacing w:after="0"/>
              <w:rPr>
                <w:sz w:val="19"/>
                <w:szCs w:val="19"/>
                <w:color w:val="auto"/>
              </w:rPr>
            </w:pPr>
          </w:p>
        </w:tc>
        <w:tc>
          <w:tcPr>
            <w:tcW w:w="2100" w:type="dxa"/>
            <w:vAlign w:val="bottom"/>
            <w:tcBorders>
              <w:top w:val="single" w:sz="8" w:color="auto"/>
              <w:right w:val="single" w:sz="8" w:color="auto"/>
            </w:tcBorders>
            <w:shd w:val="clear" w:color="auto" w:fill="B3B3B3"/>
          </w:tcPr>
          <w:p>
            <w:pPr>
              <w:jc w:val="right"/>
              <w:ind w:right="17"/>
              <w:spacing w:after="0"/>
              <w:rPr>
                <w:sz w:val="20"/>
                <w:szCs w:val="20"/>
                <w:color w:val="auto"/>
              </w:rPr>
            </w:pPr>
            <w:r>
              <w:rPr>
                <w:rFonts w:ascii="Arial" w:cs="Arial" w:eastAsia="Arial" w:hAnsi="Arial"/>
                <w:sz w:val="18"/>
                <w:szCs w:val="18"/>
                <w:color w:val="auto"/>
              </w:rPr>
              <w:t>9,315,220</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36,418</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5,539,906</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15,421</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7"/>
              <w:spacing w:after="0"/>
              <w:rPr>
                <w:sz w:val="20"/>
                <w:szCs w:val="20"/>
                <w:color w:val="auto"/>
              </w:rPr>
            </w:pPr>
            <w:r>
              <w:rPr>
                <w:rFonts w:ascii="Arial" w:cs="Arial" w:eastAsia="Arial" w:hAnsi="Arial"/>
                <w:sz w:val="18"/>
                <w:szCs w:val="18"/>
                <w:color w:val="auto"/>
              </w:rPr>
              <w:t>2,345,843</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Douglas A. Lange</w:t>
            </w:r>
          </w:p>
        </w:tc>
        <w:tc>
          <w:tcPr>
            <w:tcW w:w="2080" w:type="dxa"/>
            <w:vAlign w:val="bottom"/>
          </w:tcPr>
          <w:p>
            <w:pPr>
              <w:jc w:val="right"/>
              <w:spacing w:after="0"/>
              <w:rPr>
                <w:sz w:val="20"/>
                <w:szCs w:val="20"/>
                <w:color w:val="auto"/>
              </w:rPr>
            </w:pPr>
            <w:r>
              <w:rPr>
                <w:rFonts w:ascii="Arial" w:cs="Arial" w:eastAsia="Arial" w:hAnsi="Arial"/>
                <w:sz w:val="18"/>
                <w:szCs w:val="18"/>
                <w:color w:val="auto"/>
              </w:rPr>
              <w:t>12,589</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1,915,039</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David J. Mangine</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12,501</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7"/>
              <w:spacing w:after="0"/>
              <w:rPr>
                <w:sz w:val="20"/>
                <w:szCs w:val="20"/>
                <w:color w:val="auto"/>
              </w:rPr>
            </w:pPr>
            <w:r>
              <w:rPr>
                <w:rFonts w:ascii="Arial" w:cs="Arial" w:eastAsia="Arial" w:hAnsi="Arial"/>
                <w:sz w:val="18"/>
                <w:szCs w:val="18"/>
                <w:color w:val="auto"/>
              </w:rPr>
              <w:t>1,901,652</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 Former GC</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14,454</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2,198,742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right="20" w:hanging="412"/>
        <w:spacing w:after="0" w:line="255" w:lineRule="auto"/>
        <w:tabs>
          <w:tab w:leader="none" w:pos="4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shown consists of outstanding performance-based restricted stock units and shares of restricted stock actually issued in settlement of the performance-based restricted stock unit awards granted for fiscal years 2024, 2025 and 2026. Shares of restricted stock are issued after the end of the performance period for performance-based restricted stock unit awards. The restricted stock issued in settlement of the performance-based restricted stock unit awards vests 100% on approximately the first day of the second fiscal year following the end of the fiscal performance year to which the awards pertain. The shares of restricted stock issued for fiscal 2024 performance vested on March 30, 2026. The shares of restricted stock issued for fiscal 2025 will vest on March 29, 2027. The shares of restricted stock issued for fiscal 2026 will vest on April 3, 2028. The number of shares of restricted stock vesting on each of those dates for each of the named executive officers is as follows:</w:t>
      </w:r>
    </w:p>
    <w:tbl>
      <w:tblPr>
        <w:tblLayout w:type="fixed"/>
        <w:tblInd w:w="430" w:type="dxa"/>
        <w:tblCellMar>
          <w:top w:w="0" w:type="dxa"/>
          <w:left w:w="0" w:type="dxa"/>
          <w:bottom w:w="0" w:type="dxa"/>
          <w:right w:w="0" w:type="dxa"/>
        </w:tblCellMar>
      </w:tblPr>
      <w:tr>
        <w:trPr>
          <w:trHeight w:val="208"/>
        </w:trPr>
        <w:tc>
          <w:tcPr>
            <w:tcW w:w="6080" w:type="dxa"/>
            <w:vAlign w:val="bottom"/>
            <w:tcBorders>
              <w:top w:val="single" w:sz="8" w:color="auto"/>
              <w:lef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0" w:type="dxa"/>
            <w:vAlign w:val="bottom"/>
            <w:tcBorders>
              <w:top w:val="single" w:sz="8" w:color="auto"/>
              <w:bottom w:val="single" w:sz="8" w:color="auto"/>
              <w:right w:val="single" w:sz="8" w:color="auto"/>
            </w:tcBorders>
            <w:gridSpan w:val="5"/>
          </w:tcPr>
          <w:p>
            <w:pPr>
              <w:jc w:val="right"/>
              <w:ind w:right="553"/>
              <w:spacing w:after="0"/>
              <w:rPr>
                <w:sz w:val="20"/>
                <w:szCs w:val="20"/>
                <w:color w:val="auto"/>
              </w:rPr>
            </w:pPr>
            <w:r>
              <w:rPr>
                <w:rFonts w:ascii="Arial" w:cs="Arial" w:eastAsia="Arial" w:hAnsi="Arial"/>
                <w:sz w:val="14"/>
                <w:szCs w:val="14"/>
                <w:b w:val="1"/>
                <w:bCs w:val="1"/>
                <w:color w:val="auto"/>
              </w:rPr>
              <w:t>Number of Shares Vested or Vesting on:</w:t>
            </w:r>
          </w:p>
        </w:tc>
      </w:tr>
      <w:tr>
        <w:trPr>
          <w:trHeight w:val="197"/>
        </w:trPr>
        <w:tc>
          <w:tcPr>
            <w:tcW w:w="622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2026</w:t>
            </w: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2027</w:t>
            </w:r>
          </w:p>
        </w:tc>
        <w:tc>
          <w:tcPr>
            <w:tcW w:w="124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3, 2028</w:t>
            </w:r>
          </w:p>
        </w:tc>
      </w:tr>
      <w:tr>
        <w:trPr>
          <w:trHeight w:val="224"/>
        </w:trPr>
        <w:tc>
          <w:tcPr>
            <w:tcW w:w="6080" w:type="dxa"/>
            <w:vAlign w:val="bottom"/>
            <w:tcBorders>
              <w:top w:val="single" w:sz="8" w:color="auto"/>
              <w:left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40" w:type="dxa"/>
            <w:vAlign w:val="bottom"/>
            <w:tcBorders>
              <w:top w:val="single" w:sz="8" w:color="B3B3B3"/>
            </w:tcBorders>
            <w:shd w:val="clear" w:color="auto" w:fill="B3B3B3"/>
          </w:tcPr>
          <w:p>
            <w:pPr>
              <w:spacing w:after="0"/>
              <w:rPr>
                <w:sz w:val="19"/>
                <w:szCs w:val="19"/>
                <w:color w:val="auto"/>
              </w:rPr>
            </w:pPr>
          </w:p>
        </w:tc>
        <w:tc>
          <w:tcPr>
            <w:tcW w:w="12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22,188</w:t>
            </w:r>
          </w:p>
        </w:tc>
        <w:tc>
          <w:tcPr>
            <w:tcW w:w="200" w:type="dxa"/>
            <w:vAlign w:val="bottom"/>
            <w:tcBorders>
              <w:top w:val="single" w:sz="8" w:color="B3B3B3"/>
            </w:tcBorders>
            <w:shd w:val="clear" w:color="auto" w:fill="B3B3B3"/>
          </w:tcPr>
          <w:p>
            <w:pPr>
              <w:spacing w:after="0"/>
              <w:rPr>
                <w:sz w:val="19"/>
                <w:szCs w:val="19"/>
                <w:color w:val="auto"/>
              </w:rPr>
            </w:pPr>
          </w:p>
        </w:tc>
        <w:tc>
          <w:tcPr>
            <w:tcW w:w="120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22,114</w:t>
            </w:r>
          </w:p>
        </w:tc>
        <w:tc>
          <w:tcPr>
            <w:tcW w:w="140" w:type="dxa"/>
            <w:vAlign w:val="bottom"/>
            <w:tcBorders>
              <w:top w:val="single" w:sz="8" w:color="B3B3B3"/>
            </w:tcBorders>
            <w:shd w:val="clear" w:color="auto" w:fill="B3B3B3"/>
          </w:tcPr>
          <w:p>
            <w:pPr>
              <w:spacing w:after="0"/>
              <w:rPr>
                <w:sz w:val="19"/>
                <w:szCs w:val="19"/>
                <w:color w:val="auto"/>
              </w:rPr>
            </w:pPr>
          </w:p>
        </w:tc>
        <w:tc>
          <w:tcPr>
            <w:tcW w:w="1240" w:type="dxa"/>
            <w:vAlign w:val="bottom"/>
            <w:tcBorders>
              <w:top w:val="single" w:sz="8" w:color="auto"/>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16,934</w:t>
            </w:r>
          </w:p>
        </w:tc>
      </w:tr>
      <w:tr>
        <w:trPr>
          <w:trHeight w:val="230"/>
        </w:trPr>
        <w:tc>
          <w:tcPr>
            <w:tcW w:w="6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220" w:type="dxa"/>
            <w:vAlign w:val="bottom"/>
          </w:tcPr>
          <w:p>
            <w:pPr>
              <w:jc w:val="right"/>
              <w:spacing w:after="0"/>
              <w:rPr>
                <w:sz w:val="20"/>
                <w:szCs w:val="20"/>
                <w:color w:val="auto"/>
              </w:rPr>
            </w:pPr>
            <w:r>
              <w:rPr>
                <w:rFonts w:ascii="Arial" w:cs="Arial" w:eastAsia="Arial" w:hAnsi="Arial"/>
                <w:sz w:val="18"/>
                <w:szCs w:val="18"/>
                <w:color w:val="auto"/>
              </w:rPr>
              <w:t>12,226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15,757</w:t>
            </w:r>
          </w:p>
        </w:tc>
        <w:tc>
          <w:tcPr>
            <w:tcW w:w="140" w:type="dxa"/>
            <w:vAlign w:val="bottom"/>
          </w:tcPr>
          <w:p>
            <w:pPr>
              <w:spacing w:after="0"/>
              <w:rPr>
                <w:sz w:val="19"/>
                <w:szCs w:val="19"/>
                <w:color w:val="auto"/>
              </w:rPr>
            </w:pP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8,435</w:t>
            </w:r>
          </w:p>
        </w:tc>
      </w:tr>
      <w:tr>
        <w:trPr>
          <w:trHeight w:val="229"/>
        </w:trPr>
        <w:tc>
          <w:tcPr>
            <w:tcW w:w="622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Drew M. Grahek</w:t>
            </w:r>
          </w:p>
        </w:tc>
        <w:tc>
          <w:tcPr>
            <w:tcW w:w="12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7,689</w:t>
            </w:r>
          </w:p>
        </w:tc>
        <w:tc>
          <w:tcPr>
            <w:tcW w:w="200" w:type="dxa"/>
            <w:vAlign w:val="bottom"/>
            <w:shd w:val="clear" w:color="auto" w:fill="B3B3B3"/>
          </w:tcPr>
          <w:p>
            <w:pPr>
              <w:spacing w:after="0"/>
              <w:rPr>
                <w:sz w:val="19"/>
                <w:szCs w:val="19"/>
                <w:color w:val="auto"/>
              </w:rPr>
            </w:pPr>
          </w:p>
        </w:tc>
        <w:tc>
          <w:tcPr>
            <w:tcW w:w="12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5,035</w:t>
            </w:r>
          </w:p>
        </w:tc>
        <w:tc>
          <w:tcPr>
            <w:tcW w:w="140" w:type="dxa"/>
            <w:vAlign w:val="bottom"/>
            <w:shd w:val="clear" w:color="auto" w:fill="B3B3B3"/>
          </w:tcPr>
          <w:p>
            <w:pPr>
              <w:spacing w:after="0"/>
              <w:rPr>
                <w:sz w:val="19"/>
                <w:szCs w:val="19"/>
                <w:color w:val="auto"/>
              </w:rPr>
            </w:pPr>
          </w:p>
        </w:tc>
        <w:tc>
          <w:tcPr>
            <w:tcW w:w="124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2,697</w:t>
            </w:r>
          </w:p>
        </w:tc>
      </w:tr>
      <w:tr>
        <w:trPr>
          <w:trHeight w:val="230"/>
        </w:trPr>
        <w:tc>
          <w:tcPr>
            <w:tcW w:w="6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Douglas A. Lange</w:t>
            </w:r>
          </w:p>
        </w:tc>
        <w:tc>
          <w:tcPr>
            <w:tcW w:w="1220" w:type="dxa"/>
            <w:vAlign w:val="bottom"/>
          </w:tcPr>
          <w:p>
            <w:pPr>
              <w:jc w:val="right"/>
              <w:spacing w:after="0"/>
              <w:rPr>
                <w:sz w:val="20"/>
                <w:szCs w:val="20"/>
                <w:color w:val="auto"/>
              </w:rPr>
            </w:pPr>
            <w:r>
              <w:rPr>
                <w:rFonts w:ascii="Arial" w:cs="Arial" w:eastAsia="Arial" w:hAnsi="Arial"/>
                <w:sz w:val="18"/>
                <w:szCs w:val="18"/>
                <w:color w:val="auto"/>
              </w:rPr>
              <w:t>7,042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3,553</w:t>
            </w:r>
          </w:p>
        </w:tc>
        <w:tc>
          <w:tcPr>
            <w:tcW w:w="140" w:type="dxa"/>
            <w:vAlign w:val="bottom"/>
          </w:tcPr>
          <w:p>
            <w:pPr>
              <w:spacing w:after="0"/>
              <w:rPr>
                <w:sz w:val="19"/>
                <w:szCs w:val="19"/>
                <w:color w:val="auto"/>
              </w:rPr>
            </w:pP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1,994</w:t>
            </w:r>
          </w:p>
        </w:tc>
      </w:tr>
      <w:tr>
        <w:trPr>
          <w:trHeight w:val="230"/>
        </w:trPr>
        <w:tc>
          <w:tcPr>
            <w:tcW w:w="622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David J. Mangine</w:t>
            </w:r>
          </w:p>
        </w:tc>
        <w:tc>
          <w:tcPr>
            <w:tcW w:w="12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7,042</w:t>
            </w:r>
          </w:p>
        </w:tc>
        <w:tc>
          <w:tcPr>
            <w:tcW w:w="200" w:type="dxa"/>
            <w:vAlign w:val="bottom"/>
            <w:shd w:val="clear" w:color="auto" w:fill="B3B3B3"/>
          </w:tcPr>
          <w:p>
            <w:pPr>
              <w:spacing w:after="0"/>
              <w:rPr>
                <w:sz w:val="19"/>
                <w:szCs w:val="19"/>
                <w:color w:val="auto"/>
              </w:rPr>
            </w:pPr>
          </w:p>
        </w:tc>
        <w:tc>
          <w:tcPr>
            <w:tcW w:w="12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3,553</w:t>
            </w:r>
          </w:p>
        </w:tc>
        <w:tc>
          <w:tcPr>
            <w:tcW w:w="140" w:type="dxa"/>
            <w:vAlign w:val="bottom"/>
            <w:shd w:val="clear" w:color="auto" w:fill="B3B3B3"/>
          </w:tcPr>
          <w:p>
            <w:pPr>
              <w:spacing w:after="0"/>
              <w:rPr>
                <w:sz w:val="19"/>
                <w:szCs w:val="19"/>
                <w:color w:val="auto"/>
              </w:rPr>
            </w:pPr>
          </w:p>
        </w:tc>
        <w:tc>
          <w:tcPr>
            <w:tcW w:w="124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1,906</w:t>
            </w:r>
          </w:p>
        </w:tc>
      </w:tr>
      <w:tr>
        <w:trPr>
          <w:trHeight w:val="230"/>
        </w:trPr>
        <w:tc>
          <w:tcPr>
            <w:tcW w:w="62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Richard G. Erstad, Former GC</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2,382</w:t>
            </w:r>
          </w:p>
        </w:tc>
      </w:tr>
    </w:tbl>
    <w:p>
      <w:pPr>
        <w:spacing w:after="0" w:line="170" w:lineRule="exact"/>
        <w:rPr>
          <w:sz w:val="20"/>
          <w:szCs w:val="20"/>
          <w:color w:val="auto"/>
        </w:rPr>
      </w:pPr>
    </w:p>
    <w:p>
      <w:pPr>
        <w:ind w:left="420" w:right="20"/>
        <w:spacing w:after="0" w:line="268" w:lineRule="auto"/>
        <w:rPr>
          <w:sz w:val="20"/>
          <w:szCs w:val="20"/>
          <w:color w:val="auto"/>
        </w:rPr>
      </w:pPr>
      <w:r>
        <w:rPr>
          <w:rFonts w:ascii="Arial" w:cs="Arial" w:eastAsia="Arial" w:hAnsi="Arial"/>
          <w:sz w:val="18"/>
          <w:szCs w:val="18"/>
          <w:color w:val="auto"/>
        </w:rPr>
        <w:t>The unvested restricted stock generally will be forfeited in their entirety if the named executive officer departs the company before the end of the applicable vesting period, except that the vesting of the units and restricted stock may be accelerated upon the occurrence of certain events described below under “Potential Payments Upon Termination or Change in Control."</w:t>
      </w:r>
    </w:p>
    <w:p>
      <w:pPr>
        <w:spacing w:after="0" w:line="36" w:lineRule="exact"/>
        <w:rPr>
          <w:sz w:val="20"/>
          <w:szCs w:val="20"/>
          <w:color w:val="auto"/>
        </w:rPr>
      </w:pPr>
    </w:p>
    <w:p>
      <w:pPr>
        <w:ind w:left="420" w:hanging="412"/>
        <w:spacing w:after="0" w:line="287" w:lineRule="auto"/>
        <w:tabs>
          <w:tab w:leader="none" w:pos="2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the closing price of our common stock of $152.12 per share as reported by Nasdaq on March 27, 2026, the last business day of fiscal 2026.</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Stock Vested</w:t>
      </w:r>
    </w:p>
    <w:p>
      <w:pPr>
        <w:spacing w:after="0" w:line="126"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The following table provides information concerning the aggregate number of shares of restricted stock that vested for each of our named executive officers during fiscal 2026, and the aggregate dollar values realized by each of our named executive officers upon such vesting.</w:t>
      </w:r>
    </w:p>
    <w:tbl>
      <w:tblPr>
        <w:tblLayout w:type="fixed"/>
        <w:tblInd w:w="10" w:type="dxa"/>
        <w:tblCellMar>
          <w:top w:w="0" w:type="dxa"/>
          <w:left w:w="0" w:type="dxa"/>
          <w:bottom w:w="0" w:type="dxa"/>
          <w:right w:w="0" w:type="dxa"/>
        </w:tblCellMar>
      </w:tblPr>
      <w:tr>
        <w:trPr>
          <w:trHeight w:val="195"/>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59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3"/>
        </w:trPr>
        <w:tc>
          <w:tcPr>
            <w:tcW w:w="67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Number of Shares Acquired</w:t>
            </w:r>
          </w:p>
        </w:tc>
        <w:tc>
          <w:tcPr>
            <w:tcW w:w="210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Value Realized on Vesting ($)</w:t>
            </w:r>
          </w:p>
        </w:tc>
        <w:tc>
          <w:tcPr>
            <w:tcW w:w="0" w:type="dxa"/>
            <w:vAlign w:val="bottom"/>
          </w:tcPr>
          <w:p>
            <w:pPr>
              <w:spacing w:after="0"/>
              <w:rPr>
                <w:sz w:val="1"/>
                <w:szCs w:val="1"/>
                <w:color w:val="auto"/>
              </w:rPr>
            </w:pPr>
          </w:p>
        </w:tc>
      </w:tr>
      <w:tr>
        <w:trPr>
          <w:trHeight w:val="189"/>
        </w:trPr>
        <w:tc>
          <w:tcPr>
            <w:tcW w:w="6700" w:type="dxa"/>
            <w:vAlign w:val="bottom"/>
            <w:tcBorders>
              <w:left w:val="single" w:sz="8" w:color="auto"/>
            </w:tcBorders>
            <w:gridSpan w:val="2"/>
            <w:vMerge w:val="continue"/>
          </w:tcPr>
          <w:p>
            <w:pPr>
              <w:spacing w:after="0"/>
              <w:rPr>
                <w:sz w:val="16"/>
                <w:szCs w:val="16"/>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on Vesting (#) (a)</w:t>
            </w:r>
          </w:p>
        </w:tc>
        <w:tc>
          <w:tcPr>
            <w:tcW w:w="2100" w:type="dxa"/>
            <w:vAlign w:val="bottom"/>
            <w:tcBorders>
              <w:right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00" w:type="dxa"/>
            <w:vAlign w:val="bottom"/>
            <w:tcBorders>
              <w:top w:val="single" w:sz="8" w:color="B3B3B3"/>
            </w:tcBorders>
            <w:shd w:val="clear" w:color="auto" w:fill="B3B3B3"/>
          </w:tcPr>
          <w:p>
            <w:pPr>
              <w:spacing w:after="0"/>
              <w:rPr>
                <w:sz w:val="19"/>
                <w:szCs w:val="19"/>
                <w:color w:val="auto"/>
              </w:rPr>
            </w:pPr>
          </w:p>
        </w:tc>
        <w:tc>
          <w:tcPr>
            <w:tcW w:w="20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19,365</w:t>
            </w:r>
          </w:p>
        </w:tc>
        <w:tc>
          <w:tcPr>
            <w:tcW w:w="120" w:type="dxa"/>
            <w:vAlign w:val="bottom"/>
            <w:tcBorders>
              <w:top w:val="single" w:sz="8" w:color="B3B3B3"/>
            </w:tcBorders>
            <w:shd w:val="clear" w:color="auto" w:fill="B3B3B3"/>
          </w:tcPr>
          <w:p>
            <w:pPr>
              <w:spacing w:after="0"/>
              <w:rPr>
                <w:sz w:val="19"/>
                <w:szCs w:val="19"/>
                <w:color w:val="auto"/>
              </w:rPr>
            </w:pPr>
          </w:p>
        </w:tc>
        <w:tc>
          <w:tcPr>
            <w:tcW w:w="2100" w:type="dxa"/>
            <w:vAlign w:val="bottom"/>
            <w:tcBorders>
              <w:top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2,051,141</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1,130,590</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6,705</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710,194</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Douglas A. Lange</w:t>
            </w:r>
          </w:p>
        </w:tc>
        <w:tc>
          <w:tcPr>
            <w:tcW w:w="2080" w:type="dxa"/>
            <w:vAlign w:val="bottom"/>
          </w:tcPr>
          <w:p>
            <w:pPr>
              <w:jc w:val="right"/>
              <w:spacing w:after="0"/>
              <w:rPr>
                <w:sz w:val="20"/>
                <w:szCs w:val="20"/>
                <w:color w:val="auto"/>
              </w:rPr>
            </w:pPr>
            <w:r>
              <w:rPr>
                <w:rFonts w:ascii="Arial" w:cs="Arial" w:eastAsia="Arial" w:hAnsi="Arial"/>
                <w:sz w:val="18"/>
                <w:szCs w:val="18"/>
                <w:color w:val="auto"/>
              </w:rPr>
              <w:t>6,141</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650,455</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David J. Mangine</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6,141</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650,455</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 Former GC</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704,580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shares vesting in fiscal 2026 were related to fiscal 2023 performance-based stock awards, which shares vested on March 31, 2025.</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$105.92 per share.</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All contributions to the nonqualified deferred compensation plan are made by the company and are fully vested immediately. Participants may not elect to defer income under the plan. Mr. Oldenkamp, Mr. Grahek, and Mr. Lange are not eligible to participate in the nonqualified deferred compensation plan and instead receive profit sharing contributions under the profit Sharing Plan and ESOP.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For fiscal 2026, we made contributions to the nonqualified deferred compensation plan equal to 10% of each participant’s eligible compensation in the plan year, resulting in a contribution of $35,000 on behalf of each eligible named executive officer.</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provides information concerning nonqualified deferred compensation for each of our eligible named executive officers for fiscal 2026. Contributions to this plan were made after the end of fiscal 2026, and thus the aggregate balance at fiscal 2026 year-end shown below does not include fiscal 2026 contributions yet to be made. No withdrawals or distributions from the nonqualified deferred compensation plan were made in fiscal 2026 by any named executive officer.</w:t>
      </w:r>
    </w:p>
    <w:tbl>
      <w:tblPr>
        <w:tblLayout w:type="fixed"/>
        <w:tblInd w:w="10" w:type="dxa"/>
        <w:tblCellMar>
          <w:top w:w="0" w:type="dxa"/>
          <w:left w:w="0" w:type="dxa"/>
          <w:bottom w:w="0" w:type="dxa"/>
          <w:right w:w="0" w:type="dxa"/>
        </w:tblCellMar>
      </w:tblPr>
      <w:tr>
        <w:trPr>
          <w:trHeight w:val="148"/>
        </w:trPr>
        <w:tc>
          <w:tcPr>
            <w:tcW w:w="5940" w:type="dxa"/>
            <w:vAlign w:val="bottom"/>
            <w:tcBorders>
              <w:top w:val="single" w:sz="8" w:color="auto"/>
              <w:lef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Registrant</w:t>
            </w:r>
          </w:p>
        </w:tc>
        <w:tc>
          <w:tcPr>
            <w:tcW w:w="166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Aggregate Earnings</w:t>
            </w:r>
          </w:p>
        </w:tc>
        <w:tc>
          <w:tcPr>
            <w:tcW w:w="1600" w:type="dxa"/>
            <w:vAlign w:val="bottom"/>
            <w:tcBorders>
              <w:top w:val="single" w:sz="8" w:color="auto"/>
              <w:right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rPr>
              <w:t>Aggregate Balance at</w:t>
            </w:r>
          </w:p>
        </w:tc>
        <w:tc>
          <w:tcPr>
            <w:tcW w:w="0" w:type="dxa"/>
            <w:vAlign w:val="bottom"/>
          </w:tcPr>
          <w:p>
            <w:pPr>
              <w:spacing w:after="0"/>
              <w:rPr>
                <w:sz w:val="1"/>
                <w:szCs w:val="1"/>
                <w:color w:val="auto"/>
              </w:rPr>
            </w:pPr>
          </w:p>
        </w:tc>
      </w:tr>
      <w:tr>
        <w:trPr>
          <w:trHeight w:val="148"/>
        </w:trPr>
        <w:tc>
          <w:tcPr>
            <w:tcW w:w="60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Contributions for</w:t>
            </w:r>
          </w:p>
        </w:tc>
        <w:tc>
          <w:tcPr>
            <w:tcW w:w="1660" w:type="dxa"/>
            <w:vAlign w:val="bottom"/>
            <w:gridSpan w:val="3"/>
            <w:vMerge w:val="continue"/>
          </w:tcPr>
          <w:p>
            <w:pPr>
              <w:spacing w:after="0"/>
              <w:rPr>
                <w:sz w:val="12"/>
                <w:szCs w:val="12"/>
                <w:color w:val="auto"/>
              </w:rPr>
            </w:pPr>
          </w:p>
        </w:tc>
        <w:tc>
          <w:tcPr>
            <w:tcW w:w="16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Fiscal 2026 Year End</w:t>
            </w:r>
          </w:p>
        </w:tc>
        <w:tc>
          <w:tcPr>
            <w:tcW w:w="0" w:type="dxa"/>
            <w:vAlign w:val="bottom"/>
          </w:tcPr>
          <w:p>
            <w:pPr>
              <w:spacing w:after="0"/>
              <w:rPr>
                <w:sz w:val="1"/>
                <w:szCs w:val="1"/>
                <w:color w:val="auto"/>
              </w:rPr>
            </w:pPr>
          </w:p>
        </w:tc>
      </w:tr>
      <w:tr>
        <w:trPr>
          <w:trHeight w:val="189"/>
        </w:trPr>
        <w:tc>
          <w:tcPr>
            <w:tcW w:w="6060" w:type="dxa"/>
            <w:vAlign w:val="bottom"/>
            <w:tcBorders>
              <w:lef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Fiscal 2026(a)</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Fiscal 2026 (b)</w:t>
            </w:r>
          </w:p>
        </w:tc>
        <w:tc>
          <w:tcPr>
            <w:tcW w:w="400" w:type="dxa"/>
            <w:vAlign w:val="bottom"/>
          </w:tcPr>
          <w:p>
            <w:pPr>
              <w:spacing w:after="0"/>
              <w:rPr>
                <w:sz w:val="16"/>
                <w:szCs w:val="16"/>
                <w:color w:val="auto"/>
              </w:rPr>
            </w:pPr>
          </w:p>
        </w:tc>
        <w:tc>
          <w:tcPr>
            <w:tcW w:w="1200" w:type="dxa"/>
            <w:vAlign w:val="bottom"/>
            <w:tcBorders>
              <w:right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20" w:type="dxa"/>
            <w:vAlign w:val="bottom"/>
            <w:tcBorders>
              <w:top w:val="single" w:sz="8" w:color="B3B3B3"/>
            </w:tcBorders>
            <w:shd w:val="clear" w:color="auto" w:fill="B3B3B3"/>
          </w:tcPr>
          <w:p>
            <w:pPr>
              <w:spacing w:after="0"/>
              <w:rPr>
                <w:sz w:val="19"/>
                <w:szCs w:val="19"/>
                <w:color w:val="auto"/>
              </w:rPr>
            </w:pPr>
          </w:p>
        </w:tc>
        <w:tc>
          <w:tcPr>
            <w:tcW w:w="1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B3B3B3"/>
            </w:tcBorders>
            <w:shd w:val="clear" w:color="auto" w:fill="B3B3B3"/>
          </w:tcPr>
          <w:p>
            <w:pPr>
              <w:spacing w:after="0"/>
              <w:rPr>
                <w:sz w:val="19"/>
                <w:szCs w:val="19"/>
                <w:color w:val="auto"/>
              </w:rPr>
            </w:pPr>
          </w:p>
        </w:tc>
        <w:tc>
          <w:tcPr>
            <w:tcW w:w="1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66,245</w:t>
            </w:r>
          </w:p>
        </w:tc>
        <w:tc>
          <w:tcPr>
            <w:tcW w:w="120" w:type="dxa"/>
            <w:vAlign w:val="bottom"/>
            <w:tcBorders>
              <w:top w:val="single" w:sz="8" w:color="B3B3B3"/>
            </w:tcBorders>
            <w:shd w:val="clear" w:color="auto" w:fill="B3B3B3"/>
          </w:tcPr>
          <w:p>
            <w:pPr>
              <w:spacing w:after="0"/>
              <w:rPr>
                <w:sz w:val="19"/>
                <w:szCs w:val="19"/>
                <w:color w:val="auto"/>
              </w:rPr>
            </w:pPr>
          </w:p>
        </w:tc>
        <w:tc>
          <w:tcPr>
            <w:tcW w:w="400" w:type="dxa"/>
            <w:vAlign w:val="bottom"/>
            <w:tcBorders>
              <w:top w:val="single" w:sz="8" w:color="auto"/>
            </w:tcBorders>
            <w:shd w:val="clear" w:color="auto" w:fill="B3B3B3"/>
          </w:tcPr>
          <w:p>
            <w:pPr>
              <w:jc w:val="right"/>
              <w:ind w:right="21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491,225</w:t>
            </w:r>
          </w:p>
        </w:tc>
        <w:tc>
          <w:tcPr>
            <w:tcW w:w="0" w:type="dxa"/>
            <w:vAlign w:val="bottom"/>
          </w:tcPr>
          <w:p>
            <w:pPr>
              <w:spacing w:after="0"/>
              <w:rPr>
                <w:sz w:val="1"/>
                <w:szCs w:val="1"/>
                <w:color w:val="auto"/>
              </w:rPr>
            </w:pPr>
          </w:p>
        </w:tc>
      </w:tr>
      <w:tr>
        <w:trPr>
          <w:trHeight w:val="230"/>
        </w:trPr>
        <w:tc>
          <w:tcPr>
            <w:tcW w:w="60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David J. Mangine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29,951</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331,398</w:t>
            </w:r>
          </w:p>
        </w:tc>
        <w:tc>
          <w:tcPr>
            <w:tcW w:w="0" w:type="dxa"/>
            <w:vAlign w:val="bottom"/>
          </w:tcPr>
          <w:p>
            <w:pPr>
              <w:spacing w:after="0"/>
              <w:rPr>
                <w:sz w:val="1"/>
                <w:szCs w:val="1"/>
                <w:color w:val="auto"/>
              </w:rPr>
            </w:pPr>
          </w:p>
        </w:tc>
      </w:tr>
      <w:tr>
        <w:trPr>
          <w:trHeight w:val="230"/>
        </w:trPr>
        <w:tc>
          <w:tcPr>
            <w:tcW w:w="606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Richard G. Erstad, Former GC</w:t>
            </w:r>
          </w:p>
        </w:tc>
        <w:tc>
          <w:tcPr>
            <w:tcW w:w="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auto"/>
            </w:tcBorders>
            <w:shd w:val="clear" w:color="auto" w:fill="B3B3B3"/>
          </w:tcPr>
          <w:p>
            <w:pPr>
              <w:spacing w:after="0"/>
              <w:rPr>
                <w:sz w:val="19"/>
                <w:szCs w:val="19"/>
                <w:color w:val="auto"/>
              </w:rPr>
            </w:pPr>
          </w:p>
        </w:tc>
        <w:tc>
          <w:tcPr>
            <w:tcW w:w="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41,768</w:t>
            </w:r>
          </w:p>
        </w:tc>
        <w:tc>
          <w:tcPr>
            <w:tcW w:w="120" w:type="dxa"/>
            <w:vAlign w:val="bottom"/>
            <w:tcBorders>
              <w:bottom w:val="single" w:sz="8" w:color="auto"/>
            </w:tcBorders>
            <w:shd w:val="clear" w:color="auto" w:fill="B3B3B3"/>
          </w:tcPr>
          <w:p>
            <w:pPr>
              <w:spacing w:after="0"/>
              <w:rPr>
                <w:sz w:val="19"/>
                <w:szCs w:val="19"/>
                <w:color w:val="auto"/>
              </w:rPr>
            </w:pPr>
          </w:p>
        </w:tc>
        <w:tc>
          <w:tcPr>
            <w:tcW w:w="400" w:type="dxa"/>
            <w:vAlign w:val="bottom"/>
            <w:tcBorders>
              <w:bottom w:val="single" w:sz="8" w:color="auto"/>
            </w:tcBorders>
            <w:shd w:val="clear" w:color="auto" w:fill="B3B3B3"/>
          </w:tcPr>
          <w:p>
            <w:pPr>
              <w:jc w:val="right"/>
              <w:ind w:right="217"/>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shd w:val="clear" w:color="auto" w:fill="B3B3B3"/>
          </w:tcPr>
          <w:p>
            <w:pPr>
              <w:jc w:val="right"/>
              <w:ind w:right="15"/>
              <w:spacing w:after="0"/>
              <w:rPr>
                <w:sz w:val="20"/>
                <w:szCs w:val="20"/>
                <w:color w:val="auto"/>
              </w:rPr>
            </w:pPr>
            <w:r>
              <w:rPr>
                <w:rFonts w:ascii="Arial" w:cs="Arial" w:eastAsia="Arial" w:hAnsi="Arial"/>
                <w:sz w:val="18"/>
                <w:szCs w:val="18"/>
                <w:color w:val="auto"/>
              </w:rPr>
              <w:t>376,315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right="780" w:hanging="412"/>
        <w:spacing w:after="0" w:line="287"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included as nonqualified deferred compensation contributions are included in “all other compensation” in the Summary Compensation Table above.</w:t>
      </w:r>
    </w:p>
    <w:p>
      <w:pPr>
        <w:spacing w:after="0" w:line="31" w:lineRule="exact"/>
        <w:rPr>
          <w:rFonts w:ascii="Arial" w:cs="Arial" w:eastAsia="Arial" w:hAnsi="Arial"/>
          <w:sz w:val="18"/>
          <w:szCs w:val="18"/>
          <w:color w:val="auto"/>
        </w:rPr>
      </w:pPr>
    </w:p>
    <w:p>
      <w:pPr>
        <w:ind w:left="420" w:right="80" w:hanging="412"/>
        <w:spacing w:after="0" w:line="257"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deferred are credited with earnings from measuring investments selected by the participant from a collection of unaffiliated mutual funds identified by the company that generally mirror the investment options of our 401(k) plan. The nonqualified deferred compensation plan does not credit above-market earnings or preferential earnings to amounts deferred, thus none of the amounts in this column are included in "all other compensation" in the Summary Compensation Table above. The returns on the investment alternatives available to participants during fiscal 2026 ranged from 4.0% to 22.3%, with a median of 16.9% for fiscal 2026. Participants may change their investment selections on a daily basis.</w:t>
      </w:r>
    </w:p>
    <w:p>
      <w:pPr>
        <w:spacing w:after="0" w:line="47" w:lineRule="exact"/>
        <w:rPr>
          <w:rFonts w:ascii="Arial" w:cs="Arial" w:eastAsia="Arial" w:hAnsi="Arial"/>
          <w:sz w:val="18"/>
          <w:szCs w:val="18"/>
          <w:color w:val="auto"/>
        </w:rPr>
      </w:pPr>
    </w:p>
    <w:p>
      <w:pPr>
        <w:ind w:left="420" w:right="380" w:hanging="412"/>
        <w:spacing w:after="0" w:line="287" w:lineRule="auto"/>
        <w:tabs>
          <w:tab w:leader="none" w:pos="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aggregate contributions made for Mr. Hawkins, Mr. Mangine, and Mr. Erstad of $0.9 million prior to the end of fiscal 2026, as reported in the Summary Compensation Table in the applicable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Compensation Committee has adopted an Executive Severance Plan for the benefit of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“corporate transaction” or "change in control" (as defined in the “Compensation Discussion and Analysis” above) involving the company, as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Payments under Executive Severance Plan</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terms of the Executive Severance Plan, the Compensation Committee is responsible for assigning each eligible executive, including our named executive officers, to one of four tiers, which determines the duration of salary continuation for which an executive may be eligible. Mr. Hawkins has been assigned to Tier 1, and Mr. Oldenkamp, Mr. Grahek, Mr. Lange, Mr. Mangine, and Mr. Erstad have been assigned to Tier 2. Tier 1 provides for a salary continuation period of 18 months in the case of a termination without cause not due to change in control and 24 months in the case of a "termination due to change in control" (as defined below). Tier 2 provides for a salary continuation period of 12 months in the case of termination without cause not due to change in control and 18 months in the case of termination due to change in control.</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payments and benefits that each executive would be eligible to receive under the Executive Severance Plan as a result of a termination of employment without cause not due to a change in control include (1) base salary for the salary continuation period associated with the executive’s tier, (2) reimbursement for the employer portion of the premium payments for COBRA continuation coverage for medical and dental benefits for the salary continuation period (up to a maximum of 18 months), and (3) the reasonable costs of outplacement services for a maximum of one year.</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additional payments and benefits that each executive would be eligible to receive under the Executive Severance Plan as a result of a qualifying termination of employment in connection with a “change in control” (as defined below) include (1) extending the salary continuation period by six months, (2) an amount equal to 1/12th of the executive's target annual bonus multiplied by the number of months in the salary continuation period, (3) an amount equal to the additional benefit, if any, that would have been received under the Profit Sharing Plan, depending on participant eligibility,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 and (4) an amount equal to the value of additional benefits that the executive would have received under the nonqualified deferred compensation plan, provided that the executive was eligible to receive such benefits, if the executive had continued in employment for the salary continuation period.</w:t>
      </w:r>
    </w:p>
    <w:p>
      <w:pPr>
        <w:spacing w:after="0" w:line="21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As a condition of receiving benefits, an executive must enter into an agreement with the company that contains covenants against disparagement, disclosure and solicitation of business or employees, and a release of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“cause” means:</w:t>
      </w:r>
    </w:p>
    <w:p>
      <w:pPr>
        <w:spacing w:after="0" w:line="27"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660" w:right="780" w:hanging="328"/>
        <w:spacing w:after="0" w:line="250"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660" w:hanging="328"/>
        <w:spacing w:after="0" w:line="266"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27" w:lineRule="exact"/>
        <w:rPr>
          <w:sz w:val="20"/>
          <w:szCs w:val="20"/>
          <w:color w:val="auto"/>
        </w:rPr>
      </w:pPr>
    </w:p>
    <w:p>
      <w:pPr>
        <w:ind w:left="660" w:right="160" w:hanging="328"/>
        <w:spacing w:after="0" w:line="250"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3" w:lineRule="exact"/>
        <w:rPr>
          <w:rFonts w:ascii="Arial" w:cs="Arial" w:eastAsia="Arial" w:hAnsi="Arial"/>
          <w:sz w:val="18"/>
          <w:szCs w:val="18"/>
          <w:color w:val="auto"/>
        </w:rPr>
      </w:pPr>
    </w:p>
    <w:p>
      <w:pPr>
        <w:ind w:left="660" w:right="140" w:hanging="328"/>
        <w:spacing w:after="0" w:line="255"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20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9" w:lineRule="exact"/>
        <w:rPr>
          <w:rFonts w:ascii="Arial" w:cs="Arial" w:eastAsia="Arial" w:hAnsi="Arial"/>
          <w:sz w:val="18"/>
          <w:szCs w:val="18"/>
          <w:color w:val="auto"/>
        </w:rPr>
      </w:pPr>
    </w:p>
    <w:p>
      <w:pPr>
        <w:ind w:left="660" w:right="100" w:hanging="328"/>
        <w:spacing w:after="0" w:line="266"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Accelerated Vesting of Equity Awards</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Potential acceleration of vesting of equity awards in connection with a corporate transaction or change in control are described under "Equity Awards" in the "Compensation Discussion and Analysis" above.</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performance-based restricted stock units or shares of restricted stock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are subject to accelerated vesting upon termination of the named executive officer's employment due to death or disability. In the event that the named executive officer’s employment with the company ceases due to death or disability during a performance period, then any performance-based restricted stock unit award will vest immediately at 100% of its target payout. Any shares of restricted stock issuable in settlement of such units or already outstanding as the result of earlier settlements of performance-based restricted stock unit awards will also immediately vest.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Payments and Benefits</w:t>
      </w:r>
    </w:p>
    <w:p>
      <w:pPr>
        <w:spacing w:after="0" w:line="110"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named executive officer’s employment had taken place on the last business day of our most recently completed fiscal year under the following circumstances: termination without cause not in connection with a change in control; termination due to death or disability; or termination without cause or for good reason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189"/>
        </w:trPr>
        <w:tc>
          <w:tcPr>
            <w:tcW w:w="3400" w:type="dxa"/>
            <w:vAlign w:val="bottom"/>
            <w:tcBorders>
              <w:top w:val="single" w:sz="8" w:color="auto"/>
              <w:lef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8"/>
              </w:rPr>
              <w:t>Termination Without</w:t>
            </w:r>
          </w:p>
        </w:tc>
        <w:tc>
          <w:tcPr>
            <w:tcW w:w="18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Termination Without</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Cause or for Good</w:t>
            </w: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Reason in</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Change in Control</w:t>
            </w:r>
          </w:p>
        </w:tc>
        <w:tc>
          <w:tcPr>
            <w:tcW w:w="0" w:type="dxa"/>
            <w:vAlign w:val="bottom"/>
          </w:tcPr>
          <w:p>
            <w:pPr>
              <w:spacing w:after="0"/>
              <w:rPr>
                <w:sz w:val="1"/>
                <w:szCs w:val="1"/>
                <w:color w:val="auto"/>
              </w:rPr>
            </w:pPr>
          </w:p>
        </w:tc>
      </w:tr>
      <w:tr>
        <w:trPr>
          <w:trHeight w:val="175"/>
        </w:trPr>
        <w:tc>
          <w:tcPr>
            <w:tcW w:w="34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Cause not in</w:t>
            </w:r>
          </w:p>
        </w:tc>
        <w:tc>
          <w:tcPr>
            <w:tcW w:w="1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19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18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Borders>
              <w:left w:val="single" w:sz="8" w:color="auto"/>
            </w:tcBorders>
            <w:gridSpan w:val="2"/>
            <w:vMerge w:val="restart"/>
          </w:tcPr>
          <w:p>
            <w:pPr>
              <w:ind w:left="700"/>
              <w:spacing w:after="0"/>
              <w:rPr>
                <w:sz w:val="20"/>
                <w:szCs w:val="20"/>
                <w:color w:val="auto"/>
              </w:rPr>
            </w:pPr>
            <w:r>
              <w:rPr>
                <w:rFonts w:ascii="Arial" w:cs="Arial" w:eastAsia="Arial" w:hAnsi="Arial"/>
                <w:sz w:val="18"/>
                <w:szCs w:val="18"/>
                <w:b w:val="1"/>
                <w:bCs w:val="1"/>
                <w:color w:val="auto"/>
              </w:rPr>
              <w:t>Compensation Element</w:t>
            </w:r>
          </w:p>
        </w:tc>
        <w:tc>
          <w:tcPr>
            <w:tcW w:w="20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connection with a</w:t>
            </w:r>
          </w:p>
        </w:tc>
        <w:tc>
          <w:tcPr>
            <w:tcW w:w="1760" w:type="dxa"/>
            <w:vAlign w:val="bottom"/>
            <w:gridSpan w:val="2"/>
            <w:vMerge w:val="continue"/>
          </w:tcPr>
          <w:p>
            <w:pPr>
              <w:spacing w:after="0"/>
              <w:rPr>
                <w:sz w:val="16"/>
                <w:szCs w:val="16"/>
                <w:color w:val="auto"/>
              </w:rPr>
            </w:pPr>
          </w:p>
        </w:tc>
        <w:tc>
          <w:tcPr>
            <w:tcW w:w="192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Change in Control</w:t>
            </w:r>
          </w:p>
        </w:tc>
        <w:tc>
          <w:tcPr>
            <w:tcW w:w="18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Without Termination</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vMerge w:val="continue"/>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Salary Continuation Amount (a)</w:t>
            </w:r>
          </w:p>
        </w:tc>
        <w:tc>
          <w:tcPr>
            <w:tcW w:w="140" w:type="dxa"/>
            <w:vAlign w:val="bottom"/>
            <w:tcBorders>
              <w:top w:val="single" w:sz="8" w:color="B3B3B3"/>
            </w:tcBorders>
            <w:shd w:val="clear" w:color="auto" w:fill="B3B3B3"/>
          </w:tcPr>
          <w:p>
            <w:pPr>
              <w:spacing w:after="0"/>
              <w:rPr>
                <w:sz w:val="19"/>
                <w:szCs w:val="19"/>
                <w:color w:val="auto"/>
              </w:rPr>
            </w:pPr>
          </w:p>
        </w:tc>
        <w:tc>
          <w:tcPr>
            <w:tcW w:w="1960" w:type="dxa"/>
            <w:vAlign w:val="bottom"/>
            <w:tcBorders>
              <w:top w:val="single" w:sz="8" w:color="auto"/>
            </w:tcBorders>
            <w:shd w:val="clear" w:color="auto" w:fill="B3B3B3"/>
          </w:tcPr>
          <w:p>
            <w:pPr>
              <w:spacing w:after="0"/>
              <w:rPr>
                <w:sz w:val="19"/>
                <w:szCs w:val="19"/>
                <w:color w:val="auto"/>
              </w:rPr>
            </w:pPr>
          </w:p>
        </w:tc>
        <w:tc>
          <w:tcPr>
            <w:tcW w:w="120" w:type="dxa"/>
            <w:vAlign w:val="bottom"/>
            <w:tcBorders>
              <w:top w:val="single" w:sz="8" w:color="B3B3B3"/>
            </w:tcBorders>
            <w:shd w:val="clear" w:color="auto" w:fill="B3B3B3"/>
          </w:tcPr>
          <w:p>
            <w:pPr>
              <w:spacing w:after="0"/>
              <w:rPr>
                <w:sz w:val="19"/>
                <w:szCs w:val="19"/>
                <w:color w:val="auto"/>
              </w:rPr>
            </w:pPr>
          </w:p>
        </w:tc>
        <w:tc>
          <w:tcPr>
            <w:tcW w:w="1660" w:type="dxa"/>
            <w:vAlign w:val="bottom"/>
            <w:tcBorders>
              <w:top w:val="single" w:sz="8" w:color="auto"/>
            </w:tcBorders>
            <w:shd w:val="clear" w:color="auto" w:fill="B3B3B3"/>
          </w:tcPr>
          <w:p>
            <w:pPr>
              <w:spacing w:after="0"/>
              <w:rPr>
                <w:sz w:val="19"/>
                <w:szCs w:val="19"/>
                <w:color w:val="auto"/>
              </w:rPr>
            </w:pPr>
          </w:p>
        </w:tc>
        <w:tc>
          <w:tcPr>
            <w:tcW w:w="100" w:type="dxa"/>
            <w:vAlign w:val="bottom"/>
            <w:tcBorders>
              <w:top w:val="single" w:sz="8" w:color="B3B3B3"/>
            </w:tcBorders>
            <w:shd w:val="clear" w:color="auto" w:fill="B3B3B3"/>
          </w:tcPr>
          <w:p>
            <w:pPr>
              <w:spacing w:after="0"/>
              <w:rPr>
                <w:sz w:val="19"/>
                <w:szCs w:val="19"/>
                <w:color w:val="auto"/>
              </w:rPr>
            </w:pPr>
          </w:p>
        </w:tc>
        <w:tc>
          <w:tcPr>
            <w:tcW w:w="1840" w:type="dxa"/>
            <w:vAlign w:val="bottom"/>
            <w:tcBorders>
              <w:top w:val="single" w:sz="8" w:color="auto"/>
            </w:tcBorders>
            <w:shd w:val="clear" w:color="auto" w:fill="B3B3B3"/>
          </w:tcPr>
          <w:p>
            <w:pPr>
              <w:spacing w:after="0"/>
              <w:rPr>
                <w:sz w:val="19"/>
                <w:szCs w:val="19"/>
                <w:color w:val="auto"/>
              </w:rPr>
            </w:pPr>
          </w:p>
        </w:tc>
        <w:tc>
          <w:tcPr>
            <w:tcW w:w="80" w:type="dxa"/>
            <w:vAlign w:val="bottom"/>
            <w:tcBorders>
              <w:top w:val="single" w:sz="8" w:color="B3B3B3"/>
            </w:tcBorders>
            <w:shd w:val="clear" w:color="auto" w:fill="B3B3B3"/>
          </w:tcPr>
          <w:p>
            <w:pPr>
              <w:spacing w:after="0"/>
              <w:rPr>
                <w:sz w:val="19"/>
                <w:szCs w:val="19"/>
                <w:color w:val="auto"/>
              </w:rPr>
            </w:pPr>
          </w:p>
        </w:tc>
        <w:tc>
          <w:tcPr>
            <w:tcW w:w="1860" w:type="dxa"/>
            <w:vAlign w:val="bottom"/>
            <w:tcBorders>
              <w:top w:val="single" w:sz="8" w:color="auto"/>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Patrick H. Hawkins</w:t>
            </w:r>
          </w:p>
        </w:tc>
        <w:tc>
          <w:tcPr>
            <w:tcW w:w="1960" w:type="dxa"/>
            <w:vAlign w:val="bottom"/>
          </w:tcPr>
          <w:p>
            <w:pPr>
              <w:jc w:val="right"/>
              <w:spacing w:after="0"/>
              <w:rPr>
                <w:sz w:val="20"/>
                <w:szCs w:val="20"/>
                <w:color w:val="auto"/>
              </w:rPr>
            </w:pPr>
            <w:r>
              <w:rPr>
                <w:rFonts w:ascii="Arial" w:cs="Arial" w:eastAsia="Arial" w:hAnsi="Arial"/>
                <w:sz w:val="18"/>
                <w:szCs w:val="18"/>
                <w:color w:val="auto"/>
              </w:rPr>
              <w:t>1,125,000</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Jeffrey P. Oldenkamp</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587,000</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880,500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Drew M. Grahek</w:t>
            </w:r>
          </w:p>
        </w:tc>
        <w:tc>
          <w:tcPr>
            <w:tcW w:w="1960" w:type="dxa"/>
            <w:vAlign w:val="bottom"/>
          </w:tcPr>
          <w:p>
            <w:pPr>
              <w:jc w:val="right"/>
              <w:spacing w:after="0"/>
              <w:rPr>
                <w:sz w:val="20"/>
                <w:szCs w:val="20"/>
                <w:color w:val="auto"/>
              </w:rPr>
            </w:pPr>
            <w:r>
              <w:rPr>
                <w:rFonts w:ascii="Arial" w:cs="Arial" w:eastAsia="Arial" w:hAnsi="Arial"/>
                <w:sz w:val="18"/>
                <w:szCs w:val="18"/>
                <w:color w:val="auto"/>
              </w:rPr>
              <w:t>438,000</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657,000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Douglas A. Lange</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405,000</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607,500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David J. Mangine</w:t>
            </w:r>
          </w:p>
        </w:tc>
        <w:tc>
          <w:tcPr>
            <w:tcW w:w="1960" w:type="dxa"/>
            <w:vAlign w:val="bottom"/>
          </w:tcPr>
          <w:p>
            <w:pPr>
              <w:jc w:val="right"/>
              <w:spacing w:after="0"/>
              <w:rPr>
                <w:sz w:val="20"/>
                <w:szCs w:val="20"/>
                <w:color w:val="auto"/>
              </w:rPr>
            </w:pPr>
            <w:r>
              <w:rPr>
                <w:rFonts w:ascii="Arial" w:cs="Arial" w:eastAsia="Arial" w:hAnsi="Arial"/>
                <w:sz w:val="18"/>
                <w:szCs w:val="18"/>
                <w:color w:val="auto"/>
              </w:rPr>
              <w:t>387,000</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580,500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Richard G. Erstad, Former GC</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387,000</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580,500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Medical and Dental Coverage (b)</w:t>
            </w:r>
          </w:p>
        </w:tc>
        <w:tc>
          <w:tcPr>
            <w:tcW w:w="196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840" w:type="dxa"/>
            <w:vAlign w:val="bottom"/>
            <w:shd w:val="clear" w:color="auto" w:fill="B3B3B3"/>
          </w:tcPr>
          <w:p>
            <w:pPr>
              <w:spacing w:after="0"/>
              <w:rPr>
                <w:sz w:val="19"/>
                <w:szCs w:val="19"/>
                <w:color w:val="auto"/>
              </w:rPr>
            </w:pP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Patrick H. Hawkins</w:t>
            </w:r>
          </w:p>
        </w:tc>
        <w:tc>
          <w:tcPr>
            <w:tcW w:w="1960" w:type="dxa"/>
            <w:vAlign w:val="bottom"/>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22,099</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Jeffrey P. Oldenkamp</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12,537</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18,806</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Drew M. Grahek</w:t>
            </w:r>
          </w:p>
        </w:tc>
        <w:tc>
          <w:tcPr>
            <w:tcW w:w="1960" w:type="dxa"/>
            <w:vAlign w:val="bottom"/>
          </w:tcPr>
          <w:p>
            <w:pPr>
              <w:jc w:val="right"/>
              <w:spacing w:after="0"/>
              <w:rPr>
                <w:sz w:val="20"/>
                <w:szCs w:val="20"/>
                <w:color w:val="auto"/>
              </w:rPr>
            </w:pPr>
            <w:r>
              <w:rPr>
                <w:rFonts w:ascii="Arial" w:cs="Arial" w:eastAsia="Arial" w:hAnsi="Arial"/>
                <w:sz w:val="18"/>
                <w:szCs w:val="18"/>
                <w:color w:val="auto"/>
              </w:rPr>
              <w:t>7,632</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11,447</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Douglas A. Lange</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21,275</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31,913</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David J. Mangine</w:t>
            </w:r>
          </w:p>
        </w:tc>
        <w:tc>
          <w:tcPr>
            <w:tcW w:w="1960" w:type="dxa"/>
            <w:vAlign w:val="bottom"/>
          </w:tcPr>
          <w:p>
            <w:pPr>
              <w:jc w:val="right"/>
              <w:spacing w:after="0"/>
              <w:rPr>
                <w:sz w:val="20"/>
                <w:szCs w:val="20"/>
                <w:color w:val="auto"/>
              </w:rPr>
            </w:pPr>
            <w:r>
              <w:rPr>
                <w:rFonts w:ascii="Arial" w:cs="Arial" w:eastAsia="Arial" w:hAnsi="Arial"/>
                <w:sz w:val="18"/>
                <w:szCs w:val="18"/>
                <w:color w:val="auto"/>
              </w:rPr>
              <w:t>14,738</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22,108</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Richard G. Erstad, Former GC</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14,603</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21,905</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34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Outplacement Costs (c)</w:t>
            </w:r>
          </w:p>
        </w:tc>
        <w:tc>
          <w:tcPr>
            <w:tcW w:w="196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840" w:type="dxa"/>
            <w:vAlign w:val="bottom"/>
            <w:shd w:val="clear" w:color="auto" w:fill="B3B3B3"/>
          </w:tcPr>
          <w:p>
            <w:pPr>
              <w:spacing w:after="0"/>
              <w:rPr>
                <w:sz w:val="19"/>
                <w:szCs w:val="19"/>
                <w:color w:val="auto"/>
              </w:rPr>
            </w:pP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Patrick H. Hawkins</w:t>
            </w:r>
          </w:p>
        </w:tc>
        <w:tc>
          <w:tcPr>
            <w:tcW w:w="19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Jeffrey P. Oldenkamp</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Drew M. Grahek</w:t>
            </w:r>
          </w:p>
        </w:tc>
        <w:tc>
          <w:tcPr>
            <w:tcW w:w="19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Douglas A. Lange</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David J. Mangine</w:t>
            </w:r>
          </w:p>
        </w:tc>
        <w:tc>
          <w:tcPr>
            <w:tcW w:w="19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Richard G. Erstad, Former GC</w:t>
            </w:r>
          </w:p>
        </w:tc>
        <w:tc>
          <w:tcPr>
            <w:tcW w:w="1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B3B3B3"/>
          </w:tcPr>
          <w:p>
            <w:pPr>
              <w:spacing w:after="0"/>
              <w:rPr>
                <w:sz w:val="19"/>
                <w:szCs w:val="19"/>
                <w:color w:val="auto"/>
              </w:rPr>
            </w:pP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Target Bonus Amount (d)</w:t>
            </w:r>
          </w:p>
        </w:tc>
        <w:tc>
          <w:tcPr>
            <w:tcW w:w="196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840" w:type="dxa"/>
            <w:vAlign w:val="bottom"/>
            <w:shd w:val="clear" w:color="auto" w:fill="B3B3B3"/>
          </w:tcPr>
          <w:p>
            <w:pPr>
              <w:spacing w:after="0"/>
              <w:rPr>
                <w:sz w:val="19"/>
                <w:szCs w:val="19"/>
                <w:color w:val="auto"/>
              </w:rPr>
            </w:pP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Patrick H. Hawkins</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Jeffrey P. Oldenkamp</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660,375</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Drew M. Grahek</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328,500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Douglas A. Lange</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303,750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David J. Mangine</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232,200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Richard G. Erstad, Former GC</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290,250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Profit Sharing / 401(k) Contribution (e)</w:t>
            </w:r>
          </w:p>
        </w:tc>
        <w:tc>
          <w:tcPr>
            <w:tcW w:w="196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840" w:type="dxa"/>
            <w:vAlign w:val="bottom"/>
            <w:shd w:val="clear" w:color="auto" w:fill="B3B3B3"/>
          </w:tcPr>
          <w:p>
            <w:pPr>
              <w:spacing w:after="0"/>
              <w:rPr>
                <w:sz w:val="19"/>
                <w:szCs w:val="19"/>
                <w:color w:val="auto"/>
              </w:rPr>
            </w:pP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Patrick H. Hawkins</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Jeffrey P. Oldenkamp</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52,500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Drew M. Grahek</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52,500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Douglas A. Lange</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52,500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David J. Mangine</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26,250</w:t>
            </w:r>
          </w:p>
        </w:tc>
        <w:tc>
          <w:tcPr>
            <w:tcW w:w="80" w:type="dxa"/>
            <w:vAlign w:val="bottom"/>
          </w:tcPr>
          <w:p>
            <w:pPr>
              <w:spacing w:after="0"/>
              <w:rPr>
                <w:sz w:val="19"/>
                <w:szCs w:val="19"/>
                <w:color w:val="auto"/>
              </w:rPr>
            </w:pP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Richard G. Erstad, Former GC</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26,250</w:t>
            </w: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Acceleration of Equity Awards (f)</w:t>
            </w:r>
          </w:p>
        </w:tc>
        <w:tc>
          <w:tcPr>
            <w:tcW w:w="196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840" w:type="dxa"/>
            <w:vAlign w:val="bottom"/>
            <w:shd w:val="clear" w:color="auto" w:fill="B3B3B3"/>
          </w:tcPr>
          <w:p>
            <w:pPr>
              <w:spacing w:after="0"/>
              <w:rPr>
                <w:sz w:val="19"/>
                <w:szCs w:val="19"/>
                <w:color w:val="auto"/>
              </w:rPr>
            </w:pPr>
          </w:p>
        </w:tc>
        <w:tc>
          <w:tcPr>
            <w:tcW w:w="80" w:type="dxa"/>
            <w:vAlign w:val="bottom"/>
            <w:shd w:val="clear" w:color="auto" w:fill="B3B3B3"/>
          </w:tcPr>
          <w:p>
            <w:pPr>
              <w:spacing w:after="0"/>
              <w:rPr>
                <w:sz w:val="19"/>
                <w:szCs w:val="19"/>
                <w:color w:val="auto"/>
              </w:rPr>
            </w:pPr>
          </w:p>
        </w:tc>
        <w:tc>
          <w:tcPr>
            <w:tcW w:w="186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Patrick H. Hawkins</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9,360,856</w:t>
            </w: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Jeffrey P. Oldenkamp</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5,562,572</w:t>
            </w:r>
          </w:p>
        </w:tc>
        <w:tc>
          <w:tcPr>
            <w:tcW w:w="100" w:type="dxa"/>
            <w:vAlign w:val="bottom"/>
            <w:shd w:val="clear" w:color="auto" w:fill="B3B3B3"/>
          </w:tcPr>
          <w:p>
            <w:pPr>
              <w:spacing w:after="0"/>
              <w:rPr>
                <w:sz w:val="19"/>
                <w:szCs w:val="19"/>
                <w:color w:val="auto"/>
              </w:rPr>
            </w:pPr>
          </w:p>
        </w:tc>
        <w:tc>
          <w:tcPr>
            <w:tcW w:w="1920" w:type="dxa"/>
            <w:vAlign w:val="bottom"/>
            <w:gridSpan w:val="2"/>
            <w:shd w:val="clear" w:color="auto" w:fill="B3B3B3"/>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Drew M. Grahek</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2,353,144</w:t>
            </w: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Douglas A. Lange</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1,920,515</w:t>
            </w:r>
          </w:p>
        </w:tc>
        <w:tc>
          <w:tcPr>
            <w:tcW w:w="100" w:type="dxa"/>
            <w:vAlign w:val="bottom"/>
            <w:shd w:val="clear" w:color="auto" w:fill="B3B3B3"/>
          </w:tcPr>
          <w:p>
            <w:pPr>
              <w:spacing w:after="0"/>
              <w:rPr>
                <w:sz w:val="19"/>
                <w:szCs w:val="19"/>
                <w:color w:val="auto"/>
              </w:rPr>
            </w:pPr>
          </w:p>
        </w:tc>
        <w:tc>
          <w:tcPr>
            <w:tcW w:w="1920" w:type="dxa"/>
            <w:vAlign w:val="bottom"/>
            <w:gridSpan w:val="2"/>
            <w:shd w:val="clear" w:color="auto" w:fill="B3B3B3"/>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David J. Mangine</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1,906,824</w:t>
            </w: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gridSpan w:val="2"/>
            <w:shd w:val="clear" w:color="auto" w:fill="B3B3B3"/>
          </w:tcPr>
          <w:p>
            <w:pPr>
              <w:ind w:left="360"/>
              <w:spacing w:after="0"/>
              <w:rPr>
                <w:sz w:val="20"/>
                <w:szCs w:val="20"/>
                <w:color w:val="auto"/>
              </w:rPr>
            </w:pPr>
            <w:r>
              <w:rPr>
                <w:rFonts w:ascii="Arial" w:cs="Arial" w:eastAsia="Arial" w:hAnsi="Arial"/>
                <w:sz w:val="18"/>
                <w:szCs w:val="18"/>
                <w:color w:val="auto"/>
              </w:rPr>
              <w:t>Richard G. Erstad, Former GC</w:t>
            </w:r>
          </w:p>
        </w:tc>
        <w:tc>
          <w:tcPr>
            <w:tcW w:w="2080" w:type="dxa"/>
            <w:vAlign w:val="bottom"/>
            <w:gridSpan w:val="2"/>
            <w:shd w:val="clear" w:color="auto" w:fill="B3B3B3"/>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2,205,284</w:t>
            </w:r>
          </w:p>
        </w:tc>
        <w:tc>
          <w:tcPr>
            <w:tcW w:w="100" w:type="dxa"/>
            <w:vAlign w:val="bottom"/>
            <w:shd w:val="clear" w:color="auto" w:fill="B3B3B3"/>
          </w:tcPr>
          <w:p>
            <w:pPr>
              <w:spacing w:after="0"/>
              <w:rPr>
                <w:sz w:val="19"/>
                <w:szCs w:val="19"/>
                <w:color w:val="auto"/>
              </w:rPr>
            </w:pPr>
          </w:p>
        </w:tc>
        <w:tc>
          <w:tcPr>
            <w:tcW w:w="1920" w:type="dxa"/>
            <w:vAlign w:val="bottom"/>
            <w:gridSpan w:val="2"/>
            <w:shd w:val="clear" w:color="auto" w:fill="B3B3B3"/>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auto"/>
            </w:tcBorders>
            <w:shd w:val="clear" w:color="auto" w:fill="B3B3B3"/>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3400" w:type="dxa"/>
            <w:vAlign w:val="bottom"/>
            <w:tcBorders>
              <w:left w:val="single" w:sz="8" w:color="auto"/>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16" w:right="41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89"/>
        </w:trPr>
        <w:tc>
          <w:tcPr>
            <w:tcW w:w="3460" w:type="dxa"/>
            <w:vAlign w:val="bottom"/>
            <w:tcBorders>
              <w:top w:val="single" w:sz="8" w:color="auto"/>
              <w:left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8"/>
              </w:rPr>
              <w:t>Termination Without</w:t>
            </w:r>
          </w:p>
        </w:tc>
        <w:tc>
          <w:tcPr>
            <w:tcW w:w="19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Borders>
              <w:left w:val="single" w:sz="8" w:color="auto"/>
            </w:tcBorders>
          </w:tcPr>
          <w:p>
            <w:pPr>
              <w:spacing w:after="0"/>
              <w:rPr>
                <w:sz w:val="15"/>
                <w:szCs w:val="15"/>
                <w:color w:val="auto"/>
              </w:rPr>
            </w:pPr>
          </w:p>
        </w:tc>
        <w:tc>
          <w:tcPr>
            <w:tcW w:w="216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8"/>
              </w:rPr>
              <w:t>Termination Without</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Cause or for Good</w:t>
            </w: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60" w:type="dxa"/>
            <w:vAlign w:val="bottom"/>
            <w:tcBorders>
              <w:left w:val="single" w:sz="8" w:color="auto"/>
            </w:tcBorders>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Reason in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Change in Control</w:t>
            </w:r>
          </w:p>
        </w:tc>
        <w:tc>
          <w:tcPr>
            <w:tcW w:w="0" w:type="dxa"/>
            <w:vAlign w:val="bottom"/>
          </w:tcPr>
          <w:p>
            <w:pPr>
              <w:spacing w:after="0"/>
              <w:rPr>
                <w:sz w:val="1"/>
                <w:szCs w:val="1"/>
                <w:color w:val="auto"/>
              </w:rPr>
            </w:pPr>
          </w:p>
        </w:tc>
      </w:tr>
      <w:tr>
        <w:trPr>
          <w:trHeight w:val="176"/>
        </w:trPr>
        <w:tc>
          <w:tcPr>
            <w:tcW w:w="3460" w:type="dxa"/>
            <w:vAlign w:val="bottom"/>
            <w:tcBorders>
              <w:left w:val="single" w:sz="8" w:color="auto"/>
            </w:tcBorders>
          </w:tcPr>
          <w:p>
            <w:pPr>
              <w:spacing w:after="0"/>
              <w:rPr>
                <w:sz w:val="15"/>
                <w:szCs w:val="15"/>
                <w:color w:val="auto"/>
              </w:rPr>
            </w:pPr>
          </w:p>
        </w:tc>
        <w:tc>
          <w:tcPr>
            <w:tcW w:w="2160" w:type="dxa"/>
            <w:vAlign w:val="bottom"/>
            <w:gridSpan w:val="2"/>
          </w:tcPr>
          <w:p>
            <w:pPr>
              <w:jc w:val="center"/>
              <w:ind w:right="40"/>
              <w:spacing w:after="0" w:line="176" w:lineRule="exact"/>
              <w:rPr>
                <w:sz w:val="20"/>
                <w:szCs w:val="20"/>
                <w:color w:val="auto"/>
              </w:rPr>
            </w:pPr>
            <w:r>
              <w:rPr>
                <w:rFonts w:ascii="Arial" w:cs="Arial" w:eastAsia="Arial" w:hAnsi="Arial"/>
                <w:sz w:val="18"/>
                <w:szCs w:val="18"/>
                <w:b w:val="1"/>
                <w:bCs w:val="1"/>
                <w:color w:val="auto"/>
                <w:w w:val="99"/>
              </w:rPr>
              <w:t>Cause not in</w:t>
            </w:r>
          </w:p>
        </w:tc>
        <w:tc>
          <w:tcPr>
            <w:tcW w:w="1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1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1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Compensation Element (cont'd)</w:t>
            </w:r>
          </w:p>
        </w:tc>
        <w:tc>
          <w:tcPr>
            <w:tcW w:w="2160" w:type="dxa"/>
            <w:vAlign w:val="bottom"/>
            <w:gridSpan w:val="2"/>
          </w:tcPr>
          <w:p>
            <w:pPr>
              <w:jc w:val="center"/>
              <w:ind w:right="40"/>
              <w:spacing w:after="0" w:line="189" w:lineRule="exact"/>
              <w:rPr>
                <w:sz w:val="20"/>
                <w:szCs w:val="20"/>
                <w:color w:val="auto"/>
              </w:rPr>
            </w:pPr>
            <w:r>
              <w:rPr>
                <w:rFonts w:ascii="Arial" w:cs="Arial" w:eastAsia="Arial" w:hAnsi="Arial"/>
                <w:sz w:val="18"/>
                <w:szCs w:val="18"/>
                <w:b w:val="1"/>
                <w:bCs w:val="1"/>
                <w:color w:val="auto"/>
                <w:w w:val="99"/>
              </w:rPr>
              <w:t>connection with a</w:t>
            </w:r>
          </w:p>
        </w:tc>
        <w:tc>
          <w:tcPr>
            <w:tcW w:w="1760" w:type="dxa"/>
            <w:vAlign w:val="bottom"/>
            <w:gridSpan w:val="2"/>
            <w:vMerge w:val="continue"/>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Change in Control</w:t>
            </w:r>
          </w:p>
        </w:tc>
        <w:tc>
          <w:tcPr>
            <w:tcW w:w="19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Without Termination</w:t>
            </w: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tcBorders>
            <w:vMerge w:val="continue"/>
          </w:tcPr>
          <w:p>
            <w:pPr>
              <w:spacing w:after="0"/>
              <w:rPr>
                <w:sz w:val="19"/>
                <w:szCs w:val="19"/>
                <w:color w:val="auto"/>
              </w:rPr>
            </w:pPr>
          </w:p>
        </w:tc>
        <w:tc>
          <w:tcPr>
            <w:tcW w:w="2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Change in Control ($)</w:t>
            </w: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left w:val="single" w:sz="8" w:color="auto"/>
            </w:tcBorders>
            <w:shd w:val="clear" w:color="auto" w:fill="B6B6B6"/>
          </w:tcPr>
          <w:p>
            <w:pPr>
              <w:ind w:left="40"/>
              <w:spacing w:after="0"/>
              <w:rPr>
                <w:sz w:val="20"/>
                <w:szCs w:val="20"/>
                <w:color w:val="auto"/>
              </w:rPr>
            </w:pPr>
            <w:r>
              <w:rPr>
                <w:rFonts w:ascii="Arial" w:cs="Arial" w:eastAsia="Arial" w:hAnsi="Arial"/>
                <w:sz w:val="18"/>
                <w:szCs w:val="18"/>
                <w:color w:val="auto"/>
              </w:rPr>
              <w:t>Vesting of Outstanding Equity Awards (g)</w:t>
            </w:r>
          </w:p>
        </w:tc>
        <w:tc>
          <w:tcPr>
            <w:tcW w:w="2040" w:type="dxa"/>
            <w:vAlign w:val="bottom"/>
            <w:tcBorders>
              <w:top w:val="single" w:sz="8" w:color="auto"/>
            </w:tcBorders>
            <w:shd w:val="clear" w:color="auto" w:fill="B6B6B6"/>
          </w:tcPr>
          <w:p>
            <w:pPr>
              <w:spacing w:after="0"/>
              <w:rPr>
                <w:sz w:val="19"/>
                <w:szCs w:val="19"/>
                <w:color w:val="auto"/>
              </w:rPr>
            </w:pPr>
          </w:p>
        </w:tc>
        <w:tc>
          <w:tcPr>
            <w:tcW w:w="120" w:type="dxa"/>
            <w:vAlign w:val="bottom"/>
            <w:tcBorders>
              <w:top w:val="single" w:sz="8" w:color="B6B6B6"/>
            </w:tcBorders>
            <w:shd w:val="clear" w:color="auto" w:fill="B6B6B6"/>
          </w:tcPr>
          <w:p>
            <w:pPr>
              <w:spacing w:after="0"/>
              <w:rPr>
                <w:sz w:val="19"/>
                <w:szCs w:val="19"/>
                <w:color w:val="auto"/>
              </w:rPr>
            </w:pPr>
          </w:p>
        </w:tc>
        <w:tc>
          <w:tcPr>
            <w:tcW w:w="1660" w:type="dxa"/>
            <w:vAlign w:val="bottom"/>
            <w:tcBorders>
              <w:top w:val="single" w:sz="8" w:color="auto"/>
            </w:tcBorders>
            <w:shd w:val="clear" w:color="auto" w:fill="B6B6B6"/>
          </w:tcPr>
          <w:p>
            <w:pPr>
              <w:spacing w:after="0"/>
              <w:rPr>
                <w:sz w:val="19"/>
                <w:szCs w:val="19"/>
                <w:color w:val="auto"/>
              </w:rPr>
            </w:pPr>
          </w:p>
        </w:tc>
        <w:tc>
          <w:tcPr>
            <w:tcW w:w="100" w:type="dxa"/>
            <w:vAlign w:val="bottom"/>
            <w:tcBorders>
              <w:top w:val="single" w:sz="8" w:color="B6B6B6"/>
            </w:tcBorders>
            <w:shd w:val="clear" w:color="auto" w:fill="B6B6B6"/>
          </w:tcPr>
          <w:p>
            <w:pPr>
              <w:spacing w:after="0"/>
              <w:rPr>
                <w:sz w:val="19"/>
                <w:szCs w:val="19"/>
                <w:color w:val="auto"/>
              </w:rPr>
            </w:pPr>
          </w:p>
        </w:tc>
        <w:tc>
          <w:tcPr>
            <w:tcW w:w="1880" w:type="dxa"/>
            <w:vAlign w:val="bottom"/>
            <w:tcBorders>
              <w:top w:val="single" w:sz="8" w:color="auto"/>
            </w:tcBorders>
            <w:shd w:val="clear" w:color="auto" w:fill="B6B6B6"/>
          </w:tcPr>
          <w:p>
            <w:pPr>
              <w:spacing w:after="0"/>
              <w:rPr>
                <w:sz w:val="19"/>
                <w:szCs w:val="19"/>
                <w:color w:val="auto"/>
              </w:rPr>
            </w:pPr>
          </w:p>
        </w:tc>
        <w:tc>
          <w:tcPr>
            <w:tcW w:w="1900" w:type="dxa"/>
            <w:vAlign w:val="bottom"/>
            <w:tcBorders>
              <w:top w:val="single" w:sz="8" w:color="auto"/>
              <w:right w:val="single" w:sz="8" w:color="auto"/>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Patrick H. Hawkins</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9,315,220</w:t>
            </w:r>
          </w:p>
        </w:tc>
        <w:tc>
          <w:tcPr>
            <w:tcW w:w="1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9,315,220</w:t>
            </w:r>
          </w:p>
        </w:tc>
        <w:tc>
          <w:tcPr>
            <w:tcW w:w="0" w:type="dxa"/>
            <w:vAlign w:val="bottom"/>
          </w:tcPr>
          <w:p>
            <w:pPr>
              <w:spacing w:after="0"/>
              <w:rPr>
                <w:sz w:val="1"/>
                <w:szCs w:val="1"/>
                <w:color w:val="auto"/>
              </w:rPr>
            </w:pPr>
          </w:p>
        </w:tc>
      </w:tr>
      <w:tr>
        <w:trPr>
          <w:trHeight w:val="229"/>
        </w:trPr>
        <w:tc>
          <w:tcPr>
            <w:tcW w:w="3460" w:type="dxa"/>
            <w:vAlign w:val="bottom"/>
            <w:tcBorders>
              <w:left w:val="single" w:sz="8" w:color="auto"/>
            </w:tcBorders>
            <w:shd w:val="clear" w:color="auto" w:fill="B6B6B6"/>
          </w:tcPr>
          <w:p>
            <w:pPr>
              <w:ind w:left="360"/>
              <w:spacing w:after="0"/>
              <w:rPr>
                <w:sz w:val="20"/>
                <w:szCs w:val="20"/>
                <w:color w:val="auto"/>
              </w:rPr>
            </w:pPr>
            <w:r>
              <w:rPr>
                <w:rFonts w:ascii="Arial" w:cs="Arial" w:eastAsia="Arial" w:hAnsi="Arial"/>
                <w:sz w:val="18"/>
                <w:szCs w:val="18"/>
                <w:color w:val="auto"/>
              </w:rPr>
              <w:t>Jeffrey P. Oldenkamp</w:t>
            </w:r>
          </w:p>
        </w:tc>
        <w:tc>
          <w:tcPr>
            <w:tcW w:w="2160" w:type="dxa"/>
            <w:vAlign w:val="bottom"/>
            <w:gridSpan w:val="2"/>
            <w:shd w:val="clear" w:color="auto" w:fill="B6B6B6"/>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5,539,906</w:t>
            </w:r>
          </w:p>
        </w:tc>
        <w:tc>
          <w:tcPr>
            <w:tcW w:w="1900" w:type="dxa"/>
            <w:vAlign w:val="bottom"/>
            <w:tcBorders>
              <w:right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5,539,906</w:t>
            </w:r>
          </w:p>
        </w:tc>
        <w:tc>
          <w:tcPr>
            <w:tcW w:w="0" w:type="dxa"/>
            <w:vAlign w:val="bottom"/>
          </w:tcPr>
          <w:p>
            <w:pPr>
              <w:spacing w:after="0"/>
              <w:rPr>
                <w:sz w:val="1"/>
                <w:szCs w:val="1"/>
                <w:color w:val="auto"/>
              </w:rPr>
            </w:pPr>
          </w:p>
        </w:tc>
      </w:tr>
      <w:tr>
        <w:trPr>
          <w:trHeight w:val="229"/>
        </w:trPr>
        <w:tc>
          <w:tcPr>
            <w:tcW w:w="346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Drew M. Grahek</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2,345,843</w:t>
            </w:r>
          </w:p>
        </w:tc>
        <w:tc>
          <w:tcPr>
            <w:tcW w:w="1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2,345,843</w:t>
            </w: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tcBorders>
            <w:shd w:val="clear" w:color="auto" w:fill="B6B6B6"/>
          </w:tcPr>
          <w:p>
            <w:pPr>
              <w:ind w:left="360"/>
              <w:spacing w:after="0"/>
              <w:rPr>
                <w:sz w:val="20"/>
                <w:szCs w:val="20"/>
                <w:color w:val="auto"/>
              </w:rPr>
            </w:pPr>
            <w:r>
              <w:rPr>
                <w:rFonts w:ascii="Arial" w:cs="Arial" w:eastAsia="Arial" w:hAnsi="Arial"/>
                <w:sz w:val="18"/>
                <w:szCs w:val="18"/>
                <w:color w:val="auto"/>
              </w:rPr>
              <w:t>Douglas A. Lange</w:t>
            </w:r>
          </w:p>
        </w:tc>
        <w:tc>
          <w:tcPr>
            <w:tcW w:w="2160" w:type="dxa"/>
            <w:vAlign w:val="bottom"/>
            <w:gridSpan w:val="2"/>
            <w:shd w:val="clear" w:color="auto" w:fill="B6B6B6"/>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1,915,039</w:t>
            </w:r>
          </w:p>
        </w:tc>
        <w:tc>
          <w:tcPr>
            <w:tcW w:w="1900" w:type="dxa"/>
            <w:vAlign w:val="bottom"/>
            <w:tcBorders>
              <w:right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1,915,039</w:t>
            </w:r>
          </w:p>
        </w:tc>
        <w:tc>
          <w:tcPr>
            <w:tcW w:w="0" w:type="dxa"/>
            <w:vAlign w:val="bottom"/>
          </w:tcPr>
          <w:p>
            <w:pPr>
              <w:spacing w:after="0"/>
              <w:rPr>
                <w:sz w:val="1"/>
                <w:szCs w:val="1"/>
                <w:color w:val="auto"/>
              </w:rPr>
            </w:pPr>
          </w:p>
        </w:tc>
      </w:tr>
      <w:tr>
        <w:trPr>
          <w:trHeight w:val="229"/>
        </w:trPr>
        <w:tc>
          <w:tcPr>
            <w:tcW w:w="346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David J. Mangine</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1,901,652</w:t>
            </w:r>
          </w:p>
        </w:tc>
        <w:tc>
          <w:tcPr>
            <w:tcW w:w="1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1,901,652</w:t>
            </w: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tcBorders>
            <w:shd w:val="clear" w:color="auto" w:fill="B6B6B6"/>
          </w:tcPr>
          <w:p>
            <w:pPr>
              <w:ind w:left="360"/>
              <w:spacing w:after="0"/>
              <w:rPr>
                <w:sz w:val="20"/>
                <w:szCs w:val="20"/>
                <w:color w:val="auto"/>
              </w:rPr>
            </w:pPr>
            <w:r>
              <w:rPr>
                <w:rFonts w:ascii="Arial" w:cs="Arial" w:eastAsia="Arial" w:hAnsi="Arial"/>
                <w:sz w:val="18"/>
                <w:szCs w:val="18"/>
                <w:color w:val="auto"/>
              </w:rPr>
              <w:t>Richard G. Erstad, Former GC</w:t>
            </w:r>
          </w:p>
        </w:tc>
        <w:tc>
          <w:tcPr>
            <w:tcW w:w="2160" w:type="dxa"/>
            <w:vAlign w:val="bottom"/>
            <w:gridSpan w:val="2"/>
            <w:shd w:val="clear" w:color="auto" w:fill="B6B6B6"/>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2,198,742</w:t>
            </w:r>
          </w:p>
        </w:tc>
        <w:tc>
          <w:tcPr>
            <w:tcW w:w="1900" w:type="dxa"/>
            <w:vAlign w:val="bottom"/>
            <w:tcBorders>
              <w:right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2,198,742</w:t>
            </w:r>
          </w:p>
        </w:tc>
        <w:tc>
          <w:tcPr>
            <w:tcW w:w="0" w:type="dxa"/>
            <w:vAlign w:val="bottom"/>
          </w:tcPr>
          <w:p>
            <w:pPr>
              <w:spacing w:after="0"/>
              <w:rPr>
                <w:sz w:val="1"/>
                <w:szCs w:val="1"/>
                <w:color w:val="auto"/>
              </w:rPr>
            </w:pPr>
          </w:p>
        </w:tc>
      </w:tr>
      <w:tr>
        <w:trPr>
          <w:trHeight w:val="94"/>
        </w:trPr>
        <w:tc>
          <w:tcPr>
            <w:tcW w:w="3460" w:type="dxa"/>
            <w:vAlign w:val="bottom"/>
            <w:tcBorders>
              <w:left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880" w:type="dxa"/>
            <w:vAlign w:val="bottom"/>
            <w:shd w:val="clear" w:color="auto" w:fill="B3B3B3"/>
          </w:tcPr>
          <w:p>
            <w:pPr>
              <w:spacing w:after="0"/>
              <w:rPr>
                <w:sz w:val="19"/>
                <w:szCs w:val="19"/>
                <w:color w:val="auto"/>
              </w:rPr>
            </w:pPr>
          </w:p>
        </w:tc>
        <w:tc>
          <w:tcPr>
            <w:tcW w:w="190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Patrick H. Hawkins</w:t>
            </w:r>
          </w:p>
        </w:tc>
        <w:tc>
          <w:tcPr>
            <w:tcW w:w="2040" w:type="dxa"/>
            <w:vAlign w:val="bottom"/>
          </w:tcPr>
          <w:p>
            <w:pPr>
              <w:jc w:val="right"/>
              <w:spacing w:after="0"/>
              <w:rPr>
                <w:sz w:val="20"/>
                <w:szCs w:val="20"/>
                <w:color w:val="auto"/>
              </w:rPr>
            </w:pPr>
            <w:r>
              <w:rPr>
                <w:rFonts w:ascii="Arial" w:cs="Arial" w:eastAsia="Arial" w:hAnsi="Arial"/>
                <w:sz w:val="18"/>
                <w:szCs w:val="18"/>
                <w:color w:val="auto"/>
              </w:rPr>
              <w:t>1,167,099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9,360,856</w:t>
            </w:r>
          </w:p>
        </w:tc>
        <w:tc>
          <w:tcPr>
            <w:tcW w:w="1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12,392,319</w:t>
            </w:r>
          </w:p>
        </w:tc>
        <w:tc>
          <w:tcPr>
            <w:tcW w:w="1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9,315,220</w:t>
            </w:r>
          </w:p>
        </w:tc>
        <w:tc>
          <w:tcPr>
            <w:tcW w:w="0" w:type="dxa"/>
            <w:vAlign w:val="bottom"/>
          </w:tcPr>
          <w:p>
            <w:pPr>
              <w:spacing w:after="0"/>
              <w:rPr>
                <w:sz w:val="1"/>
                <w:szCs w:val="1"/>
                <w:color w:val="auto"/>
              </w:rPr>
            </w:pPr>
          </w:p>
        </w:tc>
      </w:tr>
      <w:tr>
        <w:trPr>
          <w:trHeight w:val="229"/>
        </w:trPr>
        <w:tc>
          <w:tcPr>
            <w:tcW w:w="34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8"/>
                <w:szCs w:val="18"/>
                <w:color w:val="auto"/>
              </w:rPr>
              <w:t>Jeffrey P. Oldenkamp</w:t>
            </w:r>
          </w:p>
        </w:tc>
        <w:tc>
          <w:tcPr>
            <w:tcW w:w="20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619,537</w:t>
            </w: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5,562,572</w:t>
            </w:r>
          </w:p>
        </w:tc>
        <w:tc>
          <w:tcPr>
            <w:tcW w:w="100" w:type="dxa"/>
            <w:vAlign w:val="bottom"/>
            <w:shd w:val="clear" w:color="auto" w:fill="B3B3B3"/>
          </w:tcPr>
          <w:p>
            <w:pPr>
              <w:spacing w:after="0"/>
              <w:rPr>
                <w:sz w:val="19"/>
                <w:szCs w:val="19"/>
                <w:color w:val="auto"/>
              </w:rPr>
            </w:pPr>
          </w:p>
        </w:tc>
        <w:tc>
          <w:tcPr>
            <w:tcW w:w="1880" w:type="dxa"/>
            <w:vAlign w:val="bottom"/>
            <w:shd w:val="clear" w:color="auto" w:fill="B3B3B3"/>
          </w:tcPr>
          <w:p>
            <w:pPr>
              <w:jc w:val="right"/>
              <w:ind w:right="30"/>
              <w:spacing w:after="0"/>
              <w:rPr>
                <w:sz w:val="20"/>
                <w:szCs w:val="20"/>
                <w:color w:val="auto"/>
              </w:rPr>
            </w:pPr>
            <w:r>
              <w:rPr>
                <w:rFonts w:ascii="Arial" w:cs="Arial" w:eastAsia="Arial" w:hAnsi="Arial"/>
                <w:sz w:val="18"/>
                <w:szCs w:val="18"/>
                <w:color w:val="auto"/>
              </w:rPr>
              <w:t>7,172,087</w:t>
            </w:r>
          </w:p>
        </w:tc>
        <w:tc>
          <w:tcPr>
            <w:tcW w:w="190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5,539,906</w:t>
            </w:r>
          </w:p>
        </w:tc>
        <w:tc>
          <w:tcPr>
            <w:tcW w:w="0" w:type="dxa"/>
            <w:vAlign w:val="bottom"/>
          </w:tcPr>
          <w:p>
            <w:pPr>
              <w:spacing w:after="0"/>
              <w:rPr>
                <w:sz w:val="1"/>
                <w:szCs w:val="1"/>
                <w:color w:val="auto"/>
              </w:rPr>
            </w:pPr>
          </w:p>
        </w:tc>
      </w:tr>
      <w:tr>
        <w:trPr>
          <w:trHeight w:val="229"/>
        </w:trPr>
        <w:tc>
          <w:tcPr>
            <w:tcW w:w="346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Drew M. Grahek</w:t>
            </w:r>
          </w:p>
        </w:tc>
        <w:tc>
          <w:tcPr>
            <w:tcW w:w="2040" w:type="dxa"/>
            <w:vAlign w:val="bottom"/>
          </w:tcPr>
          <w:p>
            <w:pPr>
              <w:jc w:val="right"/>
              <w:spacing w:after="0"/>
              <w:rPr>
                <w:sz w:val="20"/>
                <w:szCs w:val="20"/>
                <w:color w:val="auto"/>
              </w:rPr>
            </w:pPr>
            <w:r>
              <w:rPr>
                <w:rFonts w:ascii="Arial" w:cs="Arial" w:eastAsia="Arial" w:hAnsi="Arial"/>
                <w:sz w:val="18"/>
                <w:szCs w:val="18"/>
                <w:color w:val="auto"/>
              </w:rPr>
              <w:t>465,632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2,353,144</w:t>
            </w:r>
          </w:p>
        </w:tc>
        <w:tc>
          <w:tcPr>
            <w:tcW w:w="1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3,415,290</w:t>
            </w:r>
          </w:p>
        </w:tc>
        <w:tc>
          <w:tcPr>
            <w:tcW w:w="1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2,345,843</w:t>
            </w: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8"/>
                <w:szCs w:val="18"/>
                <w:color w:val="auto"/>
              </w:rPr>
              <w:t>Douglas A. Lange</w:t>
            </w:r>
          </w:p>
        </w:tc>
        <w:tc>
          <w:tcPr>
            <w:tcW w:w="20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446,275</w:t>
            </w:r>
          </w:p>
        </w:tc>
        <w:tc>
          <w:tcPr>
            <w:tcW w:w="120" w:type="dxa"/>
            <w:vAlign w:val="bottom"/>
            <w:shd w:val="clear" w:color="auto" w:fill="B3B3B3"/>
          </w:tcPr>
          <w:p>
            <w:pPr>
              <w:spacing w:after="0"/>
              <w:rPr>
                <w:sz w:val="19"/>
                <w:szCs w:val="19"/>
                <w:color w:val="auto"/>
              </w:rPr>
            </w:pPr>
          </w:p>
        </w:tc>
        <w:tc>
          <w:tcPr>
            <w:tcW w:w="16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1,920,515</w:t>
            </w:r>
          </w:p>
        </w:tc>
        <w:tc>
          <w:tcPr>
            <w:tcW w:w="100" w:type="dxa"/>
            <w:vAlign w:val="bottom"/>
            <w:shd w:val="clear" w:color="auto" w:fill="B3B3B3"/>
          </w:tcPr>
          <w:p>
            <w:pPr>
              <w:spacing w:after="0"/>
              <w:rPr>
                <w:sz w:val="19"/>
                <w:szCs w:val="19"/>
                <w:color w:val="auto"/>
              </w:rPr>
            </w:pPr>
          </w:p>
        </w:tc>
        <w:tc>
          <w:tcPr>
            <w:tcW w:w="1880" w:type="dxa"/>
            <w:vAlign w:val="bottom"/>
            <w:shd w:val="clear" w:color="auto" w:fill="B3B3B3"/>
          </w:tcPr>
          <w:p>
            <w:pPr>
              <w:jc w:val="right"/>
              <w:ind w:right="30"/>
              <w:spacing w:after="0"/>
              <w:rPr>
                <w:sz w:val="20"/>
                <w:szCs w:val="20"/>
                <w:color w:val="auto"/>
              </w:rPr>
            </w:pPr>
            <w:r>
              <w:rPr>
                <w:rFonts w:ascii="Arial" w:cs="Arial" w:eastAsia="Arial" w:hAnsi="Arial"/>
                <w:sz w:val="18"/>
                <w:szCs w:val="18"/>
                <w:color w:val="auto"/>
              </w:rPr>
              <w:t>2,930,702</w:t>
            </w:r>
          </w:p>
        </w:tc>
        <w:tc>
          <w:tcPr>
            <w:tcW w:w="190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1,915,039</w:t>
            </w:r>
          </w:p>
        </w:tc>
        <w:tc>
          <w:tcPr>
            <w:tcW w:w="0" w:type="dxa"/>
            <w:vAlign w:val="bottom"/>
          </w:tcPr>
          <w:p>
            <w:pPr>
              <w:spacing w:after="0"/>
              <w:rPr>
                <w:sz w:val="1"/>
                <w:szCs w:val="1"/>
                <w:color w:val="auto"/>
              </w:rPr>
            </w:pPr>
          </w:p>
        </w:tc>
      </w:tr>
      <w:tr>
        <w:trPr>
          <w:trHeight w:val="229"/>
        </w:trPr>
        <w:tc>
          <w:tcPr>
            <w:tcW w:w="346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David J. Mangine</w:t>
            </w:r>
          </w:p>
        </w:tc>
        <w:tc>
          <w:tcPr>
            <w:tcW w:w="2040" w:type="dxa"/>
            <w:vAlign w:val="bottom"/>
          </w:tcPr>
          <w:p>
            <w:pPr>
              <w:jc w:val="right"/>
              <w:spacing w:after="0"/>
              <w:rPr>
                <w:sz w:val="20"/>
                <w:szCs w:val="20"/>
                <w:color w:val="auto"/>
              </w:rPr>
            </w:pPr>
            <w:r>
              <w:rPr>
                <w:rFonts w:ascii="Arial" w:cs="Arial" w:eastAsia="Arial" w:hAnsi="Arial"/>
                <w:sz w:val="18"/>
                <w:szCs w:val="18"/>
                <w:color w:val="auto"/>
              </w:rPr>
              <w:t>421,738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1,906,824</w:t>
            </w:r>
          </w:p>
        </w:tc>
        <w:tc>
          <w:tcPr>
            <w:tcW w:w="1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2,782,710</w:t>
            </w:r>
          </w:p>
        </w:tc>
        <w:tc>
          <w:tcPr>
            <w:tcW w:w="1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1,901,652</w:t>
            </w: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bottom w:val="single" w:sz="8" w:color="auto"/>
            </w:tcBorders>
            <w:shd w:val="clear" w:color="auto" w:fill="B3B3B3"/>
          </w:tcPr>
          <w:p>
            <w:pPr>
              <w:ind w:left="360"/>
              <w:spacing w:after="0"/>
              <w:rPr>
                <w:sz w:val="20"/>
                <w:szCs w:val="20"/>
                <w:color w:val="auto"/>
              </w:rPr>
            </w:pPr>
            <w:r>
              <w:rPr>
                <w:rFonts w:ascii="Arial" w:cs="Arial" w:eastAsia="Arial" w:hAnsi="Arial"/>
                <w:sz w:val="18"/>
                <w:szCs w:val="18"/>
                <w:color w:val="auto"/>
              </w:rPr>
              <w:t>Richard G. Erstad, Former GC</w:t>
            </w:r>
          </w:p>
        </w:tc>
        <w:tc>
          <w:tcPr>
            <w:tcW w:w="20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421,603</w:t>
            </w:r>
          </w:p>
        </w:tc>
        <w:tc>
          <w:tcPr>
            <w:tcW w:w="120" w:type="dxa"/>
            <w:vAlign w:val="bottom"/>
            <w:shd w:val="clear" w:color="auto" w:fill="B3B3B3"/>
          </w:tcPr>
          <w:p>
            <w:pPr>
              <w:spacing w:after="0"/>
              <w:rPr>
                <w:sz w:val="19"/>
                <w:szCs w:val="19"/>
                <w:color w:val="auto"/>
              </w:rPr>
            </w:pPr>
          </w:p>
        </w:tc>
        <w:tc>
          <w:tcPr>
            <w:tcW w:w="16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2,205,284</w:t>
            </w:r>
          </w:p>
        </w:tc>
        <w:tc>
          <w:tcPr>
            <w:tcW w:w="100" w:type="dxa"/>
            <w:vAlign w:val="bottom"/>
            <w:shd w:val="clear" w:color="auto" w:fill="B3B3B3"/>
          </w:tcPr>
          <w:p>
            <w:pPr>
              <w:spacing w:after="0"/>
              <w:rPr>
                <w:sz w:val="19"/>
                <w:szCs w:val="19"/>
                <w:color w:val="auto"/>
              </w:rPr>
            </w:pPr>
          </w:p>
        </w:tc>
        <w:tc>
          <w:tcPr>
            <w:tcW w:w="1880" w:type="dxa"/>
            <w:vAlign w:val="bottom"/>
            <w:tcBorders>
              <w:bottom w:val="single" w:sz="8" w:color="auto"/>
            </w:tcBorders>
            <w:shd w:val="clear" w:color="auto" w:fill="B3B3B3"/>
          </w:tcPr>
          <w:p>
            <w:pPr>
              <w:jc w:val="right"/>
              <w:ind w:right="30"/>
              <w:spacing w:after="0"/>
              <w:rPr>
                <w:sz w:val="20"/>
                <w:szCs w:val="20"/>
                <w:color w:val="auto"/>
              </w:rPr>
            </w:pPr>
            <w:r>
              <w:rPr>
                <w:rFonts w:ascii="Arial" w:cs="Arial" w:eastAsia="Arial" w:hAnsi="Arial"/>
                <w:sz w:val="18"/>
                <w:szCs w:val="18"/>
                <w:color w:val="auto"/>
              </w:rPr>
              <w:t>3,137,647</w:t>
            </w:r>
          </w:p>
        </w:tc>
        <w:tc>
          <w:tcPr>
            <w:tcW w:w="1900" w:type="dxa"/>
            <w:vAlign w:val="bottom"/>
            <w:tcBorders>
              <w:bottom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2,198,742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right="480" w:hanging="412"/>
        <w:spacing w:after="0" w:line="287" w:lineRule="auto"/>
        <w:tabs>
          <w:tab w:leader="none" w:pos="4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the named executive officer’s base salary times the number of months in the applicable salary continuation period.</w:t>
      </w:r>
    </w:p>
    <w:p>
      <w:pPr>
        <w:spacing w:after="0" w:line="17" w:lineRule="exact"/>
        <w:rPr>
          <w:rFonts w:ascii="Arial" w:cs="Arial" w:eastAsia="Arial" w:hAnsi="Arial"/>
          <w:sz w:val="18"/>
          <w:szCs w:val="18"/>
          <w:color w:val="auto"/>
        </w:rPr>
      </w:pPr>
    </w:p>
    <w:p>
      <w:pPr>
        <w:ind w:left="420" w:right="100" w:hanging="412"/>
        <w:spacing w:after="0" w:line="318" w:lineRule="auto"/>
        <w:tabs>
          <w:tab w:leader="none" w:pos="4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determined by multiplying the difference between the full cost of the insurance to the company and the amounts to be paid by the named executive officer times the number of months in the applicable salary continuation period or 18 months, whichever is less.</w:t>
      </w:r>
    </w:p>
    <w:p>
      <w:pPr>
        <w:spacing w:after="0" w:line="8" w:lineRule="exact"/>
        <w:rPr>
          <w:rFonts w:ascii="Arial" w:cs="Arial" w:eastAsia="Arial" w:hAnsi="Arial"/>
          <w:sz w:val="17"/>
          <w:szCs w:val="17"/>
          <w:color w:val="auto"/>
        </w:rPr>
      </w:pPr>
    </w:p>
    <w:p>
      <w:pPr>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103" w:lineRule="exact"/>
        <w:rPr>
          <w:rFonts w:ascii="Arial" w:cs="Arial" w:eastAsia="Arial" w:hAnsi="Arial"/>
          <w:sz w:val="18"/>
          <w:szCs w:val="18"/>
          <w:color w:val="auto"/>
        </w:rPr>
      </w:pPr>
    </w:p>
    <w:p>
      <w:pPr>
        <w:ind w:left="420" w:right="80" w:hanging="412"/>
        <w:spacing w:after="0" w:line="287"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named executive officer’s target annual bonus times the number of months in the applicable salary continuation period.</w:t>
      </w:r>
    </w:p>
    <w:p>
      <w:pPr>
        <w:spacing w:after="0" w:line="17" w:lineRule="exact"/>
        <w:rPr>
          <w:rFonts w:ascii="Arial" w:cs="Arial" w:eastAsia="Arial" w:hAnsi="Arial"/>
          <w:sz w:val="18"/>
          <w:szCs w:val="18"/>
          <w:color w:val="auto"/>
        </w:rPr>
      </w:pPr>
    </w:p>
    <w:p>
      <w:pPr>
        <w:ind w:left="420" w:hanging="412"/>
        <w:spacing w:after="0" w:line="257" w:lineRule="auto"/>
        <w:tabs>
          <w:tab w:leader="none" w:pos="4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equal the contributions that the eligible named executive officer would have received under the Profit Sharing plan or nonqualified deferred compensation plan, depending upon participant eligibility, if the named executive officer had remained employed by the company for the entire applicable salary continuation period and had been entitled to employer contributions under the applicable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60" w:lineRule="exact"/>
        <w:rPr>
          <w:rFonts w:ascii="Arial" w:cs="Arial" w:eastAsia="Arial" w:hAnsi="Arial"/>
          <w:sz w:val="18"/>
          <w:szCs w:val="18"/>
          <w:color w:val="auto"/>
        </w:rPr>
      </w:pPr>
    </w:p>
    <w:p>
      <w:pPr>
        <w:jc w:val="both"/>
        <w:ind w:left="420" w:right="160" w:hanging="412"/>
        <w:spacing w:after="0" w:line="268" w:lineRule="auto"/>
        <w:tabs>
          <w:tab w:leader="none" w:pos="4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value of accelerated vesting of all outstanding performance-based restricted stock units and shares of restricted stock. Amounts determined by multiplying the number of shares for which vesting is accelerated by the closing price of our common stock of $152.12 per share as reported by Nasdaq on March 27, 2026, the last business day of fiscal 2026.</w:t>
      </w:r>
    </w:p>
    <w:p>
      <w:pPr>
        <w:spacing w:after="0" w:line="49" w:lineRule="exact"/>
        <w:rPr>
          <w:rFonts w:ascii="Arial" w:cs="Arial" w:eastAsia="Arial" w:hAnsi="Arial"/>
          <w:sz w:val="18"/>
          <w:szCs w:val="18"/>
          <w:color w:val="auto"/>
        </w:rPr>
      </w:pPr>
    </w:p>
    <w:p>
      <w:pPr>
        <w:ind w:left="420" w:right="20" w:hanging="412"/>
        <w:spacing w:after="0" w:line="318" w:lineRule="auto"/>
        <w:tabs>
          <w:tab w:leader="none" w:pos="437"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value of the outstanding equity awards. Amounts determined by multiplying the number of outstanding shares by the closing price of our common stock of $152.12 per share as reported by Nasdaq on March 27, 2026, the last business day of fiscal 2026.</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Patrick H. Hawkins, our Chief Executive Officer (our “CEO”). For fiscal 2026, our last completed fiscal year, the annual total compensation of our CEO was $3,607,894 as reported in the Summary Compensation Table above, and the annual total compensation of our median employee was $ 93,679. This comparison results in a CEO pay ratio of 39 to 1. This pay ratio estimate has been calculated in a manner consistent with Item 402(u) of Regulation S-K.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31" w:name="page32"/>
    <w:bookmarkEnd w:id="31"/>
    <w:p>
      <w:pPr>
        <w:ind w:right="500"/>
        <w:spacing w:after="0" w:line="257" w:lineRule="auto"/>
        <w:rPr>
          <w:sz w:val="20"/>
          <w:szCs w:val="20"/>
          <w:color w:val="auto"/>
        </w:rPr>
      </w:pPr>
      <w:r>
        <w:rPr>
          <w:rFonts w:ascii="Arial" w:cs="Arial" w:eastAsia="Arial" w:hAnsi="Arial"/>
          <w:sz w:val="18"/>
          <w:szCs w:val="18"/>
          <w:color w:val="auto"/>
        </w:rPr>
        <w:t>We used the same median employee for fiscal 2026 that we used for fiscal 2025 and fiscal 2024. To identify the median employee and determine the annual total compensation of our median employee, the methodology and the material assumptions, adjustments, and estimates that we used are described below.</w:t>
      </w:r>
    </w:p>
    <w:p>
      <w:pPr>
        <w:spacing w:after="0" w:line="1" w:lineRule="exact"/>
        <w:rPr>
          <w:sz w:val="20"/>
          <w:szCs w:val="20"/>
          <w:color w:val="auto"/>
        </w:rPr>
      </w:pPr>
    </w:p>
    <w:p>
      <w:pPr>
        <w:ind w:left="580" w:right="200" w:hanging="248"/>
        <w:spacing w:after="0" w:line="250" w:lineRule="auto"/>
        <w:tabs>
          <w:tab w:leader="none" w:pos="5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determined that, as of January 15, 2024, our employee population consisted of 918 individuals (including full-time and part-time employees, other than the CEO) working at Hawkins together with our consolidated subsidiaries.</w:t>
      </w:r>
    </w:p>
    <w:p>
      <w:pPr>
        <w:ind w:left="580" w:right="540" w:hanging="248"/>
        <w:spacing w:after="0" w:line="250" w:lineRule="auto"/>
        <w:tabs>
          <w:tab w:leader="none" w:pos="5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annualized the compensation of all employees included in the sample who were hired in 2023 but did not work for us or our consolidated subsidiaries for the entire twelve-month period described below.</w:t>
      </w:r>
    </w:p>
    <w:p>
      <w:pPr>
        <w:ind w:left="580" w:right="60" w:hanging="248"/>
        <w:spacing w:after="0" w:line="250" w:lineRule="auto"/>
        <w:tabs>
          <w:tab w:leader="none" w:pos="5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identified our median employee as of December 31, 2023 based on the total compensation for calendar 2023, including any cash paid as reflected in our payroll records and other benefits, and all other benefits, in the same manner that we determine the total compensation of our named executive officers for purposes of the Summary Compensation Table disclosed above.</w:t>
      </w:r>
    </w:p>
    <w:p>
      <w:pPr>
        <w:spacing w:after="0" w:line="1" w:lineRule="exact"/>
        <w:rPr>
          <w:rFonts w:ascii="Arial" w:cs="Arial" w:eastAsia="Arial" w:hAnsi="Arial"/>
          <w:sz w:val="18"/>
          <w:szCs w:val="18"/>
          <w:color w:val="auto"/>
        </w:rPr>
      </w:pPr>
    </w:p>
    <w:p>
      <w:pPr>
        <w:ind w:left="580" w:right="180" w:hanging="248"/>
        <w:spacing w:after="0" w:line="266" w:lineRule="auto"/>
        <w:tabs>
          <w:tab w:leader="none" w:pos="5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determined the median employee's total compensation for fiscal 2026, $93,679, in the same manner that we determine the total compensation of our named executive officers for purposes of the Summary Compensation Table disclosed above.</w:t>
      </w:r>
    </w:p>
    <w:p>
      <w:pPr>
        <w:spacing w:after="0" w:line="19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For fiscal 2026, there were no material changes to the company's employee population or compensation arrangements that would reasonably be expected to significantly impact the pay ratio or warrant identifying a new median employee.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for Fiscal 2026</w:t>
      </w:r>
    </w:p>
    <w:p>
      <w:pPr>
        <w:spacing w:after="0" w:line="1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fiscal 2026, each non-employee director earned an annual cash retainer of $70,000 and an additional cash annual retainer of $8,000 for each committee on which they serve. Supplemental annual cash retainers were earned by our Chair of the Board ($80,000) and the chairs of our Audit Committee ($15,000), Compensation Committee ($10,000) and Governance and Nominating Committee ($7,000).</w:t>
      </w:r>
    </w:p>
    <w:p>
      <w:pPr>
        <w:spacing w:after="0" w:line="19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Compensation Committee oversees our director compensation grants, under which each director, other than the Chief Executive Officer, receives a grant of restricted stock with a value of $100,000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2026, each applicable director was granted 628 shares of restricted stock on July 30, 2025, and these shares are scheduled to vest in their entirety on July 30, 2026, one year from their date of issuance.</w:t>
      </w:r>
    </w:p>
    <w:p>
      <w:pPr>
        <w:spacing w:after="0" w:line="19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shows, for each applicable director, information concerning annual compensation earned for services in all capacities during fiscal 2026:</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6480" w:type="dxa"/>
            <w:vAlign w:val="bottom"/>
            <w:tcBorders>
              <w:top w:val="single" w:sz="8" w:color="auto"/>
              <w:lef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Fees Earned</w:t>
            </w:r>
          </w:p>
        </w:tc>
        <w:tc>
          <w:tcPr>
            <w:tcW w:w="15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Stock</w:t>
            </w:r>
          </w:p>
        </w:tc>
        <w:tc>
          <w:tcPr>
            <w:tcW w:w="13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8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or Paid</w:t>
            </w:r>
          </w:p>
        </w:tc>
        <w:tc>
          <w:tcPr>
            <w:tcW w:w="1580" w:type="dxa"/>
            <w:vAlign w:val="bottom"/>
            <w:gridSpan w:val="2"/>
            <w:vMerge w:val="continue"/>
          </w:tcPr>
          <w:p>
            <w:pPr>
              <w:spacing w:after="0"/>
              <w:rPr>
                <w:sz w:val="12"/>
                <w:szCs w:val="12"/>
                <w:color w:val="auto"/>
              </w:rPr>
            </w:pPr>
          </w:p>
        </w:tc>
        <w:tc>
          <w:tcPr>
            <w:tcW w:w="136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6580" w:type="dxa"/>
            <w:vAlign w:val="bottom"/>
            <w:tcBorders>
              <w:left w:val="single" w:sz="8" w:color="auto"/>
            </w:tcBorders>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Cash ($)</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Awards ($)(a)</w:t>
            </w:r>
          </w:p>
        </w:tc>
        <w:tc>
          <w:tcPr>
            <w:tcW w:w="1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00" w:type="dxa"/>
            <w:vAlign w:val="bottom"/>
            <w:tcBorders>
              <w:top w:val="single" w:sz="8" w:color="B3B3B3"/>
            </w:tcBorders>
            <w:shd w:val="clear" w:color="auto" w:fill="B3B3B3"/>
          </w:tcPr>
          <w:p>
            <w:pPr>
              <w:spacing w:after="0"/>
              <w:rPr>
                <w:sz w:val="19"/>
                <w:szCs w:val="19"/>
                <w:color w:val="auto"/>
              </w:rPr>
            </w:pPr>
          </w:p>
        </w:tc>
        <w:tc>
          <w:tcPr>
            <w:tcW w:w="144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93,000</w:t>
            </w:r>
          </w:p>
        </w:tc>
        <w:tc>
          <w:tcPr>
            <w:tcW w:w="120" w:type="dxa"/>
            <w:vAlign w:val="bottom"/>
            <w:tcBorders>
              <w:top w:val="single" w:sz="8" w:color="B3B3B3"/>
            </w:tcBorders>
            <w:shd w:val="clear" w:color="auto" w:fill="B3B3B3"/>
          </w:tcPr>
          <w:p>
            <w:pPr>
              <w:spacing w:after="0"/>
              <w:rPr>
                <w:sz w:val="19"/>
                <w:szCs w:val="19"/>
                <w:color w:val="auto"/>
              </w:rPr>
            </w:pPr>
          </w:p>
        </w:tc>
        <w:tc>
          <w:tcPr>
            <w:tcW w:w="1460" w:type="dxa"/>
            <w:vAlign w:val="bottom"/>
            <w:tcBorders>
              <w:top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20" w:type="dxa"/>
            <w:vAlign w:val="bottom"/>
            <w:tcBorders>
              <w:top w:val="single" w:sz="8" w:color="B3B3B3"/>
            </w:tcBorders>
            <w:shd w:val="clear" w:color="auto" w:fill="B3B3B3"/>
          </w:tcPr>
          <w:p>
            <w:pPr>
              <w:spacing w:after="0"/>
              <w:rPr>
                <w:sz w:val="19"/>
                <w:szCs w:val="19"/>
                <w:color w:val="auto"/>
              </w:rPr>
            </w:pPr>
          </w:p>
        </w:tc>
        <w:tc>
          <w:tcPr>
            <w:tcW w:w="1360" w:type="dxa"/>
            <w:vAlign w:val="bottom"/>
            <w:tcBorders>
              <w:top w:val="single" w:sz="8" w:color="auto"/>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192,952</w:t>
            </w:r>
          </w:p>
        </w:tc>
        <w:tc>
          <w:tcPr>
            <w:tcW w:w="0" w:type="dxa"/>
            <w:vAlign w:val="bottom"/>
          </w:tcPr>
          <w:p>
            <w:pPr>
              <w:spacing w:after="0"/>
              <w:rPr>
                <w:sz w:val="1"/>
                <w:szCs w:val="1"/>
                <w:color w:val="auto"/>
              </w:rPr>
            </w:pPr>
          </w:p>
        </w:tc>
      </w:tr>
      <w:tr>
        <w:trPr>
          <w:trHeight w:val="229"/>
        </w:trPr>
        <w:tc>
          <w:tcPr>
            <w:tcW w:w="6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Mary J. Schumacher</w:t>
            </w:r>
          </w:p>
        </w:tc>
        <w:tc>
          <w:tcPr>
            <w:tcW w:w="1440" w:type="dxa"/>
            <w:vAlign w:val="bottom"/>
          </w:tcPr>
          <w:p>
            <w:pPr>
              <w:jc w:val="right"/>
              <w:spacing w:after="0"/>
              <w:rPr>
                <w:sz w:val="20"/>
                <w:szCs w:val="20"/>
                <w:color w:val="auto"/>
              </w:rPr>
            </w:pPr>
            <w:r>
              <w:rPr>
                <w:rFonts w:ascii="Arial" w:cs="Arial" w:eastAsia="Arial" w:hAnsi="Arial"/>
                <w:sz w:val="18"/>
                <w:szCs w:val="18"/>
                <w:color w:val="auto"/>
              </w:rPr>
              <w:t>104,000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99,952</w:t>
            </w:r>
          </w:p>
        </w:tc>
        <w:tc>
          <w:tcPr>
            <w:tcW w:w="12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203,952</w:t>
            </w:r>
          </w:p>
        </w:tc>
        <w:tc>
          <w:tcPr>
            <w:tcW w:w="0" w:type="dxa"/>
            <w:vAlign w:val="bottom"/>
          </w:tcPr>
          <w:p>
            <w:pPr>
              <w:spacing w:after="0"/>
              <w:rPr>
                <w:sz w:val="1"/>
                <w:szCs w:val="1"/>
                <w:color w:val="auto"/>
              </w:rPr>
            </w:pPr>
          </w:p>
        </w:tc>
      </w:tr>
      <w:tr>
        <w:trPr>
          <w:trHeight w:val="230"/>
        </w:trPr>
        <w:tc>
          <w:tcPr>
            <w:tcW w:w="65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E. Spethmann</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2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177,952</w:t>
            </w:r>
          </w:p>
        </w:tc>
        <w:tc>
          <w:tcPr>
            <w:tcW w:w="0" w:type="dxa"/>
            <w:vAlign w:val="bottom"/>
          </w:tcPr>
          <w:p>
            <w:pPr>
              <w:spacing w:after="0"/>
              <w:rPr>
                <w:sz w:val="1"/>
                <w:szCs w:val="1"/>
                <w:color w:val="auto"/>
              </w:rPr>
            </w:pPr>
          </w:p>
        </w:tc>
      </w:tr>
      <w:tr>
        <w:trPr>
          <w:trHeight w:val="230"/>
        </w:trPr>
        <w:tc>
          <w:tcPr>
            <w:tcW w:w="6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Daniel J. Stauber</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99,952</w:t>
            </w:r>
          </w:p>
        </w:tc>
        <w:tc>
          <w:tcPr>
            <w:tcW w:w="12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99,952</w:t>
            </w:r>
          </w:p>
        </w:tc>
        <w:tc>
          <w:tcPr>
            <w:tcW w:w="0" w:type="dxa"/>
            <w:vAlign w:val="bottom"/>
          </w:tcPr>
          <w:p>
            <w:pPr>
              <w:spacing w:after="0"/>
              <w:rPr>
                <w:sz w:val="1"/>
                <w:szCs w:val="1"/>
                <w:color w:val="auto"/>
              </w:rPr>
            </w:pPr>
          </w:p>
        </w:tc>
      </w:tr>
      <w:tr>
        <w:trPr>
          <w:trHeight w:val="230"/>
        </w:trPr>
        <w:tc>
          <w:tcPr>
            <w:tcW w:w="65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Yi "Faith" Tang</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2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177,952</w:t>
            </w:r>
          </w:p>
        </w:tc>
        <w:tc>
          <w:tcPr>
            <w:tcW w:w="0" w:type="dxa"/>
            <w:vAlign w:val="bottom"/>
          </w:tcPr>
          <w:p>
            <w:pPr>
              <w:spacing w:after="0"/>
              <w:rPr>
                <w:sz w:val="1"/>
                <w:szCs w:val="1"/>
                <w:color w:val="auto"/>
              </w:rPr>
            </w:pPr>
          </w:p>
        </w:tc>
      </w:tr>
      <w:tr>
        <w:trPr>
          <w:trHeight w:val="229"/>
        </w:trPr>
        <w:tc>
          <w:tcPr>
            <w:tcW w:w="65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James T. Thompson</w:t>
            </w:r>
          </w:p>
        </w:tc>
        <w:tc>
          <w:tcPr>
            <w:tcW w:w="1440" w:type="dxa"/>
            <w:vAlign w:val="bottom"/>
          </w:tcPr>
          <w:p>
            <w:pPr>
              <w:jc w:val="right"/>
              <w:spacing w:after="0"/>
              <w:rPr>
                <w:sz w:val="20"/>
                <w:szCs w:val="20"/>
                <w:color w:val="auto"/>
              </w:rPr>
            </w:pPr>
            <w:r>
              <w:rPr>
                <w:rFonts w:ascii="Arial" w:cs="Arial" w:eastAsia="Arial" w:hAnsi="Arial"/>
                <w:sz w:val="18"/>
                <w:szCs w:val="18"/>
                <w:color w:val="auto"/>
              </w:rPr>
              <w:t>166,000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99,952</w:t>
            </w:r>
          </w:p>
        </w:tc>
        <w:tc>
          <w:tcPr>
            <w:tcW w:w="120" w:type="dxa"/>
            <w:vAlign w:val="bottom"/>
          </w:tcPr>
          <w:p>
            <w:pPr>
              <w:spacing w:after="0"/>
              <w:rPr>
                <w:sz w:val="19"/>
                <w:szCs w:val="19"/>
                <w:color w:val="auto"/>
              </w:rPr>
            </w:pPr>
          </w:p>
        </w:tc>
        <w:tc>
          <w:tcPr>
            <w:tcW w:w="13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265,952</w:t>
            </w:r>
          </w:p>
        </w:tc>
        <w:tc>
          <w:tcPr>
            <w:tcW w:w="0" w:type="dxa"/>
            <w:vAlign w:val="bottom"/>
          </w:tcPr>
          <w:p>
            <w:pPr>
              <w:spacing w:after="0"/>
              <w:rPr>
                <w:sz w:val="1"/>
                <w:szCs w:val="1"/>
                <w:color w:val="auto"/>
              </w:rPr>
            </w:pPr>
          </w:p>
        </w:tc>
      </w:tr>
      <w:tr>
        <w:trPr>
          <w:trHeight w:val="230"/>
        </w:trPr>
        <w:tc>
          <w:tcPr>
            <w:tcW w:w="65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L. Wright</w:t>
            </w:r>
          </w:p>
        </w:tc>
        <w:tc>
          <w:tcPr>
            <w:tcW w:w="14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109,000</w:t>
            </w:r>
          </w:p>
        </w:tc>
        <w:tc>
          <w:tcPr>
            <w:tcW w:w="120" w:type="dxa"/>
            <w:vAlign w:val="bottom"/>
            <w:tcBorders>
              <w:bottom w:val="single" w:sz="8" w:color="auto"/>
            </w:tcBorders>
            <w:shd w:val="clear" w:color="auto" w:fill="B3B3B3"/>
          </w:tcPr>
          <w:p>
            <w:pPr>
              <w:spacing w:after="0"/>
              <w:rPr>
                <w:sz w:val="19"/>
                <w:szCs w:val="19"/>
                <w:color w:val="auto"/>
              </w:rPr>
            </w:pPr>
          </w:p>
        </w:tc>
        <w:tc>
          <w:tcPr>
            <w:tcW w:w="14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99,952</w:t>
            </w:r>
          </w:p>
        </w:tc>
        <w:tc>
          <w:tcPr>
            <w:tcW w:w="12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208,952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420" w:right="160" w:hanging="412"/>
        <w:spacing w:after="0" w:line="252" w:lineRule="auto"/>
        <w:tabs>
          <w:tab w:leader="none" w:pos="432" w:val="left"/>
        </w:tabs>
        <w:numPr>
          <w:ilvl w:val="0"/>
          <w:numId w:val="29"/>
        </w:numPr>
        <w:rPr>
          <w:rFonts w:ascii="Arial" w:cs="Arial" w:eastAsia="Arial" w:hAnsi="Arial"/>
          <w:sz w:val="20"/>
          <w:szCs w:val="20"/>
          <w:i w:val="1"/>
          <w:iCs w:val="1"/>
          <w:color w:val="auto"/>
        </w:rPr>
      </w:pPr>
      <w:r>
        <w:rPr>
          <w:rFonts w:ascii="Arial" w:cs="Arial" w:eastAsia="Arial" w:hAnsi="Arial"/>
          <w:sz w:val="18"/>
          <w:szCs w:val="18"/>
          <w:color w:val="auto"/>
        </w:rPr>
        <w:t xml:space="preserve">On July 30, 2025, each applicable Board member received 628 shares of restricted stock as part of his or her retainer pursuant to the 2019 Plan. The amounts shown in this column represent the grant-date fair value of each of the awards computed in accordance with FASB ASC Topic 718. See Note 9,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2026 for a description of our accounting for these awards and the assumptions used in valuing the awards. All of these shares are scheduled to vest in full on July 30, 2026, are eligible to receive dividends paid on our common stock and were the only outstanding equity awards held by each applicable director at the end of our most recently completed fiscal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2" w:name="page33"/>
    <w:bookmarkEnd w:id="32"/>
    <w:p>
      <w:pPr>
        <w:spacing w:after="0"/>
        <w:rPr>
          <w:sz w:val="20"/>
          <w:szCs w:val="20"/>
          <w:color w:val="auto"/>
        </w:rPr>
      </w:pPr>
      <w:r>
        <w:rPr>
          <w:rFonts w:ascii="Arial" w:cs="Arial" w:eastAsia="Arial" w:hAnsi="Arial"/>
          <w:sz w:val="25"/>
          <w:szCs w:val="25"/>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54850" cy="1722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54850" cy="17227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2026 Pay-Versus Performance Table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Value of Initial Fixed $100</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Average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Investment Based on:</w:t>
            </w: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38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w w:val="98"/>
              </w:rPr>
              <w:t>Summary</w:t>
            </w:r>
          </w:p>
        </w:tc>
        <w:tc>
          <w:tcPr>
            <w:tcW w:w="1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Peer Group</w:t>
            </w:r>
          </w:p>
        </w:tc>
        <w:tc>
          <w:tcPr>
            <w:tcW w:w="1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Compensation</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Summary</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Compensation</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Income Before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380" w:type="dxa"/>
            <w:vAlign w:val="bottom"/>
          </w:tcPr>
          <w:p>
            <w:pPr>
              <w:jc w:val="center"/>
              <w:ind w:left="14"/>
              <w:spacing w:after="0" w:line="162" w:lineRule="exact"/>
              <w:rPr>
                <w:sz w:val="20"/>
                <w:szCs w:val="20"/>
                <w:color w:val="auto"/>
              </w:rPr>
            </w:pPr>
            <w:r>
              <w:rPr>
                <w:rFonts w:ascii="Arial" w:cs="Arial" w:eastAsia="Arial" w:hAnsi="Arial"/>
                <w:sz w:val="16"/>
                <w:szCs w:val="16"/>
                <w:b w:val="1"/>
                <w:bCs w:val="1"/>
                <w:color w:val="auto"/>
              </w:rPr>
              <w:t>Compensation</w:t>
            </w:r>
          </w:p>
        </w:tc>
        <w:tc>
          <w:tcPr>
            <w:tcW w:w="1380" w:type="dxa"/>
            <w:vAlign w:val="bottom"/>
            <w:vMerge w:val="continue"/>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Compensation</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Actually Paid to</w:t>
            </w:r>
          </w:p>
        </w:tc>
        <w:tc>
          <w:tcPr>
            <w:tcW w:w="1260" w:type="dxa"/>
            <w:vAlign w:val="bottom"/>
            <w:vMerge w:val="continue"/>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Total</w:t>
            </w:r>
          </w:p>
        </w:tc>
        <w:tc>
          <w:tcPr>
            <w:tcW w:w="10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Year</w:t>
            </w:r>
          </w:p>
        </w:tc>
        <w:tc>
          <w:tcPr>
            <w:tcW w:w="1380" w:type="dxa"/>
            <w:vAlign w:val="bottom"/>
          </w:tcPr>
          <w:p>
            <w:pPr>
              <w:jc w:val="center"/>
              <w:ind w:left="14"/>
              <w:spacing w:after="0" w:line="162" w:lineRule="exact"/>
              <w:rPr>
                <w:sz w:val="20"/>
                <w:szCs w:val="20"/>
                <w:color w:val="auto"/>
              </w:rPr>
            </w:pPr>
            <w:r>
              <w:rPr>
                <w:rFonts w:ascii="Arial" w:cs="Arial" w:eastAsia="Arial" w:hAnsi="Arial"/>
                <w:sz w:val="16"/>
                <w:szCs w:val="16"/>
                <w:b w:val="1"/>
                <w:bCs w:val="1"/>
                <w:color w:val="auto"/>
                <w:w w:val="97"/>
              </w:rPr>
              <w:t>Table Total for</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Actually Paid to</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Table for Non-</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Non-PEO NEOs</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Shareholder</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Shareholder</w:t>
            </w:r>
          </w:p>
        </w:tc>
        <w:tc>
          <w:tcPr>
            <w:tcW w:w="10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Net Income</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Income Taxes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center"/>
              <w:ind w:left="14"/>
              <w:spacing w:after="0"/>
              <w:rPr>
                <w:sz w:val="20"/>
                <w:szCs w:val="20"/>
                <w:color w:val="auto"/>
              </w:rPr>
            </w:pPr>
            <w:r>
              <w:rPr>
                <w:rFonts w:ascii="Arial" w:cs="Arial" w:eastAsia="Arial" w:hAnsi="Arial"/>
                <w:sz w:val="16"/>
                <w:szCs w:val="16"/>
                <w:b w:val="1"/>
                <w:bCs w:val="1"/>
                <w:color w:val="auto"/>
              </w:rPr>
              <w:t>PEO</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PEO (1)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PEO</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Return (3)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Return (3)</w:t>
            </w:r>
          </w:p>
        </w:tc>
        <w:tc>
          <w:tcPr>
            <w:tcW w:w="10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shd w:val="clear" w:color="auto" w:fill="DBDBDB"/>
          </w:tcPr>
          <w:p>
            <w:pPr>
              <w:ind w:left="260"/>
              <w:spacing w:after="0"/>
              <w:rPr>
                <w:sz w:val="20"/>
                <w:szCs w:val="20"/>
                <w:color w:val="auto"/>
              </w:rPr>
            </w:pPr>
            <w:r>
              <w:rPr>
                <w:rFonts w:ascii="Arial" w:cs="Arial" w:eastAsia="Arial" w:hAnsi="Arial"/>
                <w:sz w:val="18"/>
                <w:szCs w:val="18"/>
                <w:b w:val="1"/>
                <w:bCs w:val="1"/>
                <w:color w:val="auto"/>
              </w:rPr>
              <w:t>2026</w:t>
            </w:r>
          </w:p>
        </w:tc>
        <w:tc>
          <w:tcPr>
            <w:tcW w:w="1380" w:type="dxa"/>
            <w:vAlign w:val="bottom"/>
            <w:shd w:val="clear" w:color="auto" w:fill="DBDBDB"/>
          </w:tcPr>
          <w:p>
            <w:pPr>
              <w:jc w:val="center"/>
              <w:ind w:left="14"/>
              <w:spacing w:after="0"/>
              <w:rPr>
                <w:sz w:val="20"/>
                <w:szCs w:val="20"/>
                <w:color w:val="auto"/>
              </w:rPr>
            </w:pPr>
            <w:r>
              <w:rPr>
                <w:rFonts w:ascii="Arial" w:cs="Arial" w:eastAsia="Arial" w:hAnsi="Arial"/>
                <w:sz w:val="18"/>
                <w:szCs w:val="18"/>
                <w:color w:val="auto"/>
                <w:w w:val="99"/>
              </w:rPr>
              <w:t>3,607,894</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6,187,473</w:t>
            </w:r>
          </w:p>
        </w:tc>
        <w:tc>
          <w:tcPr>
            <w:tcW w:w="1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1,156,473</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1,951,787</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467.34</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113.24</w:t>
            </w:r>
          </w:p>
        </w:tc>
        <w:tc>
          <w:tcPr>
            <w:tcW w:w="1060" w:type="dxa"/>
            <w:vAlign w:val="bottom"/>
            <w:shd w:val="clear" w:color="auto" w:fill="DBDBDB"/>
          </w:tcPr>
          <w:p>
            <w:pPr>
              <w:ind w:left="80"/>
              <w:spacing w:after="0"/>
              <w:rPr>
                <w:sz w:val="20"/>
                <w:szCs w:val="20"/>
                <w:color w:val="auto"/>
              </w:rPr>
            </w:pPr>
            <w:r>
              <w:rPr>
                <w:rFonts w:ascii="Arial" w:cs="Arial" w:eastAsia="Arial" w:hAnsi="Arial"/>
                <w:sz w:val="18"/>
                <w:szCs w:val="18"/>
                <w:color w:val="auto"/>
              </w:rPr>
              <w:t>81,547,855</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109,340,130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ind w:left="260"/>
              <w:spacing w:after="0"/>
              <w:rPr>
                <w:sz w:val="20"/>
                <w:szCs w:val="20"/>
                <w:color w:val="auto"/>
              </w:rPr>
            </w:pPr>
            <w:r>
              <w:rPr>
                <w:rFonts w:ascii="Arial" w:cs="Arial" w:eastAsia="Arial" w:hAnsi="Arial"/>
                <w:sz w:val="18"/>
                <w:szCs w:val="18"/>
                <w:b w:val="1"/>
                <w:bCs w:val="1"/>
                <w:color w:val="auto"/>
              </w:rPr>
              <w:t>2025</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3,151,261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5,293,699</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1,404,840</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2,177,387</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667.97</w:t>
            </w:r>
          </w:p>
        </w:tc>
        <w:tc>
          <w:tcPr>
            <w:tcW w:w="1240" w:type="dxa"/>
            <w:vAlign w:val="bottom"/>
          </w:tcPr>
          <w:p>
            <w:pPr>
              <w:jc w:val="center"/>
              <w:spacing w:after="0"/>
              <w:rPr>
                <w:sz w:val="20"/>
                <w:szCs w:val="20"/>
                <w:color w:val="auto"/>
              </w:rPr>
            </w:pPr>
            <w:r>
              <w:rPr>
                <w:rFonts w:ascii="Arial" w:cs="Arial" w:eastAsia="Arial" w:hAnsi="Arial"/>
                <w:sz w:val="18"/>
                <w:szCs w:val="18"/>
                <w:color w:val="auto"/>
              </w:rPr>
              <w:t>189.80</w:t>
            </w:r>
          </w:p>
        </w:tc>
        <w:tc>
          <w:tcPr>
            <w:tcW w:w="1060" w:type="dxa"/>
            <w:vAlign w:val="bottom"/>
          </w:tcPr>
          <w:p>
            <w:pPr>
              <w:ind w:left="80"/>
              <w:spacing w:after="0"/>
              <w:rPr>
                <w:sz w:val="20"/>
                <w:szCs w:val="20"/>
                <w:color w:val="auto"/>
              </w:rPr>
            </w:pPr>
            <w:r>
              <w:rPr>
                <w:rFonts w:ascii="Arial" w:cs="Arial" w:eastAsia="Arial" w:hAnsi="Arial"/>
                <w:sz w:val="18"/>
                <w:szCs w:val="18"/>
                <w:color w:val="auto"/>
              </w:rPr>
              <w:t>84,344,717</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114,382,480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DBDBDB"/>
          </w:tcPr>
          <w:p>
            <w:pPr>
              <w:ind w:left="260"/>
              <w:spacing w:after="0"/>
              <w:rPr>
                <w:sz w:val="20"/>
                <w:szCs w:val="20"/>
                <w:color w:val="auto"/>
              </w:rPr>
            </w:pPr>
            <w:r>
              <w:rPr>
                <w:rFonts w:ascii="Arial" w:cs="Arial" w:eastAsia="Arial" w:hAnsi="Arial"/>
                <w:sz w:val="18"/>
                <w:szCs w:val="18"/>
                <w:b w:val="1"/>
                <w:bCs w:val="1"/>
                <w:color w:val="auto"/>
              </w:rPr>
              <w:t>2024</w:t>
            </w:r>
          </w:p>
        </w:tc>
        <w:tc>
          <w:tcPr>
            <w:tcW w:w="1380" w:type="dxa"/>
            <w:vAlign w:val="bottom"/>
            <w:shd w:val="clear" w:color="auto" w:fill="DBDBDB"/>
          </w:tcPr>
          <w:p>
            <w:pPr>
              <w:jc w:val="center"/>
              <w:ind w:left="14"/>
              <w:spacing w:after="0"/>
              <w:rPr>
                <w:sz w:val="20"/>
                <w:szCs w:val="20"/>
                <w:color w:val="auto"/>
              </w:rPr>
            </w:pPr>
            <w:r>
              <w:rPr>
                <w:rFonts w:ascii="Arial" w:cs="Arial" w:eastAsia="Arial" w:hAnsi="Arial"/>
                <w:sz w:val="18"/>
                <w:szCs w:val="18"/>
                <w:color w:val="auto"/>
                <w:w w:val="99"/>
              </w:rPr>
              <w:t>2,616,013</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5,167,694</w:t>
            </w:r>
          </w:p>
        </w:tc>
        <w:tc>
          <w:tcPr>
            <w:tcW w:w="1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1,060,229</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2,069,412</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483.32</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173.66</w:t>
            </w:r>
          </w:p>
        </w:tc>
        <w:tc>
          <w:tcPr>
            <w:tcW w:w="1060" w:type="dxa"/>
            <w:vAlign w:val="bottom"/>
            <w:shd w:val="clear" w:color="auto" w:fill="DBDBDB"/>
          </w:tcPr>
          <w:p>
            <w:pPr>
              <w:ind w:left="80"/>
              <w:spacing w:after="0"/>
              <w:rPr>
                <w:sz w:val="20"/>
                <w:szCs w:val="20"/>
                <w:color w:val="auto"/>
              </w:rPr>
            </w:pPr>
            <w:r>
              <w:rPr>
                <w:rFonts w:ascii="Arial" w:cs="Arial" w:eastAsia="Arial" w:hAnsi="Arial"/>
                <w:sz w:val="18"/>
                <w:szCs w:val="18"/>
                <w:color w:val="auto"/>
              </w:rPr>
              <w:t>75,363,461</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101,145,040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ind w:left="260"/>
              <w:spacing w:after="0"/>
              <w:rPr>
                <w:sz w:val="20"/>
                <w:szCs w:val="20"/>
                <w:color w:val="auto"/>
              </w:rPr>
            </w:pPr>
            <w:r>
              <w:rPr>
                <w:rFonts w:ascii="Arial" w:cs="Arial" w:eastAsia="Arial" w:hAnsi="Arial"/>
                <w:sz w:val="18"/>
                <w:szCs w:val="18"/>
                <w:b w:val="1"/>
                <w:bCs w:val="1"/>
                <w:color w:val="auto"/>
              </w:rPr>
              <w:t>2023</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2,223,409</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2,242,510</w:t>
            </w:r>
          </w:p>
        </w:tc>
        <w:tc>
          <w:tcPr>
            <w:tcW w:w="1300" w:type="dxa"/>
            <w:vAlign w:val="bottom"/>
          </w:tcPr>
          <w:p>
            <w:pPr>
              <w:jc w:val="center"/>
              <w:spacing w:after="0"/>
              <w:rPr>
                <w:sz w:val="20"/>
                <w:szCs w:val="20"/>
                <w:color w:val="auto"/>
              </w:rPr>
            </w:pPr>
            <w:r>
              <w:rPr>
                <w:rFonts w:ascii="Arial" w:cs="Arial" w:eastAsia="Arial" w:hAnsi="Arial"/>
                <w:sz w:val="18"/>
                <w:szCs w:val="18"/>
                <w:color w:val="auto"/>
              </w:rPr>
              <w:t>942,164</w:t>
            </w:r>
          </w:p>
        </w:tc>
        <w:tc>
          <w:tcPr>
            <w:tcW w:w="1400" w:type="dxa"/>
            <w:vAlign w:val="bottom"/>
          </w:tcPr>
          <w:p>
            <w:pPr>
              <w:jc w:val="center"/>
              <w:spacing w:after="0"/>
              <w:rPr>
                <w:sz w:val="20"/>
                <w:szCs w:val="20"/>
                <w:color w:val="auto"/>
              </w:rPr>
            </w:pPr>
            <w:r>
              <w:rPr>
                <w:rFonts w:ascii="Arial" w:cs="Arial" w:eastAsia="Arial" w:hAnsi="Arial"/>
                <w:sz w:val="18"/>
                <w:szCs w:val="18"/>
                <w:color w:val="auto"/>
              </w:rPr>
              <w:t>973,305</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275.81</w:t>
            </w:r>
          </w:p>
        </w:tc>
        <w:tc>
          <w:tcPr>
            <w:tcW w:w="1240" w:type="dxa"/>
            <w:vAlign w:val="bottom"/>
          </w:tcPr>
          <w:p>
            <w:pPr>
              <w:jc w:val="center"/>
              <w:spacing w:after="0"/>
              <w:rPr>
                <w:sz w:val="20"/>
                <w:szCs w:val="20"/>
                <w:color w:val="auto"/>
              </w:rPr>
            </w:pPr>
            <w:r>
              <w:rPr>
                <w:rFonts w:ascii="Arial" w:cs="Arial" w:eastAsia="Arial" w:hAnsi="Arial"/>
                <w:sz w:val="18"/>
                <w:szCs w:val="18"/>
                <w:color w:val="auto"/>
              </w:rPr>
              <w:t>147.13</w:t>
            </w:r>
          </w:p>
        </w:tc>
        <w:tc>
          <w:tcPr>
            <w:tcW w:w="1060" w:type="dxa"/>
            <w:vAlign w:val="bottom"/>
          </w:tcPr>
          <w:p>
            <w:pPr>
              <w:ind w:left="80"/>
              <w:spacing w:after="0"/>
              <w:rPr>
                <w:sz w:val="20"/>
                <w:szCs w:val="20"/>
                <w:color w:val="auto"/>
              </w:rPr>
            </w:pPr>
            <w:r>
              <w:rPr>
                <w:rFonts w:ascii="Arial" w:cs="Arial" w:eastAsia="Arial" w:hAnsi="Arial"/>
                <w:sz w:val="18"/>
                <w:szCs w:val="18"/>
                <w:color w:val="auto"/>
              </w:rPr>
              <w:t>60,040,662</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82,581,581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DBDBDB"/>
          </w:tcPr>
          <w:p>
            <w:pPr>
              <w:ind w:left="260"/>
              <w:spacing w:after="0"/>
              <w:rPr>
                <w:sz w:val="20"/>
                <w:szCs w:val="20"/>
                <w:color w:val="auto"/>
              </w:rPr>
            </w:pPr>
            <w:r>
              <w:rPr>
                <w:rFonts w:ascii="Arial" w:cs="Arial" w:eastAsia="Arial" w:hAnsi="Arial"/>
                <w:sz w:val="18"/>
                <w:szCs w:val="18"/>
                <w:b w:val="1"/>
                <w:bCs w:val="1"/>
                <w:color w:val="auto"/>
              </w:rPr>
              <w:t>2022</w:t>
            </w:r>
          </w:p>
        </w:tc>
        <w:tc>
          <w:tcPr>
            <w:tcW w:w="1380" w:type="dxa"/>
            <w:vAlign w:val="bottom"/>
            <w:shd w:val="clear" w:color="auto" w:fill="DBDBDB"/>
          </w:tcPr>
          <w:p>
            <w:pPr>
              <w:jc w:val="center"/>
              <w:ind w:left="14"/>
              <w:spacing w:after="0"/>
              <w:rPr>
                <w:sz w:val="20"/>
                <w:szCs w:val="20"/>
                <w:color w:val="auto"/>
              </w:rPr>
            </w:pPr>
            <w:r>
              <w:rPr>
                <w:rFonts w:ascii="Arial" w:cs="Arial" w:eastAsia="Arial" w:hAnsi="Arial"/>
                <w:sz w:val="18"/>
                <w:szCs w:val="18"/>
                <w:color w:val="auto"/>
                <w:w w:val="99"/>
              </w:rPr>
              <w:t>2,119,465</w:t>
            </w:r>
          </w:p>
        </w:tc>
        <w:tc>
          <w:tcPr>
            <w:tcW w:w="13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3,698,401</w:t>
            </w:r>
          </w:p>
        </w:tc>
        <w:tc>
          <w:tcPr>
            <w:tcW w:w="13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919,021</w:t>
            </w:r>
          </w:p>
        </w:tc>
        <w:tc>
          <w:tcPr>
            <w:tcW w:w="14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1,484,039</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283.76</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186.02</w:t>
            </w:r>
          </w:p>
        </w:tc>
        <w:tc>
          <w:tcPr>
            <w:tcW w:w="1060" w:type="dxa"/>
            <w:vAlign w:val="bottom"/>
            <w:shd w:val="clear" w:color="auto" w:fill="DBDBDB"/>
          </w:tcPr>
          <w:p>
            <w:pPr>
              <w:ind w:left="80"/>
              <w:spacing w:after="0"/>
              <w:rPr>
                <w:sz w:val="20"/>
                <w:szCs w:val="20"/>
                <w:color w:val="auto"/>
              </w:rPr>
            </w:pPr>
            <w:r>
              <w:rPr>
                <w:rFonts w:ascii="Arial" w:cs="Arial" w:eastAsia="Arial" w:hAnsi="Arial"/>
                <w:sz w:val="18"/>
                <w:szCs w:val="18"/>
                <w:color w:val="auto"/>
              </w:rPr>
              <w:t>51,541,678</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69,978,754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20" w:right="60" w:hanging="412"/>
        <w:spacing w:after="0" w:line="262" w:lineRule="auto"/>
        <w:tabs>
          <w:tab w:leader="none" w:pos="4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summary compensation table totals for our chief executive officer (the "PEO"), Patrick Hawkins, are adjusted, as indicated in the table below, to arrive at "compensation actually paid to PEO" each year. Our PEO does not participate in a pension plan; therefore, no adjustment from the summary compensation table total related to pension value was made. The fair value of equity awards was computed in accordance with the company's methodology used for financial reporting purposes.</w:t>
      </w:r>
    </w:p>
    <w:p>
      <w:pPr>
        <w:spacing w:after="0" w:line="148" w:lineRule="exact"/>
        <w:rPr>
          <w:sz w:val="20"/>
          <w:szCs w:val="20"/>
          <w:color w:val="auto"/>
        </w:rPr>
      </w:pPr>
    </w:p>
    <w:tbl>
      <w:tblPr>
        <w:tblLayout w:type="fixed"/>
        <w:tblInd w:w="430" w:type="dxa"/>
        <w:tblCellMar>
          <w:top w:w="0" w:type="dxa"/>
          <w:left w:w="0" w:type="dxa"/>
          <w:bottom w:w="0" w:type="dxa"/>
          <w:right w:w="0" w:type="dxa"/>
        </w:tblCellMar>
      </w:tblPr>
      <w:tr>
        <w:trPr>
          <w:trHeight w:val="243"/>
        </w:trPr>
        <w:tc>
          <w:tcPr>
            <w:tcW w:w="8640" w:type="dxa"/>
            <w:vAlign w:val="bottom"/>
            <w:tcBorders>
              <w:top w:val="single" w:sz="8" w:color="auto"/>
              <w:left w:val="single" w:sz="8" w:color="auto"/>
              <w:bottom w:val="single" w:sz="8" w:color="DBDBDB"/>
            </w:tcBorders>
          </w:tcPr>
          <w:p>
            <w:pPr>
              <w:spacing w:after="0"/>
              <w:rPr>
                <w:sz w:val="21"/>
                <w:szCs w:val="21"/>
                <w:color w:val="auto"/>
              </w:rPr>
            </w:pPr>
          </w:p>
        </w:tc>
        <w:tc>
          <w:tcPr>
            <w:tcW w:w="1600" w:type="dxa"/>
            <w:vAlign w:val="bottom"/>
            <w:tcBorders>
              <w:top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Fiscal 2026</w:t>
            </w:r>
          </w:p>
        </w:tc>
        <w:tc>
          <w:tcPr>
            <w:tcW w:w="0" w:type="dxa"/>
            <w:vAlign w:val="bottom"/>
          </w:tcPr>
          <w:p>
            <w:pPr>
              <w:spacing w:after="0"/>
              <w:rPr>
                <w:sz w:val="1"/>
                <w:szCs w:val="1"/>
                <w:color w:val="auto"/>
              </w:rPr>
            </w:pPr>
          </w:p>
        </w:tc>
      </w:tr>
      <w:tr>
        <w:trPr>
          <w:trHeight w:val="223"/>
        </w:trPr>
        <w:tc>
          <w:tcPr>
            <w:tcW w:w="86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Summary Compensation Table total for PEO</w:t>
            </w:r>
          </w:p>
        </w:tc>
        <w:tc>
          <w:tcPr>
            <w:tcW w:w="1600" w:type="dxa"/>
            <w:vAlign w:val="bottom"/>
            <w:tcBorders>
              <w:right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$3,607,894</w:t>
            </w:r>
          </w:p>
        </w:tc>
        <w:tc>
          <w:tcPr>
            <w:tcW w:w="0" w:type="dxa"/>
            <w:vAlign w:val="bottom"/>
          </w:tcPr>
          <w:p>
            <w:pPr>
              <w:spacing w:after="0"/>
              <w:rPr>
                <w:sz w:val="1"/>
                <w:szCs w:val="1"/>
                <w:color w:val="auto"/>
              </w:rPr>
            </w:pPr>
          </w:p>
        </w:tc>
      </w:tr>
      <w:tr>
        <w:trPr>
          <w:trHeight w:val="230"/>
        </w:trPr>
        <w:tc>
          <w:tcPr>
            <w:tcW w:w="86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Adjustments to Determine Compensation Actually Paid for PEO:</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Deduction for amount reported under "Stock Awards" column in the Summary Compensation Table</w:t>
            </w:r>
          </w:p>
        </w:tc>
        <w:tc>
          <w:tcPr>
            <w:tcW w:w="16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(2,062,393)</w:t>
            </w:r>
          </w:p>
        </w:tc>
        <w:tc>
          <w:tcPr>
            <w:tcW w:w="0" w:type="dxa"/>
            <w:vAlign w:val="bottom"/>
          </w:tcPr>
          <w:p>
            <w:pPr>
              <w:spacing w:after="0"/>
              <w:rPr>
                <w:sz w:val="1"/>
                <w:szCs w:val="1"/>
                <w:color w:val="auto"/>
              </w:rPr>
            </w:pPr>
          </w:p>
        </w:tc>
      </w:tr>
      <w:tr>
        <w:trPr>
          <w:trHeight w:val="176"/>
        </w:trPr>
        <w:tc>
          <w:tcPr>
            <w:tcW w:w="864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for fair value as of end of fiscal year of awards granted during the fiscal year that remain</w:t>
            </w:r>
          </w:p>
        </w:tc>
        <w:tc>
          <w:tcPr>
            <w:tcW w:w="16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2,576,000</w:t>
            </w:r>
          </w:p>
        </w:tc>
        <w:tc>
          <w:tcPr>
            <w:tcW w:w="0" w:type="dxa"/>
            <w:vAlign w:val="bottom"/>
          </w:tcPr>
          <w:p>
            <w:pPr>
              <w:spacing w:after="0"/>
              <w:rPr>
                <w:sz w:val="1"/>
                <w:szCs w:val="1"/>
                <w:color w:val="auto"/>
              </w:rPr>
            </w:pPr>
          </w:p>
        </w:tc>
      </w:tr>
      <w:tr>
        <w:trPr>
          <w:trHeight w:val="243"/>
        </w:trPr>
        <w:tc>
          <w:tcPr>
            <w:tcW w:w="86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unvested as of fiscal year end</w:t>
            </w:r>
          </w:p>
        </w:tc>
        <w:tc>
          <w:tcPr>
            <w:tcW w:w="16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4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for fair value as of the vesting date of awards granted during the fiscal year that vested during</w:t>
            </w:r>
          </w:p>
        </w:tc>
        <w:tc>
          <w:tcPr>
            <w:tcW w:w="1600" w:type="dxa"/>
            <w:vAlign w:val="bottom"/>
            <w:tcBorders>
              <w:right w:val="single" w:sz="8" w:color="auto"/>
            </w:tcBorders>
            <w:vMerge w:val="restart"/>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fiscal year</w:t>
            </w:r>
          </w:p>
        </w:tc>
        <w:tc>
          <w:tcPr>
            <w:tcW w:w="16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4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current fiscal year end of</w:t>
            </w:r>
          </w:p>
        </w:tc>
        <w:tc>
          <w:tcPr>
            <w:tcW w:w="16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2,037,006</w:t>
            </w:r>
          </w:p>
        </w:tc>
        <w:tc>
          <w:tcPr>
            <w:tcW w:w="0" w:type="dxa"/>
            <w:vAlign w:val="bottom"/>
          </w:tcPr>
          <w:p>
            <w:pPr>
              <w:spacing w:after="0"/>
              <w:rPr>
                <w:sz w:val="1"/>
                <w:szCs w:val="1"/>
                <w:color w:val="auto"/>
              </w:rPr>
            </w:pPr>
          </w:p>
        </w:tc>
      </w:tr>
      <w:tr>
        <w:trPr>
          <w:trHeight w:val="243"/>
        </w:trPr>
        <w:tc>
          <w:tcPr>
            <w:tcW w:w="86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awards granted prior to fiscal year that were outstanding and unvested as of year end</w:t>
            </w:r>
          </w:p>
        </w:tc>
        <w:tc>
          <w:tcPr>
            <w:tcW w:w="16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4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vesting date of awards</w:t>
            </w:r>
          </w:p>
        </w:tc>
        <w:tc>
          <w:tcPr>
            <w:tcW w:w="16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43"/>
        </w:trPr>
        <w:tc>
          <w:tcPr>
            <w:tcW w:w="86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granted prior to current fiscal year that vested during the year</w:t>
            </w:r>
          </w:p>
        </w:tc>
        <w:tc>
          <w:tcPr>
            <w:tcW w:w="16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4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Deduction for prior fiscal year end fair value of awards granted prior to current fiscal year that were</w:t>
            </w:r>
          </w:p>
        </w:tc>
        <w:tc>
          <w:tcPr>
            <w:tcW w:w="16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forfeited during the year</w:t>
            </w:r>
          </w:p>
        </w:tc>
        <w:tc>
          <w:tcPr>
            <w:tcW w:w="16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4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Increase for dividends or other earnings paid during the fiscal year prior to vesting date of award</w:t>
            </w:r>
          </w:p>
        </w:tc>
        <w:tc>
          <w:tcPr>
            <w:tcW w:w="1600" w:type="dxa"/>
            <w:vAlign w:val="bottom"/>
            <w:tcBorders>
              <w:bottom w:val="single" w:sz="8" w:color="auto"/>
              <w:right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33,226</w:t>
            </w:r>
          </w:p>
        </w:tc>
        <w:tc>
          <w:tcPr>
            <w:tcW w:w="0" w:type="dxa"/>
            <w:vAlign w:val="bottom"/>
          </w:tcPr>
          <w:p>
            <w:pPr>
              <w:spacing w:after="0"/>
              <w:rPr>
                <w:sz w:val="1"/>
                <w:szCs w:val="1"/>
                <w:color w:val="auto"/>
              </w:rPr>
            </w:pPr>
          </w:p>
        </w:tc>
      </w:tr>
      <w:tr>
        <w:trPr>
          <w:trHeight w:val="223"/>
        </w:trPr>
        <w:tc>
          <w:tcPr>
            <w:tcW w:w="8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Actually Paid to PEO</w:t>
            </w:r>
          </w:p>
        </w:tc>
        <w:tc>
          <w:tcPr>
            <w:tcW w:w="16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$6,187,473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5" w:right="459" w:bottom="1440" w:gutter="0" w:footer="0" w:header="0"/>
        </w:sectPr>
      </w:pPr>
    </w:p>
    <w:bookmarkStart w:id="33" w:name="page34"/>
    <w:bookmarkEnd w:id="33"/>
    <w:p>
      <w:pPr>
        <w:ind w:left="412" w:right="180" w:hanging="412"/>
        <w:spacing w:after="0" w:line="255" w:lineRule="auto"/>
        <w:tabs>
          <w:tab w:leader="none" w:pos="4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individuals that were non-PEO named executive officers ("NEOs") during each applicable year are Messrs. Oldenkamp, Grahek, Lange (Vice President, Water Treatment), Mangine (Vice President, Industrial Solutions), and Erstad (former GC) for fiscal 2026; Messrs. Oldenkamp, Grahek, and Erstad and Ms. Rozeboom for fiscal 2025; Messrs. Oldenkamp, Grahek, Erstad and Lange (Vice President, Water Treatment) for fiscal 2024, Messrs. Oldenkamp, Grahek, Erstad and Mangine (Vice President, Industrial) for fiscal 2023; and Messrs. Oldenkamp, Grahek and Erstad and Ms. Rozeboom for fiscal 2022. The average summary compensation table totals for non-PEO NEOs are adjusted to arrive at the average compensation actually paid to the non-PEO NEOs each year using the same methodology as described for the PEO and as indicated in the table below. None of our NEOs participate in a pension plan; therefore, no adjustment from the summary compensation table total related to pension value was made. The fair value of equity awards was computed in accordance with the company's methodology used for financial reporting purposes.</w:t>
      </w:r>
    </w:p>
    <w:tbl>
      <w:tblPr>
        <w:tblLayout w:type="fixed"/>
        <w:tblInd w:w="422" w:type="dxa"/>
        <w:tblCellMar>
          <w:top w:w="0" w:type="dxa"/>
          <w:left w:w="0" w:type="dxa"/>
          <w:bottom w:w="0" w:type="dxa"/>
          <w:right w:w="0" w:type="dxa"/>
        </w:tblCellMar>
      </w:tblPr>
      <w:tr>
        <w:trPr>
          <w:trHeight w:val="234"/>
        </w:trPr>
        <w:tc>
          <w:tcPr>
            <w:tcW w:w="8720" w:type="dxa"/>
            <w:vAlign w:val="bottom"/>
            <w:tcBorders>
              <w:top w:val="single" w:sz="8" w:color="auto"/>
              <w:left w:val="single" w:sz="8" w:color="auto"/>
              <w:bottom w:val="single" w:sz="8" w:color="DBDBDB"/>
            </w:tcBorders>
          </w:tcPr>
          <w:p>
            <w:pPr>
              <w:spacing w:after="0"/>
              <w:rPr>
                <w:sz w:val="20"/>
                <w:szCs w:val="20"/>
                <w:color w:val="auto"/>
              </w:rPr>
            </w:pPr>
          </w:p>
        </w:tc>
        <w:tc>
          <w:tcPr>
            <w:tcW w:w="150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Fiscal 2026</w:t>
            </w:r>
          </w:p>
        </w:tc>
        <w:tc>
          <w:tcPr>
            <w:tcW w:w="0" w:type="dxa"/>
            <w:vAlign w:val="bottom"/>
          </w:tcPr>
          <w:p>
            <w:pPr>
              <w:spacing w:after="0"/>
              <w:rPr>
                <w:sz w:val="1"/>
                <w:szCs w:val="1"/>
                <w:color w:val="auto"/>
              </w:rPr>
            </w:pPr>
          </w:p>
        </w:tc>
      </w:tr>
      <w:tr>
        <w:trPr>
          <w:trHeight w:val="223"/>
        </w:trPr>
        <w:tc>
          <w:tcPr>
            <w:tcW w:w="872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Average Summary Compensation Table total for non-PEO NEOs</w:t>
            </w:r>
          </w:p>
        </w:tc>
        <w:tc>
          <w:tcPr>
            <w:tcW w:w="1500" w:type="dxa"/>
            <w:vAlign w:val="bottom"/>
            <w:tcBorders>
              <w:right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$1,156,473</w:t>
            </w:r>
          </w:p>
        </w:tc>
        <w:tc>
          <w:tcPr>
            <w:tcW w:w="0" w:type="dxa"/>
            <w:vAlign w:val="bottom"/>
          </w:tcPr>
          <w:p>
            <w:pPr>
              <w:spacing w:after="0"/>
              <w:rPr>
                <w:sz w:val="1"/>
                <w:szCs w:val="1"/>
                <w:color w:val="auto"/>
              </w:rPr>
            </w:pPr>
          </w:p>
        </w:tc>
      </w:tr>
      <w:tr>
        <w:trPr>
          <w:trHeight w:val="229"/>
        </w:trPr>
        <w:tc>
          <w:tcPr>
            <w:tcW w:w="87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Adjustments to Determine Compensation Actually Paid for non-PEO NEOs:</w:t>
            </w: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Deduction for amounts reported under "Stock Awards" column in the Summary Compensation Table</w:t>
            </w:r>
          </w:p>
        </w:tc>
        <w:tc>
          <w:tcPr>
            <w:tcW w:w="15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(424,206)</w:t>
            </w:r>
          </w:p>
        </w:tc>
        <w:tc>
          <w:tcPr>
            <w:tcW w:w="0" w:type="dxa"/>
            <w:vAlign w:val="bottom"/>
          </w:tcPr>
          <w:p>
            <w:pPr>
              <w:spacing w:after="0"/>
              <w:rPr>
                <w:sz w:val="1"/>
                <w:szCs w:val="1"/>
                <w:color w:val="auto"/>
              </w:rPr>
            </w:pPr>
          </w:p>
        </w:tc>
      </w:tr>
      <w:tr>
        <w:trPr>
          <w:trHeight w:val="175"/>
        </w:trPr>
        <w:tc>
          <w:tcPr>
            <w:tcW w:w="872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for fair value as of end of fiscal year of awards granted during the fiscal year that remain</w:t>
            </w:r>
          </w:p>
        </w:tc>
        <w:tc>
          <w:tcPr>
            <w:tcW w:w="15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529,804</w:t>
            </w:r>
          </w:p>
        </w:tc>
        <w:tc>
          <w:tcPr>
            <w:tcW w:w="0" w:type="dxa"/>
            <w:vAlign w:val="bottom"/>
          </w:tcPr>
          <w:p>
            <w:pPr>
              <w:spacing w:after="0"/>
              <w:rPr>
                <w:sz w:val="1"/>
                <w:szCs w:val="1"/>
                <w:color w:val="auto"/>
              </w:rPr>
            </w:pPr>
          </w:p>
        </w:tc>
      </w:tr>
      <w:tr>
        <w:trPr>
          <w:trHeight w:val="243"/>
        </w:trPr>
        <w:tc>
          <w:tcPr>
            <w:tcW w:w="87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unvested as of fiscal year end</w:t>
            </w:r>
          </w:p>
        </w:tc>
        <w:tc>
          <w:tcPr>
            <w:tcW w:w="15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72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for fair value as of the vesting date of awards granted during fiscal year that vested during</w:t>
            </w:r>
          </w:p>
        </w:tc>
        <w:tc>
          <w:tcPr>
            <w:tcW w:w="1500" w:type="dxa"/>
            <w:vAlign w:val="bottom"/>
            <w:tcBorders>
              <w:right w:val="single" w:sz="8" w:color="auto"/>
            </w:tcBorders>
            <w:vMerge w:val="restart"/>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2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fiscal year</w:t>
            </w:r>
          </w:p>
        </w:tc>
        <w:tc>
          <w:tcPr>
            <w:tcW w:w="15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72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current fiscal year end of</w:t>
            </w:r>
          </w:p>
        </w:tc>
        <w:tc>
          <w:tcPr>
            <w:tcW w:w="15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680,219</w:t>
            </w:r>
          </w:p>
        </w:tc>
        <w:tc>
          <w:tcPr>
            <w:tcW w:w="0" w:type="dxa"/>
            <w:vAlign w:val="bottom"/>
          </w:tcPr>
          <w:p>
            <w:pPr>
              <w:spacing w:after="0"/>
              <w:rPr>
                <w:sz w:val="1"/>
                <w:szCs w:val="1"/>
                <w:color w:val="auto"/>
              </w:rPr>
            </w:pPr>
          </w:p>
        </w:tc>
      </w:tr>
      <w:tr>
        <w:trPr>
          <w:trHeight w:val="243"/>
        </w:trPr>
        <w:tc>
          <w:tcPr>
            <w:tcW w:w="87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awards granted prior to fiscal year that were outstanding and unvested as of year end</w:t>
            </w:r>
          </w:p>
        </w:tc>
        <w:tc>
          <w:tcPr>
            <w:tcW w:w="15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720" w:type="dxa"/>
            <w:vAlign w:val="bottom"/>
            <w:tcBorders>
              <w:left w:val="single" w:sz="8" w:color="auto"/>
            </w:tcBorders>
            <w:shd w:val="clear" w:color="auto" w:fill="DBDBDB"/>
          </w:tcPr>
          <w:p>
            <w:pPr>
              <w:ind w:left="240"/>
              <w:spacing w:after="0" w:line="176" w:lineRule="exact"/>
              <w:rPr>
                <w:sz w:val="20"/>
                <w:szCs w:val="20"/>
                <w:color w:val="auto"/>
              </w:rPr>
            </w:pPr>
            <w:r>
              <w:rPr>
                <w:rFonts w:ascii="Arial" w:cs="Arial" w:eastAsia="Arial" w:hAnsi="Arial"/>
                <w:sz w:val="18"/>
                <w:szCs w:val="18"/>
                <w:color w:val="auto"/>
              </w:rPr>
              <w:t>Increase (deduction) for difference in fair value from prior fiscal year end to vesting date of awards</w:t>
            </w:r>
          </w:p>
        </w:tc>
        <w:tc>
          <w:tcPr>
            <w:tcW w:w="150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43"/>
        </w:trPr>
        <w:tc>
          <w:tcPr>
            <w:tcW w:w="872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granted prior to current fiscal year that vested during the year</w:t>
            </w:r>
          </w:p>
        </w:tc>
        <w:tc>
          <w:tcPr>
            <w:tcW w:w="1500" w:type="dxa"/>
            <w:vAlign w:val="bottom"/>
            <w:tcBorders>
              <w:right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720" w:type="dxa"/>
            <w:vAlign w:val="bottom"/>
            <w:tcBorders>
              <w:left w:val="single" w:sz="8" w:color="auto"/>
            </w:tcBorders>
          </w:tcPr>
          <w:p>
            <w:pPr>
              <w:ind w:left="240"/>
              <w:spacing w:after="0" w:line="176" w:lineRule="exact"/>
              <w:rPr>
                <w:sz w:val="20"/>
                <w:szCs w:val="20"/>
                <w:color w:val="auto"/>
              </w:rPr>
            </w:pPr>
            <w:r>
              <w:rPr>
                <w:rFonts w:ascii="Arial" w:cs="Arial" w:eastAsia="Arial" w:hAnsi="Arial"/>
                <w:sz w:val="18"/>
                <w:szCs w:val="18"/>
                <w:color w:val="auto"/>
              </w:rPr>
              <w:t>Deduction for prior fiscal year end fair value of awards granted prior to current fiscal year that were</w:t>
            </w:r>
          </w:p>
        </w:tc>
        <w:tc>
          <w:tcPr>
            <w:tcW w:w="15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forfeited during the year</w:t>
            </w:r>
          </w:p>
        </w:tc>
        <w:tc>
          <w:tcPr>
            <w:tcW w:w="15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tcBorders>
              <w:left w:val="single" w:sz="8" w:color="auto"/>
            </w:tcBorders>
            <w:shd w:val="clear" w:color="auto" w:fill="DBDBDB"/>
          </w:tcPr>
          <w:p>
            <w:pPr>
              <w:ind w:left="240"/>
              <w:spacing w:after="0"/>
              <w:rPr>
                <w:sz w:val="20"/>
                <w:szCs w:val="20"/>
                <w:color w:val="auto"/>
              </w:rPr>
            </w:pPr>
            <w:r>
              <w:rPr>
                <w:rFonts w:ascii="Arial" w:cs="Arial" w:eastAsia="Arial" w:hAnsi="Arial"/>
                <w:sz w:val="18"/>
                <w:szCs w:val="18"/>
                <w:color w:val="auto"/>
              </w:rPr>
              <w:t>Increase for dividends or other earnings paid during the fiscal year prior to vesting date of award</w:t>
            </w:r>
          </w:p>
        </w:tc>
        <w:tc>
          <w:tcPr>
            <w:tcW w:w="1500" w:type="dxa"/>
            <w:vAlign w:val="bottom"/>
            <w:tcBorders>
              <w:bottom w:val="single" w:sz="8" w:color="auto"/>
              <w:right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23"/>
        </w:trPr>
        <w:tc>
          <w:tcPr>
            <w:tcW w:w="87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Actually Paid to non-PEO NEOs</w:t>
            </w:r>
          </w:p>
        </w:tc>
        <w:tc>
          <w:tcPr>
            <w:tcW w:w="150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$1,951,787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12" w:hanging="412"/>
        <w:spacing w:after="0" w:line="262" w:lineRule="auto"/>
        <w:tabs>
          <w:tab w:leader="none" w:pos="4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each of fiscal 2026, 2025, 2024, 2023 and 2022, total shareholder return ("TSR") for the company and the peer group was calculated based on a deemed fixed investment of $100 at market close on March 26, 2021 (the last trading day of fiscal year 2021) through and including the end of the fiscal year for each year reported in the table. Our peer group is the Nasdaq Industrial Index, which is the industry line of business index used to show our performance in our Form 10-K.</w:t>
      </w:r>
    </w:p>
    <w:p>
      <w:pPr>
        <w:spacing w:after="0" w:line="311" w:lineRule="exact"/>
        <w:rPr>
          <w:rFonts w:ascii="Arial" w:cs="Arial" w:eastAsia="Arial" w:hAnsi="Arial"/>
          <w:sz w:val="18"/>
          <w:szCs w:val="18"/>
          <w:color w:val="auto"/>
        </w:rPr>
      </w:pPr>
    </w:p>
    <w:p>
      <w:pPr>
        <w:ind w:left="412" w:right="80" w:hanging="412"/>
        <w:spacing w:after="0" w:line="268" w:lineRule="auto"/>
        <w:tabs>
          <w:tab w:leader="none" w:pos="4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company-selected measure, which is the measure we believe represents the most important financial performance not otherwise presented in the table above that we use to link compensation actually paid to our NEOs for fiscal 2026 to our company's performance, is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52"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Pay Versus Performance Relationship Descriptions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graphical comparisons provide descriptions of the relationships between certain figures included in the Pay Versus Performance Table for each of fiscal 2026, 2025, 2024, 2023 and 2022, including comparisons between (i) the compensation actually paid to the PEO and the average compensation actually paid to our non-PEO NEOs and (ii) each of the following performance measures set forth in the Pay Versus Performance Table - Total Shareholder Return, Net Income and Income before Income Taxes. Income before Income Taxes is used in both of our annual and long-term incentive programs and is the only corporate performance measure that is used to determine incentive plan payouts for all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243070" cy="6951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43070" cy="6951980"/>
                    </a:xfrm>
                    <a:prstGeom prst="rect">
                      <a:avLst/>
                    </a:prstGeom>
                    <a:noFill/>
                  </pic:spPr>
                </pic:pic>
              </a:graphicData>
            </a:graphic>
          </wp:anchor>
        </w:drawing>
      </w:r>
    </w:p>
    <w:p>
      <w:pPr>
        <w:sectPr>
          <w:pgSz w:w="11900" w:h="16838" w:orient="portrait"/>
          <w:cols w:equalWidth="0" w:num="1">
            <w:col w:w="11180"/>
          </w:cols>
          <w:pgMar w:left="320" w:top="10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4" w:right="39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4243070" cy="3291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24307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List of Important Financial Performance Measures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list the most important financial performance measures we used to link Compensation Actually Paid to our named executive officers for fiscal 2026 to our performance.</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named executive officers other than Mr. Lange: and Mr.</w:t>
      </w:r>
    </w:p>
    <w:p>
      <w:pPr>
        <w:ind w:left="20"/>
        <w:spacing w:after="0"/>
        <w:rPr>
          <w:sz w:val="20"/>
          <w:szCs w:val="20"/>
          <w:color w:val="auto"/>
        </w:rPr>
      </w:pPr>
      <w:r>
        <w:rPr>
          <w:rFonts w:ascii="Arial" w:cs="Arial" w:eastAsia="Arial" w:hAnsi="Arial"/>
          <w:sz w:val="18"/>
          <w:szCs w:val="18"/>
          <w:color w:val="auto"/>
        </w:rPr>
        <w:t>Mangine: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898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8985" cy="1625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Lange: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43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65730" cy="43751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Water Treatment segment operational performance</w:t>
      </w:r>
    </w:p>
    <w:p>
      <w:pPr>
        <w:ind w:left="40"/>
        <w:spacing w:after="0"/>
        <w:rPr>
          <w:sz w:val="20"/>
          <w:szCs w:val="20"/>
          <w:color w:val="auto"/>
        </w:rPr>
      </w:pPr>
      <w:r>
        <w:rPr>
          <w:rFonts w:ascii="Arial" w:cs="Arial" w:eastAsia="Arial" w:hAnsi="Arial"/>
          <w:sz w:val="18"/>
          <w:szCs w:val="18"/>
          <w:color w:val="auto"/>
        </w:rPr>
        <w:t>measure (1)</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Mangine: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436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65730" cy="43688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Industrial Solutions segment operational</w:t>
      </w:r>
    </w:p>
    <w:p>
      <w:pPr>
        <w:ind w:left="40"/>
        <w:spacing w:after="0"/>
        <w:rPr>
          <w:sz w:val="20"/>
          <w:szCs w:val="20"/>
          <w:color w:val="auto"/>
        </w:rPr>
      </w:pPr>
      <w:r>
        <w:rPr>
          <w:rFonts w:ascii="Arial" w:cs="Arial" w:eastAsia="Arial" w:hAnsi="Arial"/>
          <w:sz w:val="18"/>
          <w:szCs w:val="18"/>
          <w:color w:val="auto"/>
        </w:rPr>
        <w:t>performance measure (1)</w:t>
      </w:r>
    </w:p>
    <w:p>
      <w:pPr>
        <w:spacing w:after="0" w:line="356"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operational performance measure includes operating income as a component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36" w:name="page37"/>
    <w:bookmarkEnd w:id="36"/>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1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our 2019 Plan or the Employee Stock Purchase Plan as of March 29, 2026.</w:t>
      </w:r>
    </w:p>
    <w:tbl>
      <w:tblPr>
        <w:tblLayout w:type="fixed"/>
        <w:tblInd w:w="10" w:type="dxa"/>
        <w:tblCellMar>
          <w:top w:w="0" w:type="dxa"/>
          <w:left w:w="0" w:type="dxa"/>
          <w:bottom w:w="0" w:type="dxa"/>
          <w:right w:w="0" w:type="dxa"/>
        </w:tblCellMar>
      </w:tblPr>
      <w:tr>
        <w:trPr>
          <w:trHeight w:val="146"/>
        </w:trPr>
        <w:tc>
          <w:tcPr>
            <w:tcW w:w="4900" w:type="dxa"/>
            <w:vAlign w:val="bottom"/>
            <w:tcBorders>
              <w:top w:val="single" w:sz="8" w:color="auto"/>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Number of</w:t>
            </w:r>
          </w:p>
        </w:tc>
        <w:tc>
          <w:tcPr>
            <w:tcW w:w="1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00" w:type="dxa"/>
            <w:vAlign w:val="bottom"/>
            <w:tcBorders>
              <w:top w:val="single" w:sz="8" w:color="auto"/>
              <w:right w:val="single" w:sz="8" w:color="auto"/>
            </w:tcBorders>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Securities to Be</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230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4"/>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Issued upon</w:t>
            </w:r>
          </w:p>
        </w:tc>
        <w:tc>
          <w:tcPr>
            <w:tcW w:w="1840" w:type="dxa"/>
            <w:vAlign w:val="bottom"/>
            <w:gridSpan w:val="2"/>
            <w:vMerge w:val="continue"/>
          </w:tcPr>
          <w:p>
            <w:pPr>
              <w:spacing w:after="0"/>
              <w:rPr>
                <w:sz w:val="12"/>
                <w:szCs w:val="12"/>
                <w:color w:val="auto"/>
              </w:rPr>
            </w:pPr>
          </w:p>
        </w:tc>
        <w:tc>
          <w:tcPr>
            <w:tcW w:w="2300" w:type="dxa"/>
            <w:vAlign w:val="bottom"/>
            <w:tcBorders>
              <w:right w:val="single" w:sz="8" w:color="auto"/>
            </w:tcBorders>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Exercise of</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Price of</w:t>
            </w:r>
          </w:p>
        </w:tc>
        <w:tc>
          <w:tcPr>
            <w:tcW w:w="2300" w:type="dxa"/>
            <w:vAlign w:val="bottom"/>
            <w:tcBorders>
              <w:right w:val="single" w:sz="8" w:color="auto"/>
            </w:tcBorders>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9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Outstanding</w:t>
            </w:r>
          </w:p>
        </w:tc>
        <w:tc>
          <w:tcPr>
            <w:tcW w:w="230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50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89"/>
        </w:trPr>
        <w:tc>
          <w:tcPr>
            <w:tcW w:w="5000" w:type="dxa"/>
            <w:vAlign w:val="bottom"/>
            <w:tcBorders>
              <w:left w:val="single" w:sz="8" w:color="auto"/>
            </w:tcBorders>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Rights (a)</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Rights ($)</w:t>
            </w:r>
          </w:p>
        </w:tc>
        <w:tc>
          <w:tcPr>
            <w:tcW w:w="230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rPr>
              <w:t>the first column) (b)</w:t>
            </w:r>
          </w:p>
        </w:tc>
        <w:tc>
          <w:tcPr>
            <w:tcW w:w="0" w:type="dxa"/>
            <w:vAlign w:val="bottom"/>
          </w:tcPr>
          <w:p>
            <w:pPr>
              <w:spacing w:after="0"/>
              <w:rPr>
                <w:sz w:val="1"/>
                <w:szCs w:val="1"/>
                <w:color w:val="auto"/>
              </w:rPr>
            </w:pPr>
          </w:p>
        </w:tc>
      </w:tr>
      <w:tr>
        <w:trPr>
          <w:trHeight w:val="218"/>
        </w:trPr>
        <w:tc>
          <w:tcPr>
            <w:tcW w:w="49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right"/>
              <w:ind w:right="3"/>
              <w:spacing w:after="0"/>
              <w:rPr>
                <w:sz w:val="20"/>
                <w:szCs w:val="20"/>
                <w:color w:val="auto"/>
              </w:rPr>
            </w:pPr>
            <w:r>
              <w:rPr>
                <w:rFonts w:ascii="Arial" w:cs="Arial" w:eastAsia="Arial" w:hAnsi="Arial"/>
                <w:sz w:val="18"/>
                <w:szCs w:val="18"/>
                <w:color w:val="auto"/>
              </w:rPr>
              <w:t>58,353</w:t>
            </w:r>
          </w:p>
        </w:tc>
        <w:tc>
          <w:tcPr>
            <w:tcW w:w="100" w:type="dxa"/>
            <w:vAlign w:val="bottom"/>
          </w:tcPr>
          <w:p>
            <w:pPr>
              <w:spacing w:after="0"/>
              <w:rPr>
                <w:sz w:val="18"/>
                <w:szCs w:val="18"/>
                <w:color w:val="auto"/>
              </w:rPr>
            </w:pPr>
          </w:p>
        </w:tc>
        <w:tc>
          <w:tcPr>
            <w:tcW w:w="172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1,101,733</w:t>
            </w:r>
          </w:p>
        </w:tc>
        <w:tc>
          <w:tcPr>
            <w:tcW w:w="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rPr>
              <w:t>58,353</w:t>
            </w:r>
          </w:p>
        </w:tc>
        <w:tc>
          <w:tcPr>
            <w:tcW w:w="100" w:type="dxa"/>
            <w:vAlign w:val="bottom"/>
            <w:tcBorders>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1,101,733</w:t>
            </w:r>
          </w:p>
        </w:tc>
        <w:tc>
          <w:tcPr>
            <w:tcW w:w="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420" w:hanging="412"/>
        <w:spacing w:after="0" w:line="262" w:lineRule="auto"/>
        <w:tabs>
          <w:tab w:leader="none" w:pos="446" w:val="left"/>
        </w:tabs>
        <w:numPr>
          <w:ilvl w:val="0"/>
          <w:numId w:val="34"/>
        </w:numPr>
        <w:rPr>
          <w:rFonts w:ascii="Arial" w:cs="Arial" w:eastAsia="Arial" w:hAnsi="Arial"/>
          <w:sz w:val="20"/>
          <w:szCs w:val="20"/>
          <w:color w:val="auto"/>
        </w:rPr>
      </w:pPr>
      <w:r>
        <w:rPr>
          <w:rFonts w:ascii="Arial" w:cs="Arial" w:eastAsia="Arial" w:hAnsi="Arial"/>
          <w:sz w:val="18"/>
          <w:szCs w:val="18"/>
          <w:color w:val="auto"/>
        </w:rPr>
        <w:t>Represents securities available for issuance under the 2019 Plan pursuant to performance-based restricted stock unit awards as of the end of fiscal 2026. A total of 38,224 shares of restricted stock were issued in settlement of these awards subsequent to the end of fiscal 2026.</w:t>
      </w:r>
    </w:p>
    <w:p>
      <w:pPr>
        <w:spacing w:after="0" w:line="53" w:lineRule="exact"/>
        <w:rPr>
          <w:rFonts w:ascii="Arial" w:cs="Arial" w:eastAsia="Arial" w:hAnsi="Arial"/>
          <w:sz w:val="20"/>
          <w:szCs w:val="20"/>
          <w:color w:val="auto"/>
        </w:rPr>
      </w:pPr>
    </w:p>
    <w:p>
      <w:pPr>
        <w:ind w:left="420" w:right="400" w:hanging="412"/>
        <w:spacing w:after="0" w:line="287"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976,312 shares available for future issuance under the 2019 Plan and 125,421 shares available for issuance under the Employee Stock Purchase Plan.</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bookmarkStart w:id="37" w:name="page38"/>
    <w:bookmarkEnd w:id="37"/>
    <w:p>
      <w:pPr>
        <w:spacing w:after="0"/>
        <w:rPr>
          <w:sz w:val="20"/>
          <w:szCs w:val="20"/>
          <w:color w:val="auto"/>
        </w:rPr>
      </w:pPr>
      <w:r>
        <w:rPr>
          <w:rFonts w:ascii="Arial" w:cs="Arial" w:eastAsia="Arial" w:hAnsi="Arial"/>
          <w:sz w:val="25"/>
          <w:szCs w:val="25"/>
          <w:b w:val="1"/>
          <w:bCs w:val="1"/>
          <w:color w:val="auto"/>
        </w:rPr>
        <w:t>SECURITY OWNERSHIP OF MANAGEMENT AND BENEFICIAL OWNERSHIP</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contains information as of June 5, 2026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6400" w:type="dxa"/>
            <w:vAlign w:val="bottom"/>
            <w:tcBorders>
              <w:top w:val="single" w:sz="8" w:color="auto"/>
              <w:lef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Number of Shares</w:t>
            </w:r>
          </w:p>
        </w:tc>
        <w:tc>
          <w:tcPr>
            <w:tcW w:w="7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80" w:type="dxa"/>
            <w:vAlign w:val="bottom"/>
            <w:tcBorders>
              <w:top w:val="single" w:sz="8" w:color="auto"/>
              <w:right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4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Beneficially</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0" w:type="dxa"/>
            <w:vAlign w:val="bottom"/>
            <w:tcBorders>
              <w:lef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Owned (a)</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Borders>
              <w:right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6400" w:type="dxa"/>
            <w:vAlign w:val="bottom"/>
            <w:tcBorders>
              <w:top w:val="single" w:sz="8" w:color="auto"/>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00" w:type="dxa"/>
            <w:vAlign w:val="bottom"/>
            <w:tcBorders>
              <w:top w:val="single" w:sz="8" w:color="B3B3B3"/>
            </w:tcBorders>
            <w:shd w:val="clear" w:color="auto" w:fill="B3B3B3"/>
          </w:tcPr>
          <w:p>
            <w:pPr>
              <w:spacing w:after="0"/>
              <w:rPr>
                <w:sz w:val="19"/>
                <w:szCs w:val="19"/>
                <w:color w:val="auto"/>
              </w:rPr>
            </w:pPr>
          </w:p>
        </w:tc>
        <w:tc>
          <w:tcPr>
            <w:tcW w:w="1820" w:type="dxa"/>
            <w:vAlign w:val="bottom"/>
            <w:tcBorders>
              <w:top w:val="single" w:sz="8" w:color="auto"/>
            </w:tcBorders>
            <w:shd w:val="clear" w:color="auto" w:fill="B3B3B3"/>
          </w:tcPr>
          <w:p>
            <w:pPr>
              <w:jc w:val="right"/>
              <w:ind w:right="4"/>
              <w:spacing w:after="0"/>
              <w:rPr>
                <w:sz w:val="20"/>
                <w:szCs w:val="20"/>
                <w:color w:val="auto"/>
              </w:rPr>
            </w:pPr>
            <w:r>
              <w:rPr>
                <w:rFonts w:ascii="Arial" w:cs="Arial" w:eastAsia="Arial" w:hAnsi="Arial"/>
                <w:sz w:val="18"/>
                <w:szCs w:val="18"/>
                <w:color w:val="auto"/>
              </w:rPr>
              <w:t>52,407</w:t>
            </w:r>
          </w:p>
        </w:tc>
        <w:tc>
          <w:tcPr>
            <w:tcW w:w="100" w:type="dxa"/>
            <w:vAlign w:val="bottom"/>
            <w:tcBorders>
              <w:top w:val="single" w:sz="8" w:color="B3B3B3"/>
            </w:tcBorders>
            <w:shd w:val="clear" w:color="auto" w:fill="B3B3B3"/>
          </w:tcPr>
          <w:p>
            <w:pPr>
              <w:spacing w:after="0"/>
              <w:rPr>
                <w:sz w:val="19"/>
                <w:szCs w:val="19"/>
                <w:color w:val="auto"/>
              </w:rPr>
            </w:pPr>
          </w:p>
        </w:tc>
        <w:tc>
          <w:tcPr>
            <w:tcW w:w="740" w:type="dxa"/>
            <w:vAlign w:val="bottom"/>
            <w:tcBorders>
              <w:top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(b)</w:t>
            </w:r>
          </w:p>
        </w:tc>
        <w:tc>
          <w:tcPr>
            <w:tcW w:w="240" w:type="dxa"/>
            <w:vAlign w:val="bottom"/>
            <w:tcBorders>
              <w:top w:val="single" w:sz="8" w:color="B3B3B3"/>
            </w:tcBorders>
            <w:shd w:val="clear" w:color="auto" w:fill="B3B3B3"/>
          </w:tcPr>
          <w:p>
            <w:pPr>
              <w:spacing w:after="0"/>
              <w:rPr>
                <w:sz w:val="19"/>
                <w:szCs w:val="19"/>
                <w:color w:val="auto"/>
              </w:rPr>
            </w:pPr>
          </w:p>
        </w:tc>
        <w:tc>
          <w:tcPr>
            <w:tcW w:w="1680" w:type="dxa"/>
            <w:vAlign w:val="bottom"/>
            <w:tcBorders>
              <w:top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347,800</w:t>
            </w:r>
          </w:p>
        </w:tc>
        <w:tc>
          <w:tcPr>
            <w:tcW w:w="1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(c)(d)</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Mary J. Schumacher</w:t>
            </w:r>
          </w:p>
        </w:tc>
        <w:tc>
          <w:tcPr>
            <w:tcW w:w="192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26,177</w:t>
            </w:r>
          </w:p>
        </w:tc>
        <w:tc>
          <w:tcPr>
            <w:tcW w:w="100" w:type="dxa"/>
            <w:vAlign w:val="bottom"/>
            <w:shd w:val="clear" w:color="auto" w:fill="B3B3B3"/>
          </w:tcPr>
          <w:p>
            <w:pPr>
              <w:spacing w:after="0"/>
              <w:rPr>
                <w:sz w:val="19"/>
                <w:szCs w:val="19"/>
                <w:color w:val="auto"/>
              </w:rPr>
            </w:pPr>
          </w:p>
        </w:tc>
        <w:tc>
          <w:tcPr>
            <w:tcW w:w="980" w:type="dxa"/>
            <w:vAlign w:val="bottom"/>
            <w:gridSpan w:val="2"/>
            <w:shd w:val="clear" w:color="auto" w:fill="B3B3B3"/>
          </w:tcPr>
          <w:p>
            <w:pPr>
              <w:ind w:left="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E. Spethmann</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Daniel J. Stauber</w:t>
            </w:r>
          </w:p>
        </w:tc>
        <w:tc>
          <w:tcPr>
            <w:tcW w:w="192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34,660</w:t>
            </w:r>
          </w:p>
        </w:tc>
        <w:tc>
          <w:tcPr>
            <w:tcW w:w="100" w:type="dxa"/>
            <w:vAlign w:val="bottom"/>
            <w:shd w:val="clear" w:color="auto" w:fill="B3B3B3"/>
          </w:tcPr>
          <w:p>
            <w:pPr>
              <w:spacing w:after="0"/>
              <w:rPr>
                <w:sz w:val="19"/>
                <w:szCs w:val="19"/>
                <w:color w:val="auto"/>
              </w:rPr>
            </w:pPr>
          </w:p>
        </w:tc>
        <w:tc>
          <w:tcPr>
            <w:tcW w:w="980" w:type="dxa"/>
            <w:vAlign w:val="bottom"/>
            <w:gridSpan w:val="2"/>
            <w:shd w:val="clear" w:color="auto" w:fill="B3B3B3"/>
          </w:tcPr>
          <w:p>
            <w:pPr>
              <w:ind w:left="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T. Thompson</w:t>
            </w:r>
          </w:p>
        </w:tc>
        <w:tc>
          <w:tcPr>
            <w:tcW w:w="192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38,195</w:t>
            </w:r>
          </w:p>
        </w:tc>
        <w:tc>
          <w:tcPr>
            <w:tcW w:w="100" w:type="dxa"/>
            <w:vAlign w:val="bottom"/>
            <w:shd w:val="clear" w:color="auto" w:fill="B3B3B3"/>
          </w:tcPr>
          <w:p>
            <w:pPr>
              <w:spacing w:after="0"/>
              <w:rPr>
                <w:sz w:val="19"/>
                <w:szCs w:val="19"/>
                <w:color w:val="auto"/>
              </w:rPr>
            </w:pPr>
          </w:p>
        </w:tc>
        <w:tc>
          <w:tcPr>
            <w:tcW w:w="980" w:type="dxa"/>
            <w:vAlign w:val="bottom"/>
            <w:gridSpan w:val="2"/>
            <w:shd w:val="clear" w:color="auto" w:fill="B3B3B3"/>
          </w:tcPr>
          <w:p>
            <w:pPr>
              <w:ind w:left="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42,195</w:t>
            </w:r>
          </w:p>
        </w:tc>
        <w:tc>
          <w:tcPr>
            <w:tcW w:w="1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192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56,682</w:t>
            </w:r>
          </w:p>
        </w:tc>
        <w:tc>
          <w:tcPr>
            <w:tcW w:w="100" w:type="dxa"/>
            <w:vAlign w:val="bottom"/>
            <w:shd w:val="clear" w:color="auto" w:fill="B3B3B3"/>
          </w:tcPr>
          <w:p>
            <w:pPr>
              <w:spacing w:after="0"/>
              <w:rPr>
                <w:sz w:val="19"/>
                <w:szCs w:val="19"/>
                <w:color w:val="auto"/>
              </w:rPr>
            </w:pPr>
          </w:p>
        </w:tc>
        <w:tc>
          <w:tcPr>
            <w:tcW w:w="980" w:type="dxa"/>
            <w:vAlign w:val="bottom"/>
            <w:gridSpan w:val="2"/>
            <w:shd w:val="clear" w:color="auto" w:fill="B3B3B3"/>
          </w:tcPr>
          <w:p>
            <w:pPr>
              <w:ind w:left="20"/>
              <w:spacing w:after="0"/>
              <w:rPr>
                <w:sz w:val="20"/>
                <w:szCs w:val="20"/>
                <w:color w:val="auto"/>
              </w:rPr>
            </w:pPr>
            <w:r>
              <w:rPr>
                <w:rFonts w:ascii="Arial" w:cs="Arial" w:eastAsia="Arial" w:hAnsi="Arial"/>
                <w:sz w:val="18"/>
                <w:szCs w:val="18"/>
                <w:color w:val="auto"/>
              </w:rPr>
              <w:t>(d)(f)</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Drew M. Grahek</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38,040</w:t>
            </w:r>
          </w:p>
        </w:tc>
        <w:tc>
          <w:tcPr>
            <w:tcW w:w="1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(d)(g)</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Douglas A. Lange</w:t>
            </w:r>
          </w:p>
        </w:tc>
        <w:tc>
          <w:tcPr>
            <w:tcW w:w="192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28,844</w:t>
            </w:r>
          </w:p>
        </w:tc>
        <w:tc>
          <w:tcPr>
            <w:tcW w:w="100" w:type="dxa"/>
            <w:vAlign w:val="bottom"/>
            <w:shd w:val="clear" w:color="auto" w:fill="B3B3B3"/>
          </w:tcPr>
          <w:p>
            <w:pPr>
              <w:spacing w:after="0"/>
              <w:rPr>
                <w:sz w:val="19"/>
                <w:szCs w:val="19"/>
                <w:color w:val="auto"/>
              </w:rPr>
            </w:pPr>
          </w:p>
        </w:tc>
        <w:tc>
          <w:tcPr>
            <w:tcW w:w="980" w:type="dxa"/>
            <w:vAlign w:val="bottom"/>
            <w:gridSpan w:val="2"/>
            <w:shd w:val="clear" w:color="auto" w:fill="B3B3B3"/>
          </w:tcPr>
          <w:p>
            <w:pPr>
              <w:ind w:left="20"/>
              <w:spacing w:after="0"/>
              <w:rPr>
                <w:sz w:val="20"/>
                <w:szCs w:val="20"/>
                <w:color w:val="auto"/>
              </w:rPr>
            </w:pPr>
            <w:r>
              <w:rPr>
                <w:rFonts w:ascii="Arial" w:cs="Arial" w:eastAsia="Arial" w:hAnsi="Arial"/>
                <w:sz w:val="18"/>
                <w:szCs w:val="18"/>
                <w:color w:val="auto"/>
              </w:rPr>
              <w:t>(d)(h)</w:t>
            </w:r>
          </w:p>
        </w:tc>
        <w:tc>
          <w:tcPr>
            <w:tcW w:w="168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David J. Mangine</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37,573</w:t>
            </w:r>
          </w:p>
        </w:tc>
        <w:tc>
          <w:tcPr>
            <w:tcW w:w="1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(d)(i)</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Jeffrey P. Oldenkamp</w:t>
            </w:r>
          </w:p>
        </w:tc>
        <w:tc>
          <w:tcPr>
            <w:tcW w:w="192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104,315</w:t>
            </w:r>
          </w:p>
        </w:tc>
        <w:tc>
          <w:tcPr>
            <w:tcW w:w="100" w:type="dxa"/>
            <w:vAlign w:val="bottom"/>
            <w:shd w:val="clear" w:color="auto" w:fill="B3B3B3"/>
          </w:tcPr>
          <w:p>
            <w:pPr>
              <w:spacing w:after="0"/>
              <w:rPr>
                <w:sz w:val="19"/>
                <w:szCs w:val="19"/>
                <w:color w:val="auto"/>
              </w:rPr>
            </w:pPr>
          </w:p>
        </w:tc>
        <w:tc>
          <w:tcPr>
            <w:tcW w:w="980" w:type="dxa"/>
            <w:vAlign w:val="bottom"/>
            <w:gridSpan w:val="2"/>
            <w:shd w:val="clear" w:color="auto" w:fill="B3B3B3"/>
          </w:tcPr>
          <w:p>
            <w:pPr>
              <w:ind w:left="20"/>
              <w:spacing w:after="0"/>
              <w:rPr>
                <w:sz w:val="20"/>
                <w:szCs w:val="20"/>
                <w:color w:val="auto"/>
              </w:rPr>
            </w:pPr>
            <w:r>
              <w:rPr>
                <w:rFonts w:ascii="Arial" w:cs="Arial" w:eastAsia="Arial" w:hAnsi="Arial"/>
                <w:sz w:val="18"/>
                <w:szCs w:val="18"/>
                <w:color w:val="auto"/>
              </w:rPr>
              <w:t>(d)(j)</w:t>
            </w:r>
          </w:p>
        </w:tc>
        <w:tc>
          <w:tcPr>
            <w:tcW w:w="16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All current executive officers and directors as a group (14 persons)</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774,160</w:t>
            </w: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(d)(k)</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7"/>
        </w:trPr>
        <w:tc>
          <w:tcPr>
            <w:tcW w:w="64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BlackRock, Inc.</w:t>
            </w:r>
          </w:p>
        </w:tc>
        <w:tc>
          <w:tcPr>
            <w:tcW w:w="100" w:type="dxa"/>
            <w:vAlign w:val="bottom"/>
            <w:shd w:val="clear" w:color="auto" w:fill="B3B3B3"/>
          </w:tcPr>
          <w:p>
            <w:pPr>
              <w:spacing w:after="0"/>
              <w:rPr>
                <w:sz w:val="19"/>
                <w:szCs w:val="19"/>
                <w:color w:val="auto"/>
              </w:rPr>
            </w:pPr>
          </w:p>
        </w:tc>
        <w:tc>
          <w:tcPr>
            <w:tcW w:w="182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740" w:type="dxa"/>
            <w:vAlign w:val="bottom"/>
            <w:shd w:val="clear" w:color="auto" w:fill="B3B3B3"/>
          </w:tcPr>
          <w:p>
            <w:pPr>
              <w:spacing w:after="0"/>
              <w:rPr>
                <w:sz w:val="19"/>
                <w:szCs w:val="19"/>
                <w:color w:val="auto"/>
              </w:rPr>
            </w:pPr>
          </w:p>
        </w:tc>
        <w:tc>
          <w:tcPr>
            <w:tcW w:w="240" w:type="dxa"/>
            <w:vAlign w:val="bottom"/>
            <w:shd w:val="clear" w:color="auto" w:fill="B3B3B3"/>
          </w:tcPr>
          <w:p>
            <w:pPr>
              <w:spacing w:after="0"/>
              <w:rPr>
                <w:sz w:val="19"/>
                <w:szCs w:val="19"/>
                <w:color w:val="auto"/>
              </w:rPr>
            </w:pPr>
          </w:p>
        </w:tc>
        <w:tc>
          <w:tcPr>
            <w:tcW w:w="168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50 Hudson Yards, New York, NY 10001</w:t>
            </w:r>
          </w:p>
        </w:tc>
        <w:tc>
          <w:tcPr>
            <w:tcW w:w="1920" w:type="dxa"/>
            <w:vAlign w:val="bottom"/>
            <w:gridSpan w:val="2"/>
            <w:shd w:val="clear" w:color="auto" w:fill="B3B3B3"/>
          </w:tcPr>
          <w:p>
            <w:pPr>
              <w:jc w:val="right"/>
              <w:ind w:right="4"/>
              <w:spacing w:after="0"/>
              <w:rPr>
                <w:sz w:val="20"/>
                <w:szCs w:val="20"/>
                <w:color w:val="auto"/>
              </w:rPr>
            </w:pPr>
            <w:r>
              <w:rPr>
                <w:rFonts w:ascii="Arial" w:cs="Arial" w:eastAsia="Arial" w:hAnsi="Arial"/>
                <w:sz w:val="18"/>
                <w:szCs w:val="18"/>
                <w:color w:val="auto"/>
              </w:rPr>
              <w:t>3,160,991</w:t>
            </w:r>
          </w:p>
        </w:tc>
        <w:tc>
          <w:tcPr>
            <w:tcW w:w="100" w:type="dxa"/>
            <w:vAlign w:val="bottom"/>
            <w:shd w:val="clear" w:color="auto" w:fill="B3B3B3"/>
          </w:tcPr>
          <w:p>
            <w:pPr>
              <w:spacing w:after="0"/>
              <w:rPr>
                <w:sz w:val="19"/>
                <w:szCs w:val="19"/>
                <w:color w:val="auto"/>
              </w:rPr>
            </w:pPr>
          </w:p>
        </w:tc>
        <w:tc>
          <w:tcPr>
            <w:tcW w:w="980" w:type="dxa"/>
            <w:vAlign w:val="bottom"/>
            <w:gridSpan w:val="2"/>
            <w:shd w:val="clear" w:color="auto" w:fill="B3B3B3"/>
          </w:tcPr>
          <w:p>
            <w:pPr>
              <w:ind w:left="20"/>
              <w:spacing w:after="0"/>
              <w:rPr>
                <w:sz w:val="20"/>
                <w:szCs w:val="20"/>
                <w:color w:val="auto"/>
              </w:rPr>
            </w:pPr>
            <w:r>
              <w:rPr>
                <w:rFonts w:ascii="Arial" w:cs="Arial" w:eastAsia="Arial" w:hAnsi="Arial"/>
                <w:sz w:val="18"/>
                <w:szCs w:val="18"/>
                <w:color w:val="auto"/>
              </w:rPr>
              <w:t>(l)</w:t>
            </w:r>
          </w:p>
        </w:tc>
        <w:tc>
          <w:tcPr>
            <w:tcW w:w="1680" w:type="dxa"/>
            <w:vAlign w:val="bottom"/>
            <w:tcBorders>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24"/>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Kayne Anderson Rudnick Investment Management, LLC</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40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2000 Avenue of the Stars, Suite 1110, Los Angeles, CA 90067</w:t>
            </w:r>
          </w:p>
        </w:tc>
        <w:tc>
          <w:tcPr>
            <w:tcW w:w="1920" w:type="dxa"/>
            <w:vAlign w:val="bottom"/>
            <w:gridSpan w:val="2"/>
          </w:tcPr>
          <w:p>
            <w:pPr>
              <w:jc w:val="right"/>
              <w:ind w:right="4"/>
              <w:spacing w:after="0"/>
              <w:rPr>
                <w:sz w:val="20"/>
                <w:szCs w:val="20"/>
                <w:color w:val="auto"/>
              </w:rPr>
            </w:pPr>
            <w:r>
              <w:rPr>
                <w:rFonts w:ascii="Arial" w:cs="Arial" w:eastAsia="Arial" w:hAnsi="Arial"/>
                <w:sz w:val="18"/>
                <w:szCs w:val="18"/>
                <w:color w:val="auto"/>
              </w:rPr>
              <w:t>1,526,155</w:t>
            </w: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(m)</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State Street Corporation</w:t>
            </w:r>
          </w:p>
        </w:tc>
        <w:tc>
          <w:tcPr>
            <w:tcW w:w="100" w:type="dxa"/>
            <w:vAlign w:val="bottom"/>
            <w:shd w:val="clear" w:color="auto" w:fill="B3B3B3"/>
          </w:tcPr>
          <w:p>
            <w:pPr>
              <w:spacing w:after="0"/>
              <w:rPr>
                <w:sz w:val="19"/>
                <w:szCs w:val="19"/>
                <w:color w:val="auto"/>
              </w:rPr>
            </w:pPr>
          </w:p>
        </w:tc>
        <w:tc>
          <w:tcPr>
            <w:tcW w:w="182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740" w:type="dxa"/>
            <w:vAlign w:val="bottom"/>
            <w:shd w:val="clear" w:color="auto" w:fill="B3B3B3"/>
          </w:tcPr>
          <w:p>
            <w:pPr>
              <w:spacing w:after="0"/>
              <w:rPr>
                <w:sz w:val="19"/>
                <w:szCs w:val="19"/>
                <w:color w:val="auto"/>
              </w:rPr>
            </w:pPr>
          </w:p>
        </w:tc>
        <w:tc>
          <w:tcPr>
            <w:tcW w:w="240" w:type="dxa"/>
            <w:vAlign w:val="bottom"/>
            <w:shd w:val="clear" w:color="auto" w:fill="B3B3B3"/>
          </w:tcPr>
          <w:p>
            <w:pPr>
              <w:spacing w:after="0"/>
              <w:rPr>
                <w:sz w:val="19"/>
                <w:szCs w:val="19"/>
                <w:color w:val="auto"/>
              </w:rPr>
            </w:pPr>
          </w:p>
        </w:tc>
        <w:tc>
          <w:tcPr>
            <w:tcW w:w="168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bottom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One Congress Street, Suite 1, Boston, MA 02114</w:t>
            </w:r>
          </w:p>
        </w:tc>
        <w:tc>
          <w:tcPr>
            <w:tcW w:w="1920" w:type="dxa"/>
            <w:vAlign w:val="bottom"/>
            <w:tcBorders>
              <w:bottom w:val="single" w:sz="8" w:color="auto"/>
            </w:tcBorders>
            <w:gridSpan w:val="2"/>
            <w:shd w:val="clear" w:color="auto" w:fill="B3B3B3"/>
          </w:tcPr>
          <w:p>
            <w:pPr>
              <w:jc w:val="right"/>
              <w:ind w:right="4"/>
              <w:spacing w:after="0"/>
              <w:rPr>
                <w:sz w:val="20"/>
                <w:szCs w:val="20"/>
                <w:color w:val="auto"/>
              </w:rPr>
            </w:pPr>
            <w:r>
              <w:rPr>
                <w:rFonts w:ascii="Arial" w:cs="Arial" w:eastAsia="Arial" w:hAnsi="Arial"/>
                <w:sz w:val="18"/>
                <w:szCs w:val="18"/>
                <w:color w:val="auto"/>
              </w:rPr>
              <w:t>1,043,806</w:t>
            </w:r>
          </w:p>
        </w:tc>
        <w:tc>
          <w:tcPr>
            <w:tcW w:w="100" w:type="dxa"/>
            <w:vAlign w:val="bottom"/>
            <w:tcBorders>
              <w:bottom w:val="single" w:sz="8" w:color="auto"/>
            </w:tcBorders>
            <w:shd w:val="clear" w:color="auto" w:fill="B3B3B3"/>
          </w:tcPr>
          <w:p>
            <w:pPr>
              <w:spacing w:after="0"/>
              <w:rPr>
                <w:sz w:val="19"/>
                <w:szCs w:val="19"/>
                <w:color w:val="auto"/>
              </w:rPr>
            </w:pPr>
          </w:p>
        </w:tc>
        <w:tc>
          <w:tcPr>
            <w:tcW w:w="980" w:type="dxa"/>
            <w:vAlign w:val="bottom"/>
            <w:tcBorders>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(n)</w:t>
            </w:r>
          </w:p>
        </w:tc>
        <w:tc>
          <w:tcPr>
            <w:tcW w:w="1680" w:type="dxa"/>
            <w:vAlign w:val="bottom"/>
            <w:tcBorders>
              <w:bottom w:val="single" w:sz="8" w:color="auto"/>
              <w:right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60" w:hanging="271"/>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04" w:lineRule="exact"/>
        <w:rPr>
          <w:sz w:val="20"/>
          <w:szCs w:val="20"/>
          <w:color w:val="auto"/>
        </w:rPr>
      </w:pPr>
    </w:p>
    <w:p>
      <w:pPr>
        <w:ind w:left="420" w:right="200" w:hanging="372"/>
        <w:spacing w:after="0" w:line="287"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otherwise noted, all shares shown are held by shareholders possessing sole voting and investment power with respect to such shares.</w:t>
      </w:r>
    </w:p>
    <w:p>
      <w:pPr>
        <w:spacing w:after="0" w:line="17" w:lineRule="exact"/>
        <w:rPr>
          <w:rFonts w:ascii="Arial" w:cs="Arial" w:eastAsia="Arial" w:hAnsi="Arial"/>
          <w:sz w:val="18"/>
          <w:szCs w:val="18"/>
          <w:color w:val="auto"/>
        </w:rPr>
      </w:pPr>
    </w:p>
    <w:p>
      <w:pPr>
        <w:ind w:left="420" w:right="300" w:hanging="372"/>
        <w:spacing w:after="0" w:line="287"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51,779 shares that Mr. Faulconbridge holds jointly with his wife as to which he shares voting and investment power and 628 shares of restricted stock, which shares vest and the related restrictions expire on July 30, 2026.</w:t>
      </w:r>
    </w:p>
    <w:p>
      <w:pPr>
        <w:spacing w:after="0" w:line="31" w:lineRule="exact"/>
        <w:rPr>
          <w:rFonts w:ascii="Arial" w:cs="Arial" w:eastAsia="Arial" w:hAnsi="Arial"/>
          <w:sz w:val="18"/>
          <w:szCs w:val="18"/>
          <w:color w:val="auto"/>
        </w:rPr>
      </w:pPr>
    </w:p>
    <w:p>
      <w:pPr>
        <w:ind w:left="420" w:right="140" w:hanging="372"/>
        <w:spacing w:after="0" w:line="268"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26,075 shares representing the beneficial interest of Mr. Hawkins in the ESOP 22,114 shares of restricted stock, which shares vest and the related restrictions expire on March 29, 2027, and 16,934 shares of restricted stock, which shares vest and the related restrictions expire on April 3, 2028.</w:t>
      </w:r>
    </w:p>
    <w:p>
      <w:pPr>
        <w:spacing w:after="0" w:line="49" w:lineRule="exact"/>
        <w:rPr>
          <w:rFonts w:ascii="Arial" w:cs="Arial" w:eastAsia="Arial" w:hAnsi="Arial"/>
          <w:sz w:val="18"/>
          <w:szCs w:val="18"/>
          <w:color w:val="auto"/>
        </w:rPr>
      </w:pPr>
    </w:p>
    <w:p>
      <w:pPr>
        <w:ind w:left="320" w:hanging="27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90" w:lineRule="exact"/>
        <w:rPr>
          <w:rFonts w:ascii="Arial" w:cs="Arial" w:eastAsia="Arial" w:hAnsi="Arial"/>
          <w:sz w:val="18"/>
          <w:szCs w:val="18"/>
          <w:color w:val="auto"/>
        </w:rPr>
      </w:pPr>
    </w:p>
    <w:p>
      <w:pPr>
        <w:ind w:left="320" w:hanging="27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628 shares of restricted stock, which shares vest and the related restrictions expire on July 30, 2026.</w:t>
      </w:r>
    </w:p>
    <w:p>
      <w:pPr>
        <w:spacing w:after="0" w:line="103" w:lineRule="exact"/>
        <w:rPr>
          <w:rFonts w:ascii="Arial" w:cs="Arial" w:eastAsia="Arial" w:hAnsi="Arial"/>
          <w:sz w:val="18"/>
          <w:szCs w:val="18"/>
          <w:color w:val="auto"/>
        </w:rPr>
      </w:pPr>
    </w:p>
    <w:p>
      <w:pPr>
        <w:ind w:left="420" w:right="120" w:hanging="372"/>
        <w:spacing w:after="0" w:line="268" w:lineRule="auto"/>
        <w:tabs>
          <w:tab w:leader="none" w:pos="2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2,450 shares representing the beneficial interest of Mr. Erstad in the ESOP, 4,442 shares of restricted stock, which shares vest and the related restrictions expire on March 29, 2027, and 2,382 shares of restricted stock, which shares vest and the related restrictions expire on April 3, 2028.</w:t>
      </w:r>
    </w:p>
    <w:p>
      <w:pPr>
        <w:spacing w:after="0" w:line="49" w:lineRule="exact"/>
        <w:rPr>
          <w:rFonts w:ascii="Arial" w:cs="Arial" w:eastAsia="Arial" w:hAnsi="Arial"/>
          <w:sz w:val="18"/>
          <w:szCs w:val="18"/>
          <w:color w:val="auto"/>
        </w:rPr>
      </w:pPr>
    </w:p>
    <w:p>
      <w:pPr>
        <w:ind w:left="420" w:right="140" w:hanging="372"/>
        <w:spacing w:after="0" w:line="268"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905 shares representing the beneficial interest of Mr. Grahek in the ESOP, 5,035 shares of restricted stock, which shares vest and the related restrictions expire on March 29, 2027, and 2,697 shares of restricted stock, which shares vest and the related restrictions expire on April 3, 2028.</w:t>
      </w:r>
    </w:p>
    <w:p>
      <w:pPr>
        <w:spacing w:after="0" w:line="35" w:lineRule="exact"/>
        <w:rPr>
          <w:rFonts w:ascii="Arial" w:cs="Arial" w:eastAsia="Arial" w:hAnsi="Arial"/>
          <w:sz w:val="18"/>
          <w:szCs w:val="18"/>
          <w:color w:val="auto"/>
        </w:rPr>
      </w:pPr>
    </w:p>
    <w:p>
      <w:pPr>
        <w:ind w:left="420" w:right="240" w:hanging="372"/>
        <w:spacing w:after="0" w:line="268"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756 shares representing the beneficial interest of Mr. Lange in the ESOP, 3,553 shares of restricted stock, which shares vest and the related restrictions expire on March 29, 2027, and 1,994 shares of restricted stock, which shares vest and the related restrictions expire on April 3, 2028.</w:t>
      </w:r>
    </w:p>
    <w:p>
      <w:pPr>
        <w:sectPr>
          <w:pgSz w:w="11900" w:h="16838" w:orient="portrait"/>
          <w:cols w:equalWidth="0" w:num="1">
            <w:col w:w="11160"/>
          </w:cols>
          <w:pgMar w:left="320" w:top="885" w:right="41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5" w:right="419" w:bottom="1440" w:gutter="0" w:footer="0" w:header="0"/>
          <w:type w:val="continuous"/>
        </w:sectPr>
      </w:pPr>
    </w:p>
    <w:bookmarkStart w:id="38" w:name="page39"/>
    <w:bookmarkEnd w:id="38"/>
    <w:p>
      <w:pPr>
        <w:ind w:left="420" w:right="20" w:hanging="372"/>
        <w:spacing w:after="0" w:line="268"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9,780 shares representing the beneficial interest of Mr. Mangine in the ESOP, 3,553 shares of restricted stock, which shares vest and the related restrictions expire on March 29, 2027, and 1,906 shares of restricted stock, which shares vest and the related restrictions expire on April 3, 2028.</w:t>
      </w:r>
    </w:p>
    <w:p>
      <w:pPr>
        <w:spacing w:after="0" w:line="35" w:lineRule="exact"/>
        <w:rPr>
          <w:rFonts w:ascii="Arial" w:cs="Arial" w:eastAsia="Arial" w:hAnsi="Arial"/>
          <w:sz w:val="18"/>
          <w:szCs w:val="18"/>
          <w:color w:val="auto"/>
        </w:rPr>
      </w:pPr>
    </w:p>
    <w:p>
      <w:pPr>
        <w:jc w:val="both"/>
        <w:ind w:left="420" w:right="500" w:hanging="372"/>
        <w:spacing w:after="0" w:line="268" w:lineRule="auto"/>
        <w:tabs>
          <w:tab w:leader="none" w:pos="4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1,495 shares representing the beneficial interest of Mr. Oldenkamp in the ESOP, 15,757 shares of restricted stock, which shares vest and the related restrictions expire on March 29, 2027, and 8,435 shares of restricted stock, which shares vest and the related restrictions expire on April 3, 2028.</w:t>
      </w:r>
    </w:p>
    <w:p>
      <w:pPr>
        <w:spacing w:after="0" w:line="49" w:lineRule="exact"/>
        <w:rPr>
          <w:rFonts w:ascii="Arial" w:cs="Arial" w:eastAsia="Arial" w:hAnsi="Arial"/>
          <w:sz w:val="18"/>
          <w:szCs w:val="18"/>
          <w:color w:val="auto"/>
        </w:rPr>
      </w:pPr>
    </w:p>
    <w:p>
      <w:pPr>
        <w:ind w:left="460" w:hanging="41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105,597 shares representing the beneficial interest of all the officers and directors as of June 5, 2026 in the ESOP.</w:t>
      </w:r>
    </w:p>
    <w:p>
      <w:pPr>
        <w:spacing w:after="0" w:line="103" w:lineRule="exact"/>
        <w:rPr>
          <w:rFonts w:ascii="Arial" w:cs="Arial" w:eastAsia="Arial" w:hAnsi="Arial"/>
          <w:sz w:val="18"/>
          <w:szCs w:val="18"/>
          <w:color w:val="auto"/>
        </w:rPr>
      </w:pPr>
    </w:p>
    <w:p>
      <w:pPr>
        <w:ind w:left="420" w:hanging="372"/>
        <w:spacing w:after="0" w:line="262" w:lineRule="auto"/>
        <w:tabs>
          <w:tab w:leader="none" w:pos="4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Schedule 13G/A filed with the SEC by BlackRock, Inc. on January 21, 2026, reflecting securities beneficially owned as of December 31, 2025. BlackRock, Inc. reported sole voting power with respect to 3,123,234 shares, sole dispositive power with respect to all of the shares, shared voting power with respect to none of the shares and shared dispositive power with respect to none of the shares.</w:t>
      </w:r>
    </w:p>
    <w:p>
      <w:pPr>
        <w:spacing w:after="0" w:line="41" w:lineRule="exact"/>
        <w:rPr>
          <w:rFonts w:ascii="Arial" w:cs="Arial" w:eastAsia="Arial" w:hAnsi="Arial"/>
          <w:sz w:val="18"/>
          <w:szCs w:val="18"/>
          <w:color w:val="auto"/>
        </w:rPr>
      </w:pPr>
    </w:p>
    <w:p>
      <w:pPr>
        <w:ind w:left="420" w:right="20" w:hanging="372"/>
        <w:spacing w:after="0" w:line="262" w:lineRule="auto"/>
        <w:tabs>
          <w:tab w:leader="none" w:pos="5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Schedule 13G/A filed with the SEC by Kayne Anderson Rudnick Investment Management, LLC on May 14, 2026, reflecting securities beneficially owned as of March 31, 2026. Kayne Anderson Rudnick Investment Management, LLC reported sole voting power with respect to 971,755 shares, sole dispositive power with respect to 1,235,257 of the shares, shared voting power with respect to 287,519 of the shares and shared dispositive power with respect to 287,519 of the shares.</w:t>
      </w:r>
    </w:p>
    <w:p>
      <w:pPr>
        <w:spacing w:after="0" w:line="54" w:lineRule="exact"/>
        <w:rPr>
          <w:rFonts w:ascii="Arial" w:cs="Arial" w:eastAsia="Arial" w:hAnsi="Arial"/>
          <w:sz w:val="18"/>
          <w:szCs w:val="18"/>
          <w:color w:val="auto"/>
        </w:rPr>
      </w:pPr>
    </w:p>
    <w:p>
      <w:pPr>
        <w:jc w:val="both"/>
        <w:ind w:left="420" w:right="140" w:hanging="372"/>
        <w:spacing w:after="0" w:line="262" w:lineRule="auto"/>
        <w:tabs>
          <w:tab w:leader="none" w:pos="4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Schedule 13G/A filed with the SEC by State Street Corporation on May 12, 2026, reflecting securities beneficially owned as of March 31, 2026. State Street Corporation reported sole voting power with respect to none of the shares, sole dispositive power with respect to none of the shares, shared voting power with respect to 982,707 of the shares and shared dispositive power with respect to 1,043,806 of the shares.</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2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Section 16(a) of the Exchange Act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To our knowledge, based solely on a review of the copies of such reports filed electronically with the SEC and/or written representations from our executive officers and directors, all Section 16(a) filing requirements applicable to our executive officers and directors have been satisfied except with respect to a late report on Form 4 reporting one transaction relating to the forfeiture of shares to satisfy tax withholding obligations in connection with vesting for Shirley A. Rozeboom, filed on May 15, 2026.</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PARTY TRANSACTIONS</w:t>
      </w:r>
    </w:p>
    <w:p>
      <w:pPr>
        <w:spacing w:after="0" w:line="1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employ the following relatives of our executive officers: Katherine Maki (daughter of Patrick H. Hawkins, our Chief Executive Officer), Macy Pollgreen (daughter of Shirley A. Rozeboom, our Vice President - Stauber), and Riley Segura (daughter of Shirley A. Rozeboom, our Vice President - Stauber). Including retirement plan contributions and bonuses, the total compensation received by any of these individuals did not exceed $255,000 for fiscal 2026.</w:t>
      </w:r>
    </w:p>
    <w:p>
      <w:pPr>
        <w:spacing w:after="0" w:line="68"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color w:val="auto"/>
        </w:rPr>
        <w:t>Stauber Performance Ingredients, Inc., our wholly-owned subsidiary, leases its corporate office building and warehouse in Fullerton, California from an entity that is partially owned by Daniel J. Stauber, Chief Brand Officer of Health and Nutrition and one of our Board members. The rent expense paid in fiscal 2026 totaled $0.7 million, of which approximately $84,000 was attributable to Mr. Stauber.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reviewed and ratified in advance by the Audit Committee.</w:t>
      </w:r>
    </w:p>
    <w:p>
      <w:pPr>
        <w:spacing w:after="0" w:line="11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color w:val="auto"/>
        </w:rPr>
        <w:t xml:space="preserve">PROPOSAL THREE </w:t>
      </w:r>
      <w:r>
        <w:rPr>
          <w:rFonts w:ascii="Arial" w:cs="Arial" w:eastAsia="Arial" w:hAnsi="Arial"/>
          <w:sz w:val="25"/>
          <w:szCs w:val="25"/>
          <w:color w:val="auto"/>
        </w:rPr>
        <w:t>—</w:t>
      </w:r>
      <w:r>
        <w:rPr>
          <w:rFonts w:ascii="Arial" w:cs="Arial" w:eastAsia="Arial" w:hAnsi="Arial"/>
          <w:sz w:val="25"/>
          <w:szCs w:val="25"/>
          <w:b w:val="1"/>
          <w:bCs w:val="1"/>
          <w:color w:val="auto"/>
        </w:rPr>
        <w:t xml:space="preserve"> ADVISORY VOTE TO APPROVE EXECUTIVE COMPENSATION</w:t>
      </w:r>
    </w:p>
    <w:p>
      <w:pPr>
        <w:spacing w:after="0" w:line="12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In accordance with Section 14A of the Exchange Act, and Section 951 of the Dodd-Frank Wall Street Reform and Consumer Protection Act, the company is seeking a non-binding advisory vote from its shareholders to approve the compensation of our named executive officers as described in this proxy statement under “Compensation of Executive Officers and Directors” and “Compensation Discussion and Analysis.”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proposal gives our shareholders the opportunity to express their views on the compensation provided to our named executive officers. Because your vote is advisory, it will not be binding upon the company. However, the Compensation Committee will take into account the outcome of the vote when making future named executive officer compensation decisions.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executive compensation program for our named executive officers has been designed to attract and retain executives who will lead our company to achieve long-term success and growth in shareholder value. Consistent with that goal, our named executive officer compensation is based on company, business unit and individual performance and the alignment of the interests of our named executive officers with those of our shareholders and is used to encourage our named executive officers to stay with the company. Our program currently includes a mix of compensation elements that rewards current results as well as motivates long-term performance through an appropriate balance of base pay and performance-based variable compensation. To incentivize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July 2025 annual meeting of shareholders, approximately 96% of the advisory votes were cast in support of the compensation of our named executive officers. The Compensation Committee and the other members of our Board believe that this vote reflected our shareholders’ strong support of the compensation decisions made by the Committee for our named executive officers for fiscal 2025. Based on these results, the Committee concluded that our named executive officer compensation program achieved the goals of our compensation philosophy and, therefore, reaffirmed the elements of our named executive officer compensation program for fiscal 2026.</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presenting this proposal, which gives you as a shareholder the opportunity to approve our named executive officer compensation as disclosed in this proxy statement by voting for or against the following resolution:</w:t>
      </w:r>
    </w:p>
    <w:p>
      <w:pPr>
        <w:spacing w:after="0" w:line="180" w:lineRule="exact"/>
        <w:rPr>
          <w:sz w:val="20"/>
          <w:szCs w:val="20"/>
          <w:color w:val="auto"/>
        </w:rPr>
      </w:pPr>
    </w:p>
    <w:p>
      <w:pPr>
        <w:ind w:left="660" w:right="400"/>
        <w:spacing w:after="0" w:line="318" w:lineRule="auto"/>
        <w:rPr>
          <w:sz w:val="20"/>
          <w:szCs w:val="20"/>
          <w:color w:val="auto"/>
        </w:rPr>
      </w:pPr>
      <w:r>
        <w:rPr>
          <w:rFonts w:ascii="Arial" w:cs="Arial" w:eastAsia="Arial" w:hAnsi="Arial"/>
          <w:sz w:val="17"/>
          <w:szCs w:val="17"/>
          <w:color w:val="auto"/>
        </w:rPr>
        <w:t>RESOLVED, that the shareholders approve the compensation of the company’s named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40575" cy="282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282575"/>
                    </a:xfrm>
                    <a:prstGeom prst="rect">
                      <a:avLst/>
                    </a:prstGeom>
                    <a:noFill/>
                  </pic:spPr>
                </pic:pic>
              </a:graphicData>
            </a:graphic>
          </wp:anchor>
        </w:drawing>
      </w:r>
    </w:p>
    <w:p>
      <w:pPr>
        <w:spacing w:after="0" w:line="58" w:lineRule="exact"/>
        <w:rPr>
          <w:sz w:val="20"/>
          <w:szCs w:val="20"/>
          <w:color w:val="auto"/>
        </w:rPr>
      </w:pPr>
    </w:p>
    <w:p>
      <w:pPr>
        <w:jc w:val="center"/>
        <w:ind w:left="440" w:right="520"/>
        <w:spacing w:after="0" w:line="263" w:lineRule="auto"/>
        <w:rPr>
          <w:sz w:val="20"/>
          <w:szCs w:val="20"/>
          <w:color w:val="auto"/>
        </w:rPr>
      </w:pPr>
      <w:r>
        <w:rPr>
          <w:rFonts w:ascii="Arial" w:cs="Arial" w:eastAsia="Arial" w:hAnsi="Arial"/>
          <w:sz w:val="18"/>
          <w:szCs w:val="18"/>
          <w:b w:val="1"/>
          <w:bCs w:val="1"/>
          <w:i w:val="1"/>
          <w:iCs w:val="1"/>
          <w:color w:val="auto"/>
        </w:rPr>
        <w:t>OUR BOARD BELIEVES THAT THE COMPENSATION OF OUR NAMED EXECUTIVE OFFICERS IS APPROPRIATE AND RECOMMENDS A VOTE “FOR” THIS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5" w:right="439" w:bottom="1440" w:gutter="0" w:footer="0" w:header="0"/>
        </w:sectPr>
      </w:pPr>
    </w:p>
    <w:bookmarkStart w:id="40" w:name="page41"/>
    <w:bookmarkEnd w:id="40"/>
    <w:p>
      <w:pPr>
        <w:spacing w:after="0"/>
        <w:rPr>
          <w:sz w:val="20"/>
          <w:szCs w:val="20"/>
          <w:color w:val="auto"/>
        </w:rPr>
      </w:pPr>
      <w:r>
        <w:rPr>
          <w:rFonts w:ascii="Arial" w:cs="Arial" w:eastAsia="Arial" w:hAnsi="Arial"/>
          <w:sz w:val="25"/>
          <w:szCs w:val="25"/>
          <w:b w:val="1"/>
          <w:bCs w:val="1"/>
          <w:color w:val="auto"/>
        </w:rPr>
        <w:t>OTHER MATTERS</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PROPOSALS BY SHAREHOLDERS</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for a shareholder proposal (other than director nominations) to be considered for inclusion in our proxy statement for next year’s annual meeting of shareholders, the written proposal must be received by us at our principal executive offices no later than February 17, 2027. Any such proposals also must comply with all applicable requirements of Minnesota law and the rules and regulations of the SEC regarding shareholder proposals. For any other shareholder proposal (including a director nomination) to be properly brought before next year’s annual meeting of shareholders, we must receive a written notice at our principal executive offices no later than April 30, 2027,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must also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June 1, 2026.</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 10-K</w:t>
      </w:r>
    </w:p>
    <w:p>
      <w:pPr>
        <w:spacing w:after="0" w:line="1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Annual Report on Form 10-K for fiscal 2026, including financial statements, is being furnished with this proxy statement. Shareholders who wish to obtain an additional copy of our Annual Report on Form 10-K for fiscal 2026 may do so without charge by writing to: Hawkins, Inc., 2381 Rosegate, Roseville, Minnesota 55113, Attention: Secretary. Our Annual Report on Form 10-K, as well as other company reports, are also available on the SEC’s website (www.sec.gov).</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HOUSEHOLDING</w:t>
      </w:r>
    </w:p>
    <w:p>
      <w:pPr>
        <w:spacing w:after="0" w:line="13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have adopted a procedure approved by the SEC called “householding,” by which certain shareholders who have the same address and appear to be members of the same family receive only one copy of our notice of internet availability or proxy materials, as applicable.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We will promptly deliver the notice of internet availability or proxy materials to you upon receipt of your request. If you hold your shares in street name, please contact your bank, broker, or other record holder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9145905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6009005" cy="7818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9005" cy="7818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966460" cy="782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7826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lvl w:ilvl="1">
      <w:lvlJc w:val="left"/>
      <w:lvlText w:val="(%2)"/>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lowerRoman"/>
      <w:start w:val="2"/>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2"/>
    </w:lvl>
  </w:abstractNum>
  <w:abstractNum w:abstractNumId="15">
    <w:nsid w:val="189A769B"/>
    <w:multiLevelType w:val="hybridMultilevel"/>
    <w:lvl w:ilvl="0">
      <w:lvlJc w:val="left"/>
      <w:lvlText w:val="(%1)"/>
      <w:numFmt w:val="lowerLetter"/>
      <w:start w:val="3"/>
    </w:lvl>
  </w:abstractNum>
  <w:abstractNum w:abstractNumId="16">
    <w:nsid w:val="54E49EB4"/>
    <w:multiLevelType w:val="hybridMultilevel"/>
    <w:lvl w:ilvl="0">
      <w:lvlJc w:val="left"/>
      <w:lvlText w:val="(%1)"/>
      <w:numFmt w:val="lowerLetter"/>
      <w:start w:val="4"/>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decimal"/>
      <w:start w:val="3"/>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2026-06-18T08:18:44Z</dcterms:created>
  <dcterms:modified xsi:type="dcterms:W3CDTF">2026-06-18T08:18:44Z</dcterms:modified>
</cp:coreProperties>
</file>