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22225"/>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186055</wp:posOffset>
            </wp:positionV>
            <wp:extent cx="7264400" cy="22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2222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CURRENT REPORT</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2" w:lineRule="exact"/>
        <w:rPr>
          <w:sz w:val="24"/>
          <w:szCs w:val="24"/>
          <w:color w:val="auto"/>
        </w:rPr>
      </w:pPr>
    </w:p>
    <w:p>
      <w:pPr>
        <w:jc w:val="center"/>
        <w:ind w:right="20"/>
        <w:spacing w:after="0"/>
        <w:tabs>
          <w:tab w:leader="none" w:pos="300" w:val="left"/>
        </w:tabs>
        <w:rPr>
          <w:sz w:val="20"/>
          <w:szCs w:val="20"/>
          <w:color w:val="auto"/>
        </w:rPr>
      </w:pPr>
      <w:r>
        <w:rPr>
          <w:rFonts w:ascii="Arial" w:cs="Arial" w:eastAsia="Arial" w:hAnsi="Arial"/>
          <w:sz w:val="16"/>
          <w:szCs w:val="16"/>
          <w:color w:val="auto"/>
        </w:rPr>
        <w:t>Date of Report (Date of earliest event reported)</w:t>
      </w:r>
      <w:r>
        <w:rPr>
          <w:sz w:val="20"/>
          <w:szCs w:val="20"/>
          <w:color w:val="auto"/>
        </w:rPr>
        <w:tab/>
      </w:r>
      <w:r>
        <w:rPr>
          <w:rFonts w:ascii="Arial" w:cs="Arial" w:eastAsia="Arial" w:hAnsi="Arial"/>
          <w:sz w:val="13"/>
          <w:szCs w:val="13"/>
          <w:b w:val="1"/>
          <w:bCs w:val="1"/>
          <w:color w:val="auto"/>
        </w:rPr>
        <w:t>June 15, 2006</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Hawkins,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666" w:right="219" w:bottom="36" w:gutter="0" w:footer="0" w:header="0"/>
        </w:sectPr>
      </w:pPr>
    </w:p>
    <w:p>
      <w:pPr>
        <w:spacing w:after="0" w:line="200" w:lineRule="exact"/>
        <w:rPr>
          <w:sz w:val="24"/>
          <w:szCs w:val="24"/>
          <w:color w:val="auto"/>
        </w:rPr>
      </w:pPr>
    </w:p>
    <w:p>
      <w:pPr>
        <w:spacing w:after="0" w:line="349"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Minnesota</w:t>
      </w:r>
    </w:p>
    <w:p>
      <w:pPr>
        <w:spacing w:after="0" w:line="19" w:lineRule="exact"/>
        <w:rPr>
          <w:sz w:val="24"/>
          <w:szCs w:val="24"/>
          <w:color w:val="auto"/>
        </w:rPr>
      </w:pPr>
    </w:p>
    <w:p>
      <w:pPr>
        <w:jc w:val="center"/>
        <w:ind w:right="5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0-7647</w:t>
      </w:r>
    </w:p>
    <w:p>
      <w:pPr>
        <w:spacing w:after="0" w:line="19" w:lineRule="exact"/>
        <w:rPr>
          <w:sz w:val="24"/>
          <w:szCs w:val="24"/>
          <w:color w:val="auto"/>
        </w:rPr>
      </w:pPr>
    </w:p>
    <w:p>
      <w:pPr>
        <w:jc w:val="center"/>
        <w:ind w:right="17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41-0771293</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(IRS Employer</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5"/>
          <w:szCs w:val="15"/>
          <w:color w:val="auto"/>
        </w:rPr>
        <w:t>Identification No.)</w:t>
      </w:r>
    </w:p>
    <w:p>
      <w:pPr>
        <w:spacing w:after="0" w:line="187" w:lineRule="exact"/>
        <w:rPr>
          <w:sz w:val="24"/>
          <w:szCs w:val="24"/>
          <w:color w:val="auto"/>
        </w:rPr>
      </w:pPr>
    </w:p>
    <w:p>
      <w:pPr>
        <w:sectPr>
          <w:pgSz w:w="11900" w:h="16838" w:orient="portrait"/>
          <w:cols w:equalWidth="0" w:num="3">
            <w:col w:w="4140" w:space="720"/>
            <w:col w:w="3480" w:space="720"/>
            <w:col w:w="2380"/>
          </w:cols>
          <w:pgMar w:left="240" w:top="666" w:right="219" w:bottom="36" w:gutter="0" w:footer="0" w:header="0"/>
          <w:type w:val="continuous"/>
        </w:sectPr>
      </w:pPr>
    </w:p>
    <w:p>
      <w:pPr>
        <w:jc w:val="center"/>
        <w:ind w:right="1080"/>
        <w:spacing w:after="0"/>
        <w:rPr>
          <w:sz w:val="20"/>
          <w:szCs w:val="20"/>
          <w:color w:val="auto"/>
        </w:rPr>
      </w:pPr>
      <w:r>
        <w:rPr>
          <w:rFonts w:ascii="Arial" w:cs="Arial" w:eastAsia="Arial" w:hAnsi="Arial"/>
          <w:sz w:val="16"/>
          <w:szCs w:val="16"/>
          <w:b w:val="1"/>
          <w:bCs w:val="1"/>
          <w:color w:val="auto"/>
        </w:rPr>
        <w:t>3100 East Hennepin Avenue</w:t>
      </w:r>
    </w:p>
    <w:p>
      <w:pPr>
        <w:spacing w:after="0" w:line="19"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Minneapolis, MN</w:t>
      </w:r>
    </w:p>
    <w:p>
      <w:pPr>
        <w:spacing w:after="0" w:line="4"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55413</w:t>
      </w:r>
    </w:p>
    <w:p>
      <w:pPr>
        <w:spacing w:after="0" w:line="19" w:lineRule="exact"/>
        <w:rPr>
          <w:sz w:val="24"/>
          <w:szCs w:val="24"/>
          <w:color w:val="auto"/>
        </w:rPr>
      </w:pPr>
    </w:p>
    <w:p>
      <w:pPr>
        <w:jc w:val="center"/>
        <w:ind w:right="1440"/>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8580" w:space="720"/>
            <w:col w:w="2140"/>
          </w:cols>
          <w:pgMar w:left="240" w:top="666" w:right="219" w:bottom="36" w:gutter="0" w:footer="0" w:header="0"/>
          <w:type w:val="continuous"/>
        </w:sectPr>
      </w:pPr>
    </w:p>
    <w:p>
      <w:pPr>
        <w:spacing w:after="0" w:line="202" w:lineRule="exact"/>
        <w:rPr>
          <w:sz w:val="24"/>
          <w:szCs w:val="24"/>
          <w:color w:val="auto"/>
        </w:rPr>
      </w:pPr>
    </w:p>
    <w:p>
      <w:pPr>
        <w:ind w:left="3420"/>
        <w:spacing w:after="0"/>
        <w:rPr>
          <w:sz w:val="20"/>
          <w:szCs w:val="20"/>
          <w:color w:val="auto"/>
        </w:rPr>
      </w:pPr>
      <w:r>
        <w:rPr>
          <w:rFonts w:ascii="Arial" w:cs="Arial" w:eastAsia="Arial" w:hAnsi="Arial"/>
          <w:sz w:val="13"/>
          <w:szCs w:val="13"/>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(612) 331-6910</w:t>
      </w:r>
    </w:p>
    <w:p>
      <w:pPr>
        <w:spacing w:after="0" w:line="204" w:lineRule="exact"/>
        <w:rPr>
          <w:sz w:val="24"/>
          <w:szCs w:val="24"/>
          <w:color w:val="auto"/>
        </w:rPr>
      </w:pPr>
    </w:p>
    <w:p>
      <w:pPr>
        <w:sectPr>
          <w:pgSz w:w="11900" w:h="16838" w:orient="portrait"/>
          <w:cols w:equalWidth="0" w:num="2">
            <w:col w:w="6800" w:space="220"/>
            <w:col w:w="4420"/>
          </w:cols>
          <w:pgMar w:left="240" w:top="666" w:right="219" w:bottom="36" w:gutter="0" w:footer="0" w:header="0"/>
          <w:type w:val="continuous"/>
        </w:sectPr>
      </w:pPr>
    </w:p>
    <w:p>
      <w:pPr>
        <w:spacing w:after="0" w:line="38" w:lineRule="exact"/>
        <w:rPr>
          <w:sz w:val="24"/>
          <w:szCs w:val="24"/>
          <w:color w:val="auto"/>
        </w:rPr>
      </w:pPr>
    </w:p>
    <w:p>
      <w:pPr>
        <w:ind w:right="240" w:firstLine="313"/>
        <w:spacing w:after="0" w:line="28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57" w:lineRule="exact"/>
        <w:rPr>
          <w:sz w:val="24"/>
          <w:szCs w:val="24"/>
          <w:color w:val="auto"/>
        </w:rPr>
      </w:pPr>
    </w:p>
    <w:p>
      <w:pPr>
        <w:ind w:left="500" w:hanging="193"/>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3" w:lineRule="exact"/>
        <w:rPr>
          <w:rFonts w:ascii="Arial" w:cs="Arial" w:eastAsia="Arial" w:hAnsi="Arial"/>
          <w:sz w:val="16"/>
          <w:szCs w:val="16"/>
          <w:color w:val="auto"/>
        </w:rPr>
      </w:pPr>
    </w:p>
    <w:p>
      <w:pPr>
        <w:ind w:left="500" w:hanging="193"/>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3" w:lineRule="exact"/>
        <w:rPr>
          <w:rFonts w:ascii="Arial" w:cs="Arial" w:eastAsia="Arial" w:hAnsi="Arial"/>
          <w:sz w:val="16"/>
          <w:szCs w:val="16"/>
          <w:color w:val="auto"/>
        </w:rPr>
      </w:pPr>
    </w:p>
    <w:p>
      <w:pPr>
        <w:ind w:left="500" w:hanging="193"/>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3" w:lineRule="exact"/>
        <w:rPr>
          <w:rFonts w:ascii="Arial" w:cs="Arial" w:eastAsia="Arial" w:hAnsi="Arial"/>
          <w:sz w:val="16"/>
          <w:szCs w:val="16"/>
          <w:color w:val="auto"/>
        </w:rPr>
      </w:pPr>
    </w:p>
    <w:p>
      <w:pPr>
        <w:ind w:left="500" w:hanging="193"/>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64400" cy="22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22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4400" cy="2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222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618490</wp:posOffset>
            </wp:positionV>
            <wp:extent cx="728472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7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tabs>
          <w:tab w:leader="none" w:pos="118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195" w:lineRule="exact"/>
        <w:rPr>
          <w:sz w:val="24"/>
          <w:szCs w:val="24"/>
          <w:color w:val="auto"/>
        </w:rPr>
      </w:pPr>
    </w:p>
    <w:p>
      <w:pPr>
        <w:ind w:right="340" w:firstLine="563"/>
        <w:spacing w:after="0" w:line="264" w:lineRule="auto"/>
        <w:rPr>
          <w:sz w:val="20"/>
          <w:szCs w:val="20"/>
          <w:color w:val="auto"/>
        </w:rPr>
      </w:pPr>
      <w:r>
        <w:rPr>
          <w:rFonts w:ascii="Arial" w:cs="Arial" w:eastAsia="Arial" w:hAnsi="Arial"/>
          <w:sz w:val="16"/>
          <w:szCs w:val="16"/>
          <w:color w:val="auto"/>
        </w:rPr>
        <w:t>On June 15, 2006, Hawkins, Inc. issued a press release announcing financial results for its fiscal fourth quarter and year ended April 2, 2006. A copy of the press release issued by the Registrant is furnished herewith as Exhibit 99 hereto and is incorporated herein by reference.</w:t>
      </w:r>
    </w:p>
    <w:p>
      <w:pPr>
        <w:spacing w:after="0" w:line="154" w:lineRule="exact"/>
        <w:rPr>
          <w:sz w:val="24"/>
          <w:szCs w:val="24"/>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00" w:lineRule="exact"/>
        <w:rPr>
          <w:sz w:val="24"/>
          <w:szCs w:val="24"/>
          <w:color w:val="auto"/>
        </w:rPr>
      </w:pPr>
    </w:p>
    <w:p>
      <w:pPr>
        <w:spacing w:after="0" w:line="371" w:lineRule="exact"/>
        <w:rPr>
          <w:sz w:val="24"/>
          <w:szCs w:val="24"/>
          <w:color w:val="auto"/>
        </w:rPr>
      </w:pPr>
    </w:p>
    <w:p>
      <w:pPr>
        <w:ind w:left="980" w:hanging="791"/>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5"/>
          <w:szCs w:val="15"/>
          <w:color w:val="auto"/>
        </w:rPr>
        <w:t>Exhibit 99 - Press Release, dated June 15, 2006, announcing financial results of Hawkins, Inc. for its fiscal fourth quarter and year ended April 2,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566420</wp:posOffset>
            </wp:positionV>
            <wp:extent cx="728472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7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95" w:lineRule="exact"/>
        <w:rPr>
          <w:sz w:val="24"/>
          <w:szCs w:val="24"/>
          <w:color w:val="auto"/>
        </w:rPr>
      </w:pPr>
    </w:p>
    <w:p>
      <w:pPr>
        <w:ind w:right="440" w:firstLine="313"/>
        <w:spacing w:after="0" w:line="26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640" w:type="dxa"/>
            <w:vAlign w:val="bottom"/>
          </w:tcPr>
          <w:p>
            <w:pPr>
              <w:spacing w:after="0"/>
              <w:rPr>
                <w:sz w:val="17"/>
                <w:szCs w:val="17"/>
                <w:color w:val="auto"/>
              </w:rPr>
            </w:pPr>
          </w:p>
        </w:tc>
        <w:tc>
          <w:tcPr>
            <w:tcW w:w="3800" w:type="dxa"/>
            <w:vAlign w:val="bottom"/>
            <w:gridSpan w:val="2"/>
          </w:tcPr>
          <w:p>
            <w:pPr>
              <w:ind w:left="2400"/>
              <w:spacing w:after="0"/>
              <w:rPr>
                <w:sz w:val="20"/>
                <w:szCs w:val="20"/>
                <w:color w:val="auto"/>
              </w:rPr>
            </w:pPr>
            <w:r>
              <w:rPr>
                <w:rFonts w:ascii="Arial" w:cs="Arial" w:eastAsia="Arial" w:hAnsi="Arial"/>
                <w:sz w:val="16"/>
                <w:szCs w:val="16"/>
                <w:color w:val="auto"/>
              </w:rPr>
              <w:t>HAWKINS, INC.</w:t>
            </w:r>
          </w:p>
        </w:tc>
        <w:tc>
          <w:tcPr>
            <w:tcW w:w="4000" w:type="dxa"/>
            <w:vAlign w:val="bottom"/>
          </w:tcPr>
          <w:p>
            <w:pPr>
              <w:spacing w:after="0"/>
              <w:rPr>
                <w:sz w:val="17"/>
                <w:szCs w:val="17"/>
                <w:color w:val="auto"/>
              </w:rPr>
            </w:pPr>
          </w:p>
        </w:tc>
      </w:tr>
      <w:tr>
        <w:trPr>
          <w:trHeight w:val="564"/>
        </w:trPr>
        <w:tc>
          <w:tcPr>
            <w:tcW w:w="3640" w:type="dxa"/>
            <w:vAlign w:val="bottom"/>
          </w:tcPr>
          <w:p>
            <w:pPr>
              <w:spacing w:after="0"/>
              <w:rPr>
                <w:sz w:val="20"/>
                <w:szCs w:val="20"/>
                <w:color w:val="auto"/>
              </w:rPr>
            </w:pPr>
            <w:r>
              <w:rPr>
                <w:rFonts w:ascii="Arial" w:cs="Arial" w:eastAsia="Arial" w:hAnsi="Arial"/>
                <w:sz w:val="16"/>
                <w:szCs w:val="16"/>
                <w:color w:val="auto"/>
              </w:rPr>
              <w:t>Date: June 15, 2006</w:t>
            </w:r>
          </w:p>
        </w:tc>
        <w:tc>
          <w:tcPr>
            <w:tcW w:w="3800" w:type="dxa"/>
            <w:vAlign w:val="bottom"/>
            <w:gridSpan w:val="2"/>
          </w:tcPr>
          <w:p>
            <w:pPr>
              <w:ind w:left="2400"/>
              <w:spacing w:after="0"/>
              <w:rPr>
                <w:sz w:val="20"/>
                <w:szCs w:val="20"/>
                <w:color w:val="auto"/>
              </w:rPr>
            </w:pPr>
            <w:r>
              <w:rPr>
                <w:rFonts w:ascii="Arial" w:cs="Arial" w:eastAsia="Arial" w:hAnsi="Arial"/>
                <w:sz w:val="16"/>
                <w:szCs w:val="16"/>
                <w:color w:val="auto"/>
              </w:rPr>
              <w:t>By:</w:t>
            </w:r>
          </w:p>
        </w:tc>
        <w:tc>
          <w:tcPr>
            <w:tcW w:w="4000" w:type="dxa"/>
            <w:vAlign w:val="bottom"/>
          </w:tcPr>
          <w:p>
            <w:pPr>
              <w:jc w:val="center"/>
              <w:ind w:right="902"/>
              <w:spacing w:after="0"/>
              <w:rPr>
                <w:sz w:val="20"/>
                <w:szCs w:val="20"/>
                <w:color w:val="auto"/>
              </w:rPr>
            </w:pPr>
            <w:r>
              <w:rPr>
                <w:rFonts w:ascii="Arial" w:cs="Arial" w:eastAsia="Arial" w:hAnsi="Arial"/>
                <w:sz w:val="16"/>
                <w:szCs w:val="16"/>
                <w:color w:val="auto"/>
                <w:w w:val="89"/>
              </w:rPr>
              <w:t>/s/ Marvin E. Dee</w:t>
            </w:r>
          </w:p>
        </w:tc>
      </w:tr>
      <w:tr>
        <w:trPr>
          <w:trHeight w:val="167"/>
        </w:trPr>
        <w:tc>
          <w:tcPr>
            <w:tcW w:w="3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00" w:type="dxa"/>
            <w:vAlign w:val="bottom"/>
            <w:tcBorders>
              <w:top w:val="single" w:sz="8" w:color="auto"/>
            </w:tcBorders>
          </w:tcPr>
          <w:p>
            <w:pPr>
              <w:jc w:val="center"/>
              <w:ind w:right="882"/>
              <w:spacing w:after="0" w:line="168" w:lineRule="exact"/>
              <w:rPr>
                <w:sz w:val="20"/>
                <w:szCs w:val="20"/>
                <w:color w:val="auto"/>
              </w:rPr>
            </w:pPr>
            <w:r>
              <w:rPr>
                <w:rFonts w:ascii="Arial" w:cs="Arial" w:eastAsia="Arial" w:hAnsi="Arial"/>
                <w:sz w:val="16"/>
                <w:szCs w:val="16"/>
                <w:color w:val="auto"/>
                <w:w w:val="90"/>
              </w:rPr>
              <w:t>Marvin E. Dee</w:t>
            </w:r>
          </w:p>
        </w:tc>
      </w:tr>
      <w:tr>
        <w:trPr>
          <w:trHeight w:val="188"/>
        </w:trPr>
        <w:tc>
          <w:tcPr>
            <w:tcW w:w="36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0" w:type="dxa"/>
            <w:vAlign w:val="bottom"/>
          </w:tcPr>
          <w:p>
            <w:pPr>
              <w:jc w:val="center"/>
              <w:ind w:right="882"/>
              <w:spacing w:after="0"/>
              <w:rPr>
                <w:sz w:val="20"/>
                <w:szCs w:val="20"/>
                <w:color w:val="auto"/>
              </w:rPr>
            </w:pPr>
            <w:r>
              <w:rPr>
                <w:rFonts w:ascii="Arial" w:cs="Arial" w:eastAsia="Arial" w:hAnsi="Arial"/>
                <w:sz w:val="16"/>
                <w:szCs w:val="16"/>
                <w:color w:val="auto"/>
                <w:w w:val="90"/>
              </w:rPr>
              <w:t>Vice President, Chief Financial Officer,</w:t>
            </w:r>
          </w:p>
        </w:tc>
      </w:tr>
      <w:tr>
        <w:trPr>
          <w:trHeight w:val="199"/>
        </w:trPr>
        <w:tc>
          <w:tcPr>
            <w:tcW w:w="3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0" w:type="dxa"/>
            <w:vAlign w:val="bottom"/>
          </w:tcPr>
          <w:p>
            <w:pPr>
              <w:jc w:val="center"/>
              <w:ind w:right="902"/>
              <w:spacing w:after="0"/>
              <w:rPr>
                <w:sz w:val="20"/>
                <w:szCs w:val="20"/>
                <w:color w:val="auto"/>
              </w:rPr>
            </w:pPr>
            <w:r>
              <w:rPr>
                <w:rFonts w:ascii="Arial" w:cs="Arial" w:eastAsia="Arial" w:hAnsi="Arial"/>
                <w:sz w:val="16"/>
                <w:szCs w:val="16"/>
                <w:color w:val="auto"/>
                <w:w w:val="86"/>
              </w:rPr>
              <w:t>Secretary and Treasurer</w:t>
            </w:r>
          </w:p>
        </w:tc>
      </w:tr>
    </w:tbl>
    <w:p>
      <w:pPr>
        <w:sectPr>
          <w:pgSz w:w="11900" w:h="16838" w:orient="portrait"/>
          <w:cols w:equalWidth="0" w:num="1">
            <w:col w:w="11440"/>
          </w:cols>
          <w:pgMar w:left="240" w:top="666" w:right="219" w:bottom="36"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280035</wp:posOffset>
            </wp:positionV>
            <wp:extent cx="728472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7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IMMEDIATE RELEASE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612/617-8571</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marvin.dee@HawkinsInc.com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Jennifer A. Weichert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Weichert Financial Relations, Inc.</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651/686-9751</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JWeichert@Comcast.net</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HAWKINS, INC. REPORTS</w:t>
      </w:r>
    </w:p>
    <w:p>
      <w:pPr>
        <w:spacing w:after="0" w:line="29"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RESULTS FOR FISCAL 2006</w:t>
      </w:r>
    </w:p>
    <w:p>
      <w:pPr>
        <w:spacing w:after="0" w:line="170" w:lineRule="exact"/>
        <w:rPr>
          <w:sz w:val="20"/>
          <w:szCs w:val="20"/>
          <w:color w:val="auto"/>
        </w:rPr>
      </w:pPr>
    </w:p>
    <w:p>
      <w:pPr>
        <w:ind w:right="180"/>
        <w:spacing w:after="0" w:line="238" w:lineRule="auto"/>
        <w:rPr>
          <w:sz w:val="20"/>
          <w:szCs w:val="20"/>
          <w:color w:val="auto"/>
        </w:rPr>
      </w:pPr>
      <w:r>
        <w:rPr>
          <w:rFonts w:ascii="Arial" w:cs="Arial" w:eastAsia="Arial" w:hAnsi="Arial"/>
          <w:sz w:val="19"/>
          <w:szCs w:val="19"/>
          <w:color w:val="auto"/>
        </w:rPr>
        <w:t>Minneapolis, MN, June 15, 2006 — Hawkins, Inc. (Nasdaq: HWKN) today announced sales for fiscal 2006 totaled $143.3 million, an increase of 24.3% over fiscal 2005 sales of $115.3 million. Net income for fiscal 2006 was $8.9 million, equal to $0.87 per share, compared with fiscal 2005 net income of $8.1 million and earnings per share of $0.79. Earnings for fiscal 2006 were positively impacted by the previously announced pretax gain of $1.1 million (approximately $0.7 million, or $0.07 per share, after tax) from the settlement of litigation with the former Universal Chemical shareholders.</w:t>
      </w:r>
    </w:p>
    <w:p>
      <w:pPr>
        <w:spacing w:after="0" w:line="160" w:lineRule="exact"/>
        <w:rPr>
          <w:sz w:val="20"/>
          <w:szCs w:val="20"/>
          <w:color w:val="auto"/>
        </w:rPr>
      </w:pPr>
    </w:p>
    <w:p>
      <w:pPr>
        <w:ind w:right="120"/>
        <w:spacing w:after="0" w:line="243" w:lineRule="auto"/>
        <w:rPr>
          <w:sz w:val="20"/>
          <w:szCs w:val="20"/>
          <w:color w:val="auto"/>
        </w:rPr>
      </w:pPr>
      <w:r>
        <w:rPr>
          <w:rFonts w:ascii="Arial" w:cs="Arial" w:eastAsia="Arial" w:hAnsi="Arial"/>
          <w:sz w:val="19"/>
          <w:szCs w:val="19"/>
          <w:color w:val="auto"/>
        </w:rPr>
        <w:t>For the fourth quarter ended April 2, 2006, Hawkins reported sales of $36.5 million, up 21.6% from the $30.0 million for the comparable period a year ago. Net income for the fourth quarter of fiscal 2006 was $1.3 million, equal to earnings per share of $0.13, versus net income of $1.0 million, or earnings per share of $0.10, for the fourth quarter of fiscal 2005.</w:t>
      </w:r>
    </w:p>
    <w:p>
      <w:pPr>
        <w:spacing w:after="0" w:line="158"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auto"/>
        </w:rPr>
        <w:t>Chief Executive Officer, John R. Hawkins, commented, “Hawkins’ core businesses are stable and strong, with recurring revenue and a loyal customer base. As a result, our financial performance was solid. Raw material and finished goods costs rose commensurate with rising energy costs. Increased commodity pricing added to sales growth while simultaneously negatively impacting margins. Overall gross margin was 23.2% compared to 25.7% a year ago.”</w:t>
      </w:r>
    </w:p>
    <w:p>
      <w:pPr>
        <w:spacing w:after="0" w:line="16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are excited about the prospects for this year as we have identified niches in each of our markets and begun marketing new products and services that address client needs. A number of new product lines are beginning to show promise in the Water Treatment and Industrial Groups’ markets; as a result we have expanded our technical sales staff to capitalize on potential growth,” Hawkins said. “Additionally, investments in infrastructure to support these efforts as well as the Sarbanes Oxley-based reporting requirements continue to be made.”</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Hawkins completed the fiscal year ended April 2, 2006 with approximately $26.2 million in cash and marketable securities, and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728472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60"/>
        <w:spacing w:after="0" w:line="236" w:lineRule="auto"/>
        <w:rPr>
          <w:sz w:val="20"/>
          <w:szCs w:val="20"/>
          <w:color w:val="auto"/>
        </w:rPr>
      </w:pPr>
      <w:r>
        <w:rPr>
          <w:rFonts w:ascii="Arial" w:cs="Arial" w:eastAsia="Arial" w:hAnsi="Arial"/>
          <w:sz w:val="19"/>
          <w:szCs w:val="19"/>
          <w:color w:val="auto"/>
        </w:rPr>
        <w:t>Hawkins serves customers primarily on a regional basis. The industries in which the Industrial segment participates is in the fields of energy, electronics, chemical processing, pulp and paper, medical devices, metal finishing, food manufacturing and processing plants. The Water Treatment segment provides water and waste-water treatment equipment and chemicals to improve the quality of life while operating in concert with the environment. The Industrial and Water Treatment segments’ customers receive a great benefit from Hawkins’ chemical distribution, blending, and related expertise. The Pharmaceutical segment specializes in providing pharmaceutical chemicals to pharmacies and small-scale pharmaceutical manufacturers across the nation. The Company’s products and services are geared to improve the environment and insure the safe handling of chemicals.</w:t>
      </w:r>
    </w:p>
    <w:p>
      <w:pPr>
        <w:spacing w:after="0" w:line="162"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April 3, 2005,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299720</wp:posOffset>
            </wp:positionV>
            <wp:extent cx="728472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HAWKINS,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3"/>
          </w:tcPr>
          <w:p>
            <w:pPr>
              <w:jc w:val="right"/>
              <w:ind w:right="7"/>
              <w:spacing w:after="0"/>
              <w:rPr>
                <w:sz w:val="20"/>
                <w:szCs w:val="20"/>
                <w:color w:val="auto"/>
              </w:rPr>
            </w:pPr>
            <w:r>
              <w:rPr>
                <w:rFonts w:ascii="Arial" w:cs="Arial" w:eastAsia="Arial" w:hAnsi="Arial"/>
                <w:sz w:val="13"/>
                <w:szCs w:val="13"/>
                <w:color w:val="auto"/>
              </w:rPr>
              <w:t>Quarters Ended</w:t>
            </w:r>
          </w:p>
        </w:tc>
        <w:tc>
          <w:tcPr>
            <w:tcW w:w="1200" w:type="dxa"/>
            <w:vAlign w:val="bottom"/>
            <w:gridSpan w:val="2"/>
            <w:vMerge w:val="restart"/>
          </w:tcPr>
          <w:p>
            <w:pPr>
              <w:ind w:left="100"/>
              <w:spacing w:after="0"/>
              <w:rPr>
                <w:sz w:val="20"/>
                <w:szCs w:val="20"/>
                <w:color w:val="auto"/>
              </w:rPr>
            </w:pPr>
            <w:r>
              <w:rPr>
                <w:rFonts w:ascii="Arial" w:cs="Arial" w:eastAsia="Arial" w:hAnsi="Arial"/>
                <w:sz w:val="13"/>
                <w:szCs w:val="13"/>
                <w:color w:val="auto"/>
              </w:rPr>
              <w:t>April 3,</w:t>
            </w:r>
          </w:p>
        </w:tc>
        <w:tc>
          <w:tcPr>
            <w:tcW w:w="240" w:type="dxa"/>
            <w:vAlign w:val="bottom"/>
          </w:tcPr>
          <w:p>
            <w:pPr>
              <w:spacing w:after="0"/>
              <w:rPr>
                <w:sz w:val="12"/>
                <w:szCs w:val="12"/>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3"/>
                <w:szCs w:val="13"/>
                <w:color w:val="auto"/>
              </w:rPr>
              <w:t>Fiscal Years Ended</w:t>
            </w:r>
          </w:p>
        </w:tc>
        <w:tc>
          <w:tcPr>
            <w:tcW w:w="940" w:type="dxa"/>
            <w:vAlign w:val="bottom"/>
            <w:gridSpan w:val="2"/>
            <w:vMerge w:val="restart"/>
          </w:tcPr>
          <w:p>
            <w:pPr>
              <w:ind w:left="40"/>
              <w:spacing w:after="0"/>
              <w:rPr>
                <w:sz w:val="20"/>
                <w:szCs w:val="20"/>
                <w:color w:val="auto"/>
              </w:rPr>
            </w:pPr>
            <w:r>
              <w:rPr>
                <w:rFonts w:ascii="Arial" w:cs="Arial" w:eastAsia="Arial" w:hAnsi="Arial"/>
                <w:sz w:val="13"/>
                <w:szCs w:val="13"/>
                <w:color w:val="auto"/>
              </w:rPr>
              <w:t>April 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180"/>
              <w:spacing w:after="0" w:line="118" w:lineRule="exact"/>
              <w:rPr>
                <w:sz w:val="20"/>
                <w:szCs w:val="20"/>
                <w:color w:val="auto"/>
              </w:rPr>
            </w:pPr>
            <w:r>
              <w:rPr>
                <w:rFonts w:ascii="Arial" w:cs="Arial" w:eastAsia="Arial" w:hAnsi="Arial"/>
                <w:sz w:val="13"/>
                <w:szCs w:val="13"/>
                <w:color w:val="auto"/>
              </w:rPr>
              <w:t>April 2,</w:t>
            </w:r>
          </w:p>
        </w:tc>
        <w:tc>
          <w:tcPr>
            <w:tcW w:w="3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369"/>
              <w:spacing w:after="0" w:line="118" w:lineRule="exact"/>
              <w:rPr>
                <w:sz w:val="20"/>
                <w:szCs w:val="20"/>
                <w:color w:val="auto"/>
              </w:rPr>
            </w:pPr>
            <w:r>
              <w:rPr>
                <w:rFonts w:ascii="Arial" w:cs="Arial" w:eastAsia="Arial" w:hAnsi="Arial"/>
                <w:sz w:val="13"/>
                <w:szCs w:val="13"/>
                <w:color w:val="auto"/>
              </w:rPr>
              <w:t>April 2,</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9"/>
              <w:spacing w:after="0" w:line="141" w:lineRule="exact"/>
              <w:rPr>
                <w:sz w:val="20"/>
                <w:szCs w:val="20"/>
                <w:color w:val="auto"/>
              </w:rPr>
            </w:pPr>
            <w:r>
              <w:rPr>
                <w:rFonts w:ascii="Arial" w:cs="Arial" w:eastAsia="Arial" w:hAnsi="Arial"/>
                <w:sz w:val="13"/>
                <w:szCs w:val="13"/>
                <w:color w:val="auto"/>
              </w:rPr>
              <w:t>2006</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7"/>
              <w:spacing w:after="0" w:line="141" w:lineRule="exact"/>
              <w:rPr>
                <w:sz w:val="20"/>
                <w:szCs w:val="20"/>
                <w:color w:val="auto"/>
              </w:rPr>
            </w:pPr>
            <w:r>
              <w:rPr>
                <w:rFonts w:ascii="Arial" w:cs="Arial" w:eastAsia="Arial" w:hAnsi="Arial"/>
                <w:sz w:val="13"/>
                <w:szCs w:val="13"/>
                <w:color w:val="auto"/>
              </w:rPr>
              <w:t>2005</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9"/>
              <w:spacing w:after="0" w:line="141" w:lineRule="exact"/>
              <w:rPr>
                <w:sz w:val="20"/>
                <w:szCs w:val="20"/>
                <w:color w:val="auto"/>
              </w:rPr>
            </w:pPr>
            <w:r>
              <w:rPr>
                <w:rFonts w:ascii="Arial" w:cs="Arial" w:eastAsia="Arial" w:hAnsi="Arial"/>
                <w:sz w:val="13"/>
                <w:szCs w:val="13"/>
                <w:color w:val="auto"/>
              </w:rPr>
              <w:t>2006</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7"/>
              <w:spacing w:after="0" w:line="141" w:lineRule="exact"/>
              <w:rPr>
                <w:sz w:val="20"/>
                <w:szCs w:val="20"/>
                <w:color w:val="auto"/>
              </w:rPr>
            </w:pPr>
            <w:r>
              <w:rPr>
                <w:rFonts w:ascii="Arial" w:cs="Arial" w:eastAsia="Arial" w:hAnsi="Arial"/>
                <w:sz w:val="13"/>
                <w:szCs w:val="13"/>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36,480,489</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29,989,452</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143,331,250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115,280,312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3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29,161,573</w:t>
            </w:r>
          </w:p>
        </w:tc>
        <w:tc>
          <w:tcPr>
            <w:tcW w:w="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24,225,381</w:t>
            </w:r>
          </w:p>
        </w:tc>
        <w:tc>
          <w:tcPr>
            <w:tcW w:w="2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110,112,108</w:t>
            </w:r>
          </w:p>
        </w:tc>
        <w:tc>
          <w:tcPr>
            <w:tcW w:w="26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85,674,127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7,318,916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5,764,071</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33,219,142</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29,606,185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Selling, general and administrative expenses</w:t>
            </w: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5,675,501</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4,514,009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21,513,444</w:t>
            </w: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18,089,829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3" w:right="2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Litigation settlement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(1,056,520)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1,643,415</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1,250,062</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12,762,218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11,516,356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 net</w:t>
            </w: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272,923</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319,357</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892,289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1,120,775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1,916,338</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1,569,419</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13,654,507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12,637,131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607,854</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585,922</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4,768,354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4,545,122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1,308,484</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983,497</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8,886,153</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8,092,009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 - basic</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10,171,496</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10,216,688</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10,199,194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10,216,688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 - diluted</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10,171,496</w:t>
            </w: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10,233,846</w:t>
            </w: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10,211,834</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10,222,669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 and diluted</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62"/>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9"/>
        </w:trPr>
        <w:tc>
          <w:tcPr>
            <w:tcW w:w="2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7278370</wp:posOffset>
            </wp:positionH>
            <wp:positionV relativeFrom="paragraph">
              <wp:posOffset>-26670</wp:posOffset>
            </wp:positionV>
            <wp:extent cx="1270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wp:posOffset>
            </wp:positionV>
            <wp:extent cx="1270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sectPr>
      <w:pgSz w:w="11900" w:h="16838" w:orient="portrait"/>
      <w:cols w:equalWidth="0" w:num="1">
        <w:col w:w="11480"/>
      </w:cols>
      <w:pgMar w:left="220" w:top="3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2019-12-12T09:29:00Z</dcterms:created>
  <dcterms:modified xsi:type="dcterms:W3CDTF">2019-12-12T09:29:00Z</dcterms:modified>
</cp:coreProperties>
</file>