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October 28, 2016</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10,612,582</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6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October 2, 2016 and April 3, 2016</w:t>
              </w:r>
            </w:hyperlink>
          </w:p>
        </w:tc>
        <w:tc>
          <w:tcPr>
            <w:tcW w:w="2020" w:type="dxa"/>
            <w:vAlign w:val="bottom"/>
            <w:gridSpan w:val="5"/>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1140" w:type="dxa"/>
            <w:vAlign w:val="bottom"/>
          </w:tcPr>
          <w:p>
            <w:pPr>
              <w:spacing w:after="0"/>
              <w:rPr>
                <w:sz w:val="24"/>
                <w:szCs w:val="24"/>
                <w:color w:val="auto"/>
              </w:rPr>
            </w:pPr>
          </w:p>
        </w:tc>
        <w:tc>
          <w:tcPr>
            <w:tcW w:w="6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 Three and Six Months Ended October 2, 2016</w:t>
              </w:r>
            </w:hyperlink>
          </w:p>
        </w:tc>
        <w:tc>
          <w:tcPr>
            <w:tcW w:w="70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September 27, 2015</w:t>
              </w:r>
            </w:hyperlink>
          </w:p>
        </w:tc>
        <w:tc>
          <w:tcPr>
            <w:tcW w:w="586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and Six Months Ended</w:t>
              </w:r>
            </w:hyperlink>
          </w:p>
        </w:tc>
        <w:tc>
          <w:tcPr>
            <w:tcW w:w="74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76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2, 2016 and September 27, 2015</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67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Six Months Ended October 2, 2016 and</w:t>
              </w:r>
            </w:hyperlink>
          </w:p>
        </w:tc>
        <w:tc>
          <w:tcPr>
            <w:tcW w:w="860" w:type="dxa"/>
            <w:vAlign w:val="bottom"/>
            <w:gridSpan w:val="3"/>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76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27, 2015</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20" w:type="dxa"/>
            <w:vAlign w:val="bottom"/>
            <w:gridSpan w:val="8"/>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2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60" w:type="dxa"/>
            <w:vAlign w:val="bottom"/>
            <w:gridSpan w:val="4"/>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40" w:type="dxa"/>
            <w:vAlign w:val="bottom"/>
            <w:gridSpan w:val="6"/>
          </w:tcPr>
          <w:p>
            <w:pPr>
              <w:spacing w:after="0"/>
              <w:rPr>
                <w:sz w:val="24"/>
                <w:szCs w:val="24"/>
                <w:color w:val="auto"/>
              </w:rPr>
            </w:pPr>
          </w:p>
        </w:tc>
        <w:tc>
          <w:tcPr>
            <w:tcW w:w="3300" w:type="dxa"/>
            <w:vAlign w:val="bottom"/>
            <w:gridSpan w:val="7"/>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PART II.</w:t>
            </w:r>
          </w:p>
        </w:tc>
        <w:tc>
          <w:tcPr>
            <w:tcW w:w="76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740" w:type="dxa"/>
            <w:vAlign w:val="bottom"/>
            <w:gridSpan w:val="12"/>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6280" w:type="dxa"/>
            <w:vAlign w:val="bottom"/>
            <w:gridSpan w:val="1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2,</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8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16,650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20,014</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Trade receivables — less 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5"/>
          </w:tcPr>
          <w:p>
            <w:pPr>
              <w:ind w:left="500"/>
              <w:spacing w:after="0"/>
              <w:rPr>
                <w:sz w:val="20"/>
                <w:szCs w:val="20"/>
                <w:color w:val="auto"/>
              </w:rPr>
            </w:pPr>
            <w:r>
              <w:rPr>
                <w:rFonts w:ascii="Arial" w:cs="Arial" w:eastAsia="Arial" w:hAnsi="Arial"/>
                <w:sz w:val="16"/>
                <w:szCs w:val="16"/>
                <w:color w:val="auto"/>
              </w:rPr>
              <w:t>$570 as of October 2, 2016 and $602 as of April 3, 2016</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52,841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59,271</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47,719</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6,062</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126,360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137,288</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204,848</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95,280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88,527</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116,321</w:t>
            </w:r>
          </w:p>
        </w:tc>
        <w:tc>
          <w:tcPr>
            <w:tcW w:w="0" w:type="dxa"/>
            <w:vAlign w:val="bottom"/>
          </w:tcPr>
          <w:p>
            <w:pPr>
              <w:spacing w:after="0"/>
              <w:rPr>
                <w:sz w:val="1"/>
                <w:szCs w:val="1"/>
                <w:color w:val="auto"/>
              </w:rPr>
            </w:pPr>
          </w:p>
        </w:tc>
      </w:tr>
      <w:tr>
        <w:trPr>
          <w:trHeight w:val="224"/>
        </w:trPr>
        <w:tc>
          <w:tcPr>
            <w:tcW w:w="8580" w:type="dxa"/>
            <w:vAlign w:val="bottom"/>
            <w:gridSpan w:val="5"/>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97,724</w:t>
            </w:r>
          </w:p>
        </w:tc>
        <w:tc>
          <w:tcPr>
            <w:tcW w:w="0" w:type="dxa"/>
            <w:vAlign w:val="bottom"/>
          </w:tcPr>
          <w:p>
            <w:pPr>
              <w:spacing w:after="0"/>
              <w:rPr>
                <w:sz w:val="1"/>
                <w:szCs w:val="1"/>
                <w:color w:val="auto"/>
              </w:rPr>
            </w:pPr>
          </w:p>
        </w:tc>
      </w:tr>
      <w:tr>
        <w:trPr>
          <w:trHeight w:val="224"/>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Intangible assets — less accumulated amortization: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6"/>
                <w:szCs w:val="16"/>
                <w:color w:val="auto"/>
              </w:rPr>
              <w:t>$9,413 as of October 2, 2016 and $6,370 as of April 3, 2016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82,934</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182,882</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422,911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436,491</w:t>
            </w:r>
          </w:p>
        </w:tc>
        <w:tc>
          <w:tcPr>
            <w:tcW w:w="0" w:type="dxa"/>
            <w:vAlign w:val="bottom"/>
          </w:tcPr>
          <w:p>
            <w:pPr>
              <w:spacing w:after="0"/>
              <w:rPr>
                <w:sz w:val="1"/>
                <w:szCs w:val="1"/>
                <w:color w:val="auto"/>
              </w:rPr>
            </w:pPr>
          </w:p>
        </w:tc>
      </w:tr>
      <w:tr>
        <w:trPr>
          <w:trHeight w:val="73"/>
        </w:trPr>
        <w:tc>
          <w:tcPr>
            <w:tcW w:w="82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56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gridSpan w:val="5"/>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Accounts payable — trade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30,121</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Dividends payable</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8,787</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Income tax payable</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Due to sellers of acquired business</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6,829</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Container deposits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59,765</w:t>
            </w:r>
          </w:p>
        </w:tc>
        <w:tc>
          <w:tcPr>
            <w:tcW w:w="0" w:type="dxa"/>
            <w:vAlign w:val="bottom"/>
          </w:tcPr>
          <w:p>
            <w:pPr>
              <w:spacing w:after="0"/>
              <w:rPr>
                <w:sz w:val="1"/>
                <w:szCs w:val="1"/>
                <w:color w:val="auto"/>
              </w:rPr>
            </w:pPr>
          </w:p>
        </w:tc>
      </w:tr>
      <w:tr>
        <w:trPr>
          <w:trHeight w:val="237"/>
        </w:trPr>
        <w:tc>
          <w:tcPr>
            <w:tcW w:w="8580" w:type="dxa"/>
            <w:vAlign w:val="bottom"/>
            <w:gridSpan w:val="5"/>
          </w:tcPr>
          <w:p>
            <w:pPr>
              <w:ind w:left="40"/>
              <w:spacing w:after="0"/>
              <w:rPr>
                <w:sz w:val="20"/>
                <w:szCs w:val="20"/>
                <w:color w:val="auto"/>
              </w:rPr>
            </w:pPr>
            <w:r>
              <w:rPr>
                <w:rFonts w:ascii="Arial" w:cs="Arial" w:eastAsia="Arial" w:hAnsi="Arial"/>
                <w:sz w:val="16"/>
                <w:szCs w:val="16"/>
                <w:color w:val="auto"/>
              </w:rPr>
              <w:t>LONG-TERM DEBT, LESS CURRENT PORTION</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106,934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123,616</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PENSION WITHDRAWAL LIABILITY</w:t>
            </w:r>
          </w:p>
        </w:tc>
        <w:tc>
          <w:tcPr>
            <w:tcW w:w="5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37"/>
        </w:trPr>
        <w:tc>
          <w:tcPr>
            <w:tcW w:w="8580" w:type="dxa"/>
            <w:vAlign w:val="bottom"/>
            <w:gridSpan w:val="5"/>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42,242</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LONG-TERM LIABILITIES</w:t>
            </w:r>
          </w:p>
        </w:tc>
        <w:tc>
          <w:tcPr>
            <w:tcW w:w="56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210,085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235,516</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COMMITMENTS AND CONTINGENCIES</w:t>
            </w:r>
          </w:p>
        </w:tc>
        <w:tc>
          <w:tcPr>
            <w:tcW w:w="5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580" w:type="dxa"/>
            <w:vAlign w:val="bottom"/>
            <w:gridSpan w:val="5"/>
            <w:shd w:val="clear" w:color="auto" w:fill="CCEEFF"/>
          </w:tcPr>
          <w:p>
            <w:pPr>
              <w:ind w:left="380"/>
              <w:spacing w:after="0"/>
              <w:rPr>
                <w:sz w:val="20"/>
                <w:szCs w:val="20"/>
                <w:color w:val="auto"/>
              </w:rPr>
            </w:pPr>
            <w:r>
              <w:rPr>
                <w:rFonts w:ascii="Arial" w:cs="Arial" w:eastAsia="Arial" w:hAnsi="Arial"/>
                <w:sz w:val="16"/>
                <w:szCs w:val="16"/>
                <w:color w:val="auto"/>
              </w:rPr>
              <w:t>Common stock; authorized: 30,000,000 shares of $0.05 par value; 10,538,328 and 10,512,471 shares issued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6"/>
                <w:szCs w:val="16"/>
                <w:color w:val="auto"/>
              </w:rPr>
              <w:t>outstanding as of October 2, 2016 and April 3, 2016,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49,815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48,189</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152,265</w:t>
            </w:r>
          </w:p>
        </w:tc>
        <w:tc>
          <w:tcPr>
            <w:tcW w:w="0" w:type="dxa"/>
            <w:vAlign w:val="bottom"/>
          </w:tcPr>
          <w:p>
            <w:pPr>
              <w:spacing w:after="0"/>
              <w:rPr>
                <w:sz w:val="1"/>
                <w:szCs w:val="1"/>
                <w:color w:val="auto"/>
              </w:rPr>
            </w:pPr>
          </w:p>
        </w:tc>
      </w:tr>
      <w:tr>
        <w:trPr>
          <w:trHeight w:val="237"/>
        </w:trPr>
        <w:tc>
          <w:tcPr>
            <w:tcW w:w="8580" w:type="dxa"/>
            <w:vAlign w:val="bottom"/>
            <w:gridSpan w:val="5"/>
          </w:tcPr>
          <w:p>
            <w:pPr>
              <w:ind w:left="3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Total shareholders’ equity</w:t>
            </w:r>
          </w:p>
        </w:tc>
        <w:tc>
          <w:tcPr>
            <w:tcW w:w="608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200,975</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422,911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436,491</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0" w:type="dxa"/>
            <w:vAlign w:val="bottom"/>
            <w:vMerge w:val="restart"/>
          </w:tcPr>
          <w:p>
            <w:pPr>
              <w:ind w:left="10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6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27,</w:t>
            </w:r>
          </w:p>
        </w:tc>
        <w:tc>
          <w:tcPr>
            <w:tcW w:w="240" w:type="dxa"/>
            <w:vAlign w:val="bottom"/>
          </w:tcPr>
          <w:p>
            <w:pPr>
              <w:spacing w:after="0"/>
              <w:rPr>
                <w:sz w:val="12"/>
                <w:szCs w:val="12"/>
                <w:color w:val="auto"/>
              </w:rPr>
            </w:pPr>
          </w:p>
        </w:tc>
        <w:tc>
          <w:tcPr>
            <w:tcW w:w="12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2"/>
                <w:szCs w:val="12"/>
                <w:color w:val="auto"/>
              </w:rPr>
            </w:pPr>
          </w:p>
        </w:tc>
        <w:tc>
          <w:tcPr>
            <w:tcW w:w="120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w w:val="96"/>
              </w:rPr>
              <w:t>September 27,</w:t>
            </w:r>
          </w:p>
        </w:tc>
      </w:tr>
      <w:tr>
        <w:trPr>
          <w:trHeight w:val="192"/>
        </w:trPr>
        <w:tc>
          <w:tcPr>
            <w:tcW w:w="5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196,088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(155,542)</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40,546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(20,194)</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20,352</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(7,889)</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10,536,309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10,545,992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10,524,724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10,563,267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10,586,939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10,589,824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10,581,253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10,614,484</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324"/>
        </w:trPr>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5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27,</w:t>
            </w: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12,469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available-for-sale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loss on interest rate swap</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14,678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12,490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2,</w:t>
            </w:r>
          </w:p>
        </w:tc>
        <w:tc>
          <w:tcPr>
            <w:tcW w:w="18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September 27,</w:t>
            </w:r>
          </w:p>
        </w:tc>
      </w:t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14,794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12,469</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6,950</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869</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loss from property disposals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3,040</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(4,173)</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(1,316)</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1,908</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895</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20,525</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(9,669)</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(4,873)</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 and maturities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(4,450)</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(9,718)</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(4,038)</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surrendered for payroll taxes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senior secured revolving credit facility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senior secured term loan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(8,688)</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2,119</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18,639</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20,758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5,981</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1,406</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860"/>
          </w:cols>
          <w:pgMar w:left="240" w:top="580" w:right="7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60"/>
          </w:cols>
          <w:pgMar w:left="240" w:top="580" w:right="7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3, 2016,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3, 2016, previously filed with the SEC. There has been no significant change in our accounting policies since the end of fiscal 2016.</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six months ended October 2, 2016 are not necessarily indicative of the results that may be expected for the full year.</w:t>
      </w:r>
    </w:p>
    <w:p>
      <w:pPr>
        <w:spacing w:after="0" w:line="18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References to fiscal 2016 refer to the fiscal year ended April 3, 2016 and references to fiscal 2017 refer to the fiscal year ending April 2, 2017. As compared to our normal 52-week fiscal years, fiscal 2016 was a 53-week year, with the extra week recorded in our fourth quarter’s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and will be effective for years beginning after December 15, 2016 (our fiscal year ending April 1, 2018) and interim periods within those years. We are currently evaluating the impact of this accounting pronouncement on our results of operations and financial position.</w:t>
      </w:r>
    </w:p>
    <w:p>
      <w:pPr>
        <w:spacing w:after="0" w:line="31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March 2016, the FASB issued ASU 2016-02, which provides new accounting guidance requiring lessees to recognize most leases as assets and liabilities on the balance sheet. This guidance will be effective for interim periods beginning after December 15, 2018 (our fiscal year ended March 30, 2020). We are currently evaluating the impact of this accounting pronouncement on our results of operations and financial position.</w:t>
      </w:r>
    </w:p>
    <w:p>
      <w:pPr>
        <w:spacing w:after="0" w:line="2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of this accounting pronouncement on our results of operations and financial position.</w:t>
      </w:r>
    </w:p>
    <w:p>
      <w:pPr>
        <w:spacing w:after="0" w:line="3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first-out (“LIFO”) method is unchanged by this guidance. The new guidance will be applied prospectively and will be effective for fiscal years beginning after December 15, 2016 (our fiscal year ending April 1, 2018), and interim periods within those years. We are currently evaluating the impact of this accounting pronouncement on our results of operations and financial position.</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September 2015, the FASB issued ASU 2015-16, which eliminates the requirement for an acquirer to retrospectively adjust the financial statements for measurement-period adjustments that occur in periods after a business combination is consummated. We adopted this guidance in the first quarter of fiscal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b w:val="1"/>
                <w:bCs w:val="1"/>
                <w:color w:val="auto"/>
              </w:rPr>
              <w:t>October 2,</w:t>
            </w: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27,</w:t>
            </w: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October 2,</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27,</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10,536,309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10,545,992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10,524,724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10,563,267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50,630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43,832</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56,529</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51,217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10,586,939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10,589,824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10,581,253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10,614,484</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each of the three and six months ended October 2, 2016 and September 27, 2015, there were no shares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Acquisition of Stauber Performance Ingredients: </w:t>
      </w:r>
      <w:r>
        <w:rPr>
          <w:rFonts w:ascii="Arial" w:cs="Arial" w:eastAsia="Arial" w:hAnsi="Arial"/>
          <w:sz w:val="18"/>
          <w:szCs w:val="18"/>
          <w:color w:val="auto"/>
        </w:rPr>
        <w:t>On December 23, 2015, we acquired Stauber Performance Ingredients (“Stauber”) for $157.0 million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cash-free, debt-free basis subject to a customary working capital adjustment. The total consideration for the acquisition was $158.2 million ($156.7 million net of cash acquired). We paid $156.0 million in cash at closing and paid an additional $2.2 million during the first quarter of fiscal 2017 based upon closing cash, debt and working capital balances. The purchase was funded with $131.0 million of proceeds from the credit facility described more fully in Note 8 as well as cash on hand.</w:t>
      </w:r>
    </w:p>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Stauber operates out of facilities in New York and California and blends and distributes specialty products and ingredients to the nutritional, food, pharmaceutical, cosmetic and pet care industries. The acquisition expanded our portfolio of value-added specialty products within new markets. Stauber had revenues of approximately $118.0 million for the twelve months ended December 23, 2015, the date of the acquisition. The results of operations since the acquisition date, and the assets, including the goodwill associated with the acquisition, are included in our newly-formed Health and Nutrition operating segment.</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acquisition was accounted for under the acquisition method of accounting. Accordingly, the cost to acquire Stauber was allocated to the underlying net assets in proportion to estimates of their respective fair values.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acquired property, plant and equipment of $11.0 million was valued using a cost approach with consideration given to the continuation of the property in the current operation at the present locations. The fair value of acquired identifiable intangible assets was $71.5 million. The acquired intangible assets, all of which are finite-lived, have a weighted average useful life of 16.3 years and are being amortized on a straight-line basis. The intangible assets include customer relationships of $66.0 million (17 year life), trade name of $4.0 million (10 year life), non-competition agreements of $1.3 million (3.3 year weighted average life) and order backlog of $0.1 million.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acquired identifiable intangible assets was determined using the income approach. In performing these valuations, the key underlying probability-adjusted assumptions of the discounted cash flows were projected revenues, gross margin expectations and operating cost estimates. The valuations were based on the information that was available as of the acquisition date and expectations and assumptions that have been deemed reasonable by management. There are inherent uncertainties and management judgment required in these determinations. The fair value measurements of the assets acquired were based on valuations involving significant unobservable inputs, or Level 3 in the fair value hierarchy. None of the intangible assets are expected to be deductible for income tax purposes. As a result, a $28.6 million deferred tax liability was recorded on the opening balance sheet for the amount of non-deductible amortization expense.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2" w:right="239" w:bottom="1440" w:gutter="0" w:footer="0" w:header="0"/>
        </w:sectPr>
      </w:pPr>
    </w:p>
    <w:bookmarkStart w:id="8" w:name="page9"/>
    <w:bookmarkEnd w:id="8"/>
    <w:p>
      <w:pPr>
        <w:ind w:right="40"/>
        <w:spacing w:after="0" w:line="273" w:lineRule="auto"/>
        <w:rPr>
          <w:sz w:val="20"/>
          <w:szCs w:val="20"/>
          <w:color w:val="auto"/>
        </w:rPr>
      </w:pPr>
      <w:r>
        <w:rPr>
          <w:rFonts w:ascii="Arial" w:cs="Arial" w:eastAsia="Arial" w:hAnsi="Arial"/>
          <w:sz w:val="17"/>
          <w:szCs w:val="17"/>
          <w:color w:val="auto"/>
        </w:rPr>
        <w:t>The purchase price of Stauber exceeded the acquisition-date amounts of the identifiable assets acquired less the liabilities assumed by $84.2 million. Cash flows used to determine the purchase price included strategic and synergistic benefits (investment value) specific to our businesses, which resulted in a purchase price in excess of the fair value of identifiable net assets. The purchase price also included the fair values of other assets that were not identifiable, not separately recognizable under accounting rules (e.g., assembled workforce) or of immaterial value in addition to a going-concern element that represents our ability to earn a higher rate of return on the group of assets than would be expected on the separate assets as determined during the valuation process. None of the goodwill is expected to be deductible for income tax purposes.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allocation of the purchase price to trade receivables and goodwill remains subject to change within the measurement period (up to one year from the acquisition date). The fair value of trade receivables is open pending the collection of certain uncollected balances. Any adjustment to the preliminary allocation of fair value of trade receivables will result in an adjustment to goodwill. The following table summarizes the fair value measurement of the assets acquired and liabilities assumed as of the acquisition date: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15,737</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10,989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71,459</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 (a)</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40" w:type="dxa"/>
            <w:vAlign w:val="bottom"/>
          </w:tcPr>
          <w:p>
            <w:pPr>
              <w:spacing w:after="0"/>
              <w:rPr>
                <w:sz w:val="20"/>
                <w:szCs w:val="20"/>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84,229</w:t>
            </w:r>
          </w:p>
        </w:tc>
      </w:tr>
      <w:tr>
        <w:trPr>
          <w:trHeight w:val="23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Total preliminary purchase price</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158,176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acquired cash</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5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Preliminary purchase price, net of cash acquired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156,674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8"/>
        <w:spacing w:after="0" w:line="273" w:lineRule="auto"/>
        <w:tabs>
          <w:tab w:leader="none" w:pos="196"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to these balances, $7.3 million of cash and current accrued liabilities were recorded that relate to stock and other acquisition-related compensation payments, which were recorded by Stauber as of the acquisition date but were paid subsequent to the acquisition date.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584" w:right="339" w:bottom="1440" w:gutter="0" w:footer="0" w:header="0"/>
        </w:sectPr>
      </w:pPr>
    </w:p>
    <w:bookmarkStart w:id="9" w:name="page10"/>
    <w:bookmarkEnd w:id="9"/>
    <w:p>
      <w:pPr>
        <w:spacing w:after="0" w:line="279" w:lineRule="auto"/>
        <w:rPr>
          <w:sz w:val="20"/>
          <w:szCs w:val="20"/>
          <w:color w:val="auto"/>
        </w:rPr>
      </w:pPr>
      <w:r>
        <w:rPr>
          <w:rFonts w:ascii="Arial" w:cs="Arial" w:eastAsia="Arial" w:hAnsi="Arial"/>
          <w:sz w:val="17"/>
          <w:szCs w:val="17"/>
          <w:color w:val="auto"/>
        </w:rPr>
        <w:t>The following pro forma information has been prepared as if the Stauber acquisition and the borrowing to finance the acquisition had occurred as of the beginning of fiscal 2016. The pro forma information is not necessarily indicative of what our consolidated results of operations actually would have been had the acquisition occurred at the beginning of the fiscal year, nor is it indicative of our future operational results. There is no pro forma information presented for the three and six months ended October 2, 2016 as Stauber’s results are included for the full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9977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33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Three Months Ended September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34290</wp:posOffset>
            </wp:positionV>
            <wp:extent cx="272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Pro Forma</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Stauber</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Combined Pro</w:t>
            </w:r>
          </w:p>
        </w:tc>
      </w:tr>
      <w:tr>
        <w:trPr>
          <w:trHeight w:val="22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As Reported</w:t>
            </w:r>
          </w:p>
        </w:tc>
        <w:tc>
          <w:tcPr>
            <w:tcW w:w="320" w:type="dxa"/>
            <w:vAlign w:val="bottom"/>
          </w:tcPr>
          <w:p>
            <w:pPr>
              <w:spacing w:after="0"/>
              <w:rPr>
                <w:sz w:val="19"/>
                <w:szCs w:val="19"/>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Adjustments</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Forma Results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94,592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29,448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124,040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5,678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6,052</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0.57</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43"/>
        </w:trPr>
        <w:tc>
          <w:tcPr>
            <w:tcW w:w="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6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0"/>
              </w:rPr>
              <w:t>Six Months Ended September 27, 2015</w:t>
            </w: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3"/>
              </w:rPr>
              <w:t>Pro Forma</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9"/>
              </w:rPr>
              <w:t>Stauber</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Combined Pro</w:t>
            </w:r>
          </w:p>
        </w:tc>
      </w:tr>
      <w:tr>
        <w:trPr>
          <w:trHeight w:val="241"/>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7"/>
              </w:rPr>
              <w:t>As Reported</w:t>
            </w: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89"/>
              </w:rPr>
              <w:t>Adjustments</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1"/>
              </w:rPr>
              <w:t>Forma Results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Pro forma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196,088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61,702</w:t>
            </w:r>
          </w:p>
        </w:tc>
        <w:tc>
          <w:tcPr>
            <w:tcW w:w="2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257,790</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12,469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14,102</w:t>
            </w:r>
          </w:p>
        </w:tc>
      </w:tr>
      <w:tr>
        <w:trPr>
          <w:trHeight w:val="324"/>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Pro forma 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w:t>
            </w:r>
          </w:p>
        </w:tc>
      </w:tr>
    </w:tbl>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Included in pro forma net income for the six months ended September 27, 2015 was a $0.9 million pre-tax non-operating gain recorded by Stauber, or $0.05 per share, fully diluted. The unaudited pro forma financial information above is adjusted to reflect the following: (a) interest expense, including amortization of debt issuance costs, related to the $131.0 million of debt used to fund the acquisition; (b) amortization expense related to the $71.5 million of identifiable intangible assets recognized in conjunction with the acquisition; (c) elimination of amortization of intangibles and interest expense previously reflected on Stauber’s financial statements; and (d) recording income taxes at an estimated statutory rate of 37.5% on the resulting pre-tax income.</w:t>
      </w:r>
    </w:p>
    <w:p>
      <w:pPr>
        <w:spacing w:after="0" w:line="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Acquisition of Davis Supply, Inc.</w:t>
      </w:r>
      <w:r>
        <w:rPr>
          <w:rFonts w:ascii="Arial" w:cs="Arial" w:eastAsia="Arial" w:hAnsi="Arial"/>
          <w:sz w:val="18"/>
          <w:szCs w:val="18"/>
          <w:color w:val="auto"/>
        </w:rPr>
        <w:t>: On September 18, 2015, we acquired substantially all of the assets of Davis Supply, Inc. (“Davis”) under the terms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$5.0 million in calendar year 2014. We integrated this business into our existing Florida locations. The results of operations after the date of acquisition and the acquired assets are included in our Water Treatment Segment.</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827" w:right="319" w:bottom="1440" w:gutter="0" w:footer="0" w:header="0"/>
        </w:sectPr>
      </w:pPr>
    </w:p>
    <w:bookmarkStart w:id="10" w:name="page11"/>
    <w:bookmarkEnd w:id="10"/>
    <w:p>
      <w:pPr>
        <w:jc w:val="both"/>
        <w:ind w:right="140"/>
        <w:spacing w:after="0" w:line="259"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acquired based on their estimated fair values. We estimated the fair values of the assets acquired and liabilities assumed using a discounted cash flow analysis (income approach). The following table summarizes the allocation of the purchase price to the fair values assigned to the assets acquired and liabilities assumed as of the acquisition date:</w:t>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Amount</w:t>
            </w:r>
          </w:p>
        </w:tc>
      </w:tr>
      <w:tr>
        <w:trPr>
          <w:trHeight w:val="237"/>
        </w:trPr>
        <w:tc>
          <w:tcPr>
            <w:tcW w:w="2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Inventories</w:t>
            </w:r>
          </w:p>
        </w:tc>
        <w:tc>
          <w:tcPr>
            <w:tcW w:w="796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2,532</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Intangible assets recognized in connection with this acquisition consist of $2.4 million related to customer relationships to be amortized over 20 years, and $0.1 million related to a non-compete agreement to be amortized over five years. The goodwill recognized as a result of this acquisition is primarily attributable to strategic and synergistic benefits, as well as the assembled workforce. This goodwill is expected to be deductible for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Derivative Instruments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October 2, 2016, we recorded $0.1 million in other comprehensive loss related to unrealized losses (net of tax) on the cash flow hedge. A long-term</w:t>
      </w:r>
    </w:p>
    <w:p>
      <w:pPr>
        <w:spacing w:after="0" w:line="8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liability of $0.2 million is included in other-long term liabilities on our condensed consolidated balance sheet as of October 2, 2016. No amounts were reflected in other comprehensive income (loss) related to cash flow hedges for the three or six months ended September 27, 2015 or on the condensed consolidated balance sheet as of September 27, 2015 as we did not hold any derivative instruments at that time. Unrealized gains and losses will be reflected in net income when the related cash flows or hedged transactions occur and offset the related performance of the hedged item.</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financial assets and liabilities are measured at fair value as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28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94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4" w:right="299" w:bottom="1440" w:gutter="0" w:footer="0" w:header="0"/>
        </w:sectPr>
      </w:pPr>
    </w:p>
    <w:bookmarkStart w:id="11" w:name="page12"/>
    <w:bookmarkEnd w:id="11"/>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 of interest rate swaps is determined by the respective counterparties based on interest rate changes. Interest rate swaps are valued based on observable interest rate yield curves for similar instruments.</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the balances of liabilities measured at fair value on a recurring basis as of October 2, 2016. There were no liabilities measured at fair value on a recurring basis as of April 3,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Level 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Total</w:t>
            </w:r>
          </w:p>
        </w:tc>
        <w:tc>
          <w:tcPr>
            <w:tcW w:w="360" w:type="dxa"/>
            <w:vAlign w:val="bottom"/>
            <w:tcBorders>
              <w:bottom w:val="single" w:sz="8" w:color="auto"/>
            </w:tcBorders>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4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194</w:t>
            </w:r>
          </w:p>
        </w:tc>
        <w:tc>
          <w:tcPr>
            <w:tcW w:w="960" w:type="dxa"/>
            <w:vAlign w:val="bottom"/>
          </w:tcPr>
          <w:p>
            <w:pPr>
              <w:spacing w:after="0"/>
              <w:rPr>
                <w:sz w:val="21"/>
                <w:szCs w:val="21"/>
                <w:color w:val="auto"/>
              </w:rPr>
            </w:pPr>
          </w:p>
        </w:tc>
      </w:tr>
      <w:tr>
        <w:trPr>
          <w:trHeight w:val="675"/>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Note 6 – Inventories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5500" w:type="dxa"/>
            <w:vAlign w:val="bottom"/>
            <w:gridSpan w:val="3"/>
          </w:tcPr>
          <w:p>
            <w:pPr>
              <w:spacing w:after="0"/>
              <w:rPr>
                <w:sz w:val="20"/>
                <w:szCs w:val="20"/>
                <w:color w:val="auto"/>
              </w:rPr>
            </w:pPr>
            <w:r>
              <w:rPr>
                <w:rFonts w:ascii="Arial" w:cs="Arial" w:eastAsia="Arial" w:hAnsi="Arial"/>
                <w:sz w:val="18"/>
                <w:szCs w:val="18"/>
                <w:color w:val="auto"/>
                <w:w w:val="92"/>
              </w:rPr>
              <w:t>Inventories at October 2, 2016 and April 3, 2016 consisted of the following:</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October 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3,</w:t>
            </w:r>
          </w:p>
        </w:tc>
      </w:tr>
      <w:tr>
        <w:trPr>
          <w:trHeight w:val="221"/>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58,123</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51,857</w:t>
            </w: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(3,772)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(4,138)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54,351</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FIFO value of inventories accounted for under the LIFO method was $41.7 million at October 2, 2016 and $36.5 million at April 3, 2016. The remainder of the inventory was valued and accounted for under the FIFO method.</w:t>
      </w:r>
    </w:p>
    <w:p>
      <w:pPr>
        <w:spacing w:after="0" w:line="170"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LIFO reserve decreased $0.3 million during the three months ended October 2, 2016 and decreased nominally during the three months ended September 27, 2015. During the six months ended October 2, 2016 the LIFO reserve decreased $0.4 million and decreased nominally for the six months ended September 27, 2015. The valuation of LIFO inventory for interim periods is based on our estimates of year-end inventory levels and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was $97.7 million as of October 2, 2016 and April 3,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October 2, 2016 and April 3,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 2016</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April 3, 2016</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72,836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79,891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82,934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39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Note 8 – Debt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640" w:type="dxa"/>
            <w:vAlign w:val="bottom"/>
            <w:gridSpan w:val="3"/>
          </w:tcPr>
          <w:p>
            <w:pPr>
              <w:spacing w:after="0"/>
              <w:rPr>
                <w:sz w:val="20"/>
                <w:szCs w:val="20"/>
                <w:color w:val="auto"/>
              </w:rPr>
            </w:pPr>
            <w:r>
              <w:rPr>
                <w:rFonts w:ascii="Arial" w:cs="Arial" w:eastAsia="Arial" w:hAnsi="Arial"/>
                <w:sz w:val="18"/>
                <w:szCs w:val="18"/>
                <w:color w:val="auto"/>
              </w:rPr>
              <w:t>Debt at October 2, 2016 and April 3, 2016 consisted of the following:</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8"/>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w:t>
            </w:r>
          </w:p>
        </w:tc>
        <w:tc>
          <w:tcPr>
            <w:tcW w:w="2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3,</w:t>
            </w:r>
          </w:p>
        </w:tc>
      </w:tr>
      <w:tr>
        <w:trPr>
          <w:trHeight w:val="234"/>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140" w:type="dxa"/>
            <w:vAlign w:val="bottom"/>
            <w:tcBorders>
              <w:right w:val="single" w:sz="8" w:color="CCEEFF"/>
            </w:tcBorders>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98,750</w:t>
            </w: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secured revolver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31,000</w:t>
            </w:r>
          </w:p>
        </w:tc>
      </w:tr>
      <w:tr>
        <w:trPr>
          <w:trHeight w:val="237"/>
        </w:trPr>
        <w:tc>
          <w:tcPr>
            <w:tcW w:w="140" w:type="dxa"/>
            <w:vAlign w:val="bottom"/>
          </w:tcPr>
          <w:p>
            <w:pPr>
              <w:spacing w:after="0"/>
              <w:rPr>
                <w:sz w:val="20"/>
                <w:szCs w:val="20"/>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114,250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129,750</w:t>
            </w: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43"/>
        </w:trPr>
        <w:tc>
          <w:tcPr>
            <w:tcW w:w="140" w:type="dxa"/>
            <w:vAlign w:val="bottom"/>
          </w:tcPr>
          <w:p>
            <w:pPr>
              <w:spacing w:after="0"/>
              <w:rPr>
                <w:sz w:val="21"/>
                <w:szCs w:val="21"/>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(5,489)</w:t>
            </w: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106,934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123,616</w:t>
            </w:r>
          </w:p>
        </w:tc>
      </w:tr>
      <w:tr>
        <w:trPr>
          <w:trHeight w:val="20"/>
        </w:trPr>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subject to U.S. federal income tax as well as income tax of multiple state jurisdictions. The tax years prior to our fiscal year ended March 31, 2013 are closed to examination by the Internal Revenue Service, and with few exceptions, state and local income tax jurisdictions. Our effective tax rate for the six months ended October 2, 2016 was approximately 38.1%, compared to an effective tax rate of 38.8% for the six months ended September 27, 2015. The effective tax rate is impacted by projected levels of annual taxable income, permanent items, and state taxes. Our federal tax return filed for our fiscal year ended March 29, 2015 is currently under examination by the Internal Revenue Service.</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2016, we recorded a gross unrecognized tax benefit of $1.9 million in other long-term liabilities on our consolidated balance sheet as a result of uncertain income tax positions taken by Stauber on its tax returns for periods prior to our acquisition. The Stauber acquisition agreement provides us with indemnification by the prior owners for any tax liabilities relating to pre-acquisition tax returns. Accordingly, we have also recorded an offsetting, long-term receivable for $1.9 million, and as such any change in the unrecognized tax benefit will not impact our effective tax rate in future periods. We expect these uncertain income tax amounts to decrease as the applicable examination periods by the relevant taxing authorities expire. During the three months ended October 2, 2016 the unrecognized tax benefit and the offsetting receivable were reduced to $0.8 million due to the expiration of the statute of limitations. As of October 2, 2016 and April 3, 2016, the liability for uncertain tax positions and the corresponding receivable included $0.1 million and $0.3 million of interest and penalties,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2017 and fiscal 2016.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54,028 shares in the aggregate for fiscal 2017.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October 2, 2016:</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recorded compensation expense of $0.4 million and $0.8 million related to performance share units and restricted stock for the three and six months ended October 2, 2016, respectively. We recorded compensation expense of $0.3 million and $0.6 million related to performance share units and restricted stock for the three and six months ended September 27,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3" w:name="page14"/>
    <w:bookmarkEnd w:id="13"/>
    <w:p>
      <w:pPr>
        <w:ind w:right="560"/>
        <w:spacing w:after="0" w:line="277" w:lineRule="auto"/>
        <w:rPr>
          <w:sz w:val="20"/>
          <w:szCs w:val="20"/>
          <w:color w:val="auto"/>
        </w:rPr>
      </w:pPr>
      <w:r>
        <w:rPr>
          <w:rFonts w:ascii="Arial" w:cs="Arial" w:eastAsia="Arial" w:hAnsi="Arial"/>
          <w:sz w:val="18"/>
          <w:szCs w:val="18"/>
          <w:color w:val="auto"/>
        </w:rPr>
        <w:t>respectively. Substantially all of the compensation expense was recorded in selling, general and administrative expenses in the condensed consolidated statements of income.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each non-employee director receives an annual grant of restricted stock for their Board of Director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restricted stock awards are expensed over the requisite vesting period, which is one year from the date of issuance, based on the market value on the date of grant. As of October 2, 2016, there were 8,092 shares of restricted stock with a weighted averaged grant date fair value of $43.24 outstanding under this program. Compensation expense for each of the three and six months ended October 2, 2016 and September 27, 2015 related to restricted stock awards to the Board was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fiscal 2015,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 shares were repurchased during the six months ended October 2, 2016. During the first six months of fiscal 2016, 127,852 shares at an aggregate purchase price of $4.8 million were repurchased. The remaining balance of shares available to be purchased under the current share repurchase program is 112,546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three reportable segments: Industrial, Water Treatment, and Health and Nutrition. Our Health and Nutrition segment was established as a result of our acquisition of Stauber in the third quarter of fiscal 2016. The accounting policies of the segments are the same as those described in the summary of significant accounting policies in our fiscal 2016 Annual Report on Form 10-K.</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Shared corporate functions are allocated between the segments that they support.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1"/>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Treatment</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October 2, 2016:</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55,846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36,856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121,250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27,032</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14,871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12,161</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Three months ended September 27, 2015: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94,592</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19,811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10,303</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9,508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Six months ended October 2, 2016:</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119,634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252,624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55,248</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29,997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25,251</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Six months ended September 27, 2015: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196,088</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40,546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20,194</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October 2, 2016.</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240" w:top="958" w:right="77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and six months ended October 2, 2016 as compared to the similar periods ended September 27, 2015. This discussion should be read in conjunction with the condensed consolidated financial statements and notes to condensed consolidated financial statements included in this quarterly report on Form 10-Q and Item 8 of our Annual Report on Form 10-K for the fiscal year ended April 3, 2016 (“fiscal 2016”). References to fiscal 2017 refer to the fiscal year ending April 2,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fiscal 2016, we acquired Stauber Performance Ingredients (“Stauber”) for $157.0 million on a cash-free, debt-free basis, subject to a customary working capital adjustment. The total consideration for the acquisition was $158.2 million ($156.7 million net of cash acquired). Stauber operates out of facilities in New York and California and blends and distributes specialty products and ingredients to the nutritional, food, pharmaceutical, cosmetic and pet care industries. The acquisition expanded our portfolio of value-added specialty products within new markets. The results of operations since the acquisition date, and the assets, including the goodwill associated with the acquisition, are included in our newly-formed Health and Nutrition operating segment, starting with our results for the fourth quarter of fiscal 2016.</w:t>
      </w:r>
    </w:p>
    <w:p>
      <w:pPr>
        <w:spacing w:after="0" w:line="19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On September 18, 2015, we acquired substantially all of the assets of Davis Supply, Inc. (“Davis”) for $4.5 million under the terms of an asset purchase agreement with Davis and its shareholders. We integrated this business into our existing Florida locations. The results of operations after the date of acquisition and the acquired assets are included in our Water Treatment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No shares were repurchased during the six months ended October 2, 2016. During the first half of fiscal 2016, 127,852 shares at an aggregate purchase price of $4.8 million were repurchased. The remaining balance of shares available to be purchased under the current share repurchase program is 112,546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Operating Segment</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connection with the Stauber acquisition in fiscal 2016, we established our Health and Nutrition operating segment. This segment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 This is a new operating segment for us. We have provided comparisons below to prior year pro forma financial data disclosed in Note 3 to our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use the last in, first out (“LIFO”) method for valuing a large portion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decrease in our LIFO reserve of $0.3 million for the three months ended October 2, 2016 and $0.4 million for the six months ended October 2, 2016, both of which increased our reported gross profit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t>for those periods. We recorded a nominal decrease in our LIFO reserve for both the three and six months ended September 27, 2015. Inventories in the Health and Nutrition segment are valued using the first-in, first-out (“FIFO”) method.</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4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2, 2016</w:t>
            </w: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September 27, 2015</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2, 2016</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 27, 2015</w:t>
            </w:r>
          </w:p>
        </w:tc>
      </w:tr>
      <w:tr>
        <w:trPr>
          <w:trHeight w:val="27"/>
        </w:trPr>
        <w:tc>
          <w:tcPr>
            <w:tcW w:w="48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7"/>
        </w:trPr>
        <w:tc>
          <w:tcPr>
            <w:tcW w:w="48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8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8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8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October 2, 2016 Compared to Three Months Ended September 27, 2015 </w:t>
      </w:r>
      <w:r>
        <w:rPr>
          <w:rFonts w:ascii="Arial" w:cs="Arial" w:eastAsia="Arial" w:hAnsi="Arial"/>
          <w:sz w:val="18"/>
          <w:szCs w:val="18"/>
          <w:i w:val="1"/>
          <w:iCs w:val="1"/>
          <w:color w:val="auto"/>
        </w:rPr>
        <w:t>Sales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Sales increased $26.7 million, or 28.2%, to $121.3 million for the three months ended October 2, 2016, as compared to $94.6 million reported for the same period of the prior year.</w:t>
      </w:r>
    </w:p>
    <w:p>
      <w:pPr>
        <w:spacing w:after="0" w:line="11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were $55.8 million for the three months ended October 2, 2016, a decrease of $2.5 million from $58.3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of the prior year. Sales of bulk commodity products in the Industrial segment were approximately 19% of sales dollars for both the current quarter and the same period in the prior year. Lower raw material costs on certain products drove lower selling prices and the decrease in sales dollars.</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$0.6 million, or 1.7%, to $36.8 million for the three months ended October 2,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$36.2 million for the same period of the prior year. Sales of bulk commodity products in the Water Treatment segment were approximately 14% of sales dollars in the current year, compared to 15% in the same quarter a year ago. The increase in sales dollars was largely due to the business we acquired late in the second quarter of fiscal 2016 and increased volumes of specialized products, partially offset by lower per-unit selling prices due to reduced raw material costs on certain products.</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which was established in the third quarter of fiscal 2016, were $28.5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October 2, 2016. This compares to pro forma sales of $29.4 million for the same period last year and sales of $31.9 million in the first quarter of fiscal 2017. The lower sales this quarter were primarily due to fluctuations in the timing of customer orders and certain customers working down inventory on hand.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was $27.0 million, or 22.3% of sales, for the three months ended October 2, 2016, an increase of $7.2 million from $19.8 million, or 20.9% of sales, for the same period of the prior year.</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$1.0 million to $10.2 million, or 18.2% of sales, for the three months ended October 2,</w:t>
      </w:r>
      <w:r>
        <w:rPr>
          <w:rFonts w:ascii="Arial" w:cs="Arial" w:eastAsia="Arial" w:hAnsi="Arial"/>
          <w:sz w:val="18"/>
          <w:szCs w:val="18"/>
          <w:i w:val="1"/>
          <w:iCs w:val="1"/>
          <w:color w:val="auto"/>
        </w:rPr>
        <w:t xml:space="preserve"> </w:t>
      </w:r>
      <w:r>
        <w:rPr>
          <w:rFonts w:ascii="Arial" w:cs="Arial" w:eastAsia="Arial" w:hAnsi="Arial"/>
          <w:sz w:val="18"/>
          <w:szCs w:val="18"/>
          <w:color w:val="auto"/>
        </w:rPr>
        <w:t>2016, as compared to $9.2 million, or 15.7% of sales, for the same period of the prior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right="140"/>
        <w:spacing w:after="0" w:line="279" w:lineRule="auto"/>
        <w:rPr>
          <w:sz w:val="20"/>
          <w:szCs w:val="20"/>
          <w:color w:val="auto"/>
        </w:rPr>
      </w:pPr>
      <w:r>
        <w:rPr>
          <w:rFonts w:ascii="Arial" w:cs="Arial" w:eastAsia="Arial" w:hAnsi="Arial"/>
          <w:sz w:val="17"/>
          <w:szCs w:val="17"/>
          <w:color w:val="auto"/>
        </w:rPr>
        <w:t>While sales volumes were relatively flat in the quarter, our gross profit was improved due to a favorable product mix shift, lower raw material costs for certain products, and operational efficiencies as we increased our on-hand inventories during the quarter. The improvement in gross profit as a percentage of sales was largely due to decreased selling prices resulting from lower raw material costs. The LIFO method of valuing inventory increased gross profit by $0.3 million in the current year and had a nominal impact on gross profit for the same period of the prior year.</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$0.4 million to $11.1 million, or 30.0%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2, 2016, as compared to $10.6 million, or 29.3% of sales, for the same period of the prior year. The increase in gross profit dollars was primarily driven by increased sales volumes of specialized products that have higher per-unit margins, as well as profits from the business we acquired late in the second quarter of fiscal 2016. The LIFO method of valuing inventory increased gross profit by $0.1 million for the three months ended October 2, 2016 and had a nominal impact during the same quarter of the prior year.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and Nutrition Segment</w:t>
      </w:r>
      <w:r>
        <w:rPr>
          <w:rFonts w:ascii="Arial" w:cs="Arial" w:eastAsia="Arial" w:hAnsi="Arial"/>
          <w:sz w:val="16"/>
          <w:szCs w:val="16"/>
          <w:color w:val="auto"/>
        </w:rPr>
        <w:t>. Gross profit for our Health and Nutrition segment was $5.8 million, or 20.2% of sales, for the second quarter of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is a decrease of $1.4 million from the gross profit reported in the first quarter primarily resulting from lower sales with fixed production overhead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Inventories in this segment are valued using the FIFO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Selling, general and administrative (“SG&amp;A”) expenses were $14.9 million, or 12.3% of sales, for the three months ended October 2, 2016, an increase of $4.6 million from $10.3 million, or 10.9% of sales, for the same period of the prior year. SG&amp;A expenses in our Health and Nutrition segment accounted for $4.5 million of the increase in the current quarter, and includes $1.2 million of amortization expense on acquired intangible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Operating income was $12.2 million for the three months ended October 2, 2016, as compared to $9.5 million for the same period of the prior year. Operating income provided by our new Health and Nutrition segment was $1.2 million. Operating income in our Industrial segment increased by $1.1 million and operating income in our Water Treatment segment increased by $0.4 million driven by higher gross profits in both segments.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increased by $0.6 million for the second quarter of fiscal 2017, compared to the same period of the prior year, due to the interest costs on the debt added during the third quarter of fiscal 2016 to partially fund the Stauber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effective income tax rate was 37.7% for the three months ended October 2, 2016 compared to 40.2% for the three months ended September 27, 2015. Our tax rate for the quarter ended September 27, 2015 was impacted by $0.3 million of state income expense related to an audit assessment which covered multiple years. The effective tax rate is impacted by projected levels of annual taxable income, permanent items, and state taxes.</w:t>
      </w:r>
    </w:p>
    <w:p>
      <w:pPr>
        <w:spacing w:after="0" w:line="166" w:lineRule="exact"/>
        <w:rPr>
          <w:sz w:val="20"/>
          <w:szCs w:val="20"/>
          <w:color w:val="auto"/>
        </w:rPr>
      </w:pPr>
    </w:p>
    <w:p>
      <w:pPr>
        <w:ind w:right="4740"/>
        <w:spacing w:after="0" w:line="438" w:lineRule="auto"/>
        <w:rPr>
          <w:sz w:val="20"/>
          <w:szCs w:val="20"/>
          <w:color w:val="auto"/>
        </w:rPr>
      </w:pPr>
      <w:r>
        <w:rPr>
          <w:rFonts w:ascii="Arial" w:cs="Arial" w:eastAsia="Arial" w:hAnsi="Arial"/>
          <w:sz w:val="18"/>
          <w:szCs w:val="18"/>
          <w:b w:val="1"/>
          <w:bCs w:val="1"/>
          <w:i w:val="1"/>
          <w:iCs w:val="1"/>
          <w:color w:val="auto"/>
        </w:rPr>
        <w:t xml:space="preserve">Six months ended October 2, 2016 Compared to the Six months ended September 27, 2015 </w:t>
      </w:r>
      <w:r>
        <w:rPr>
          <w:rFonts w:ascii="Arial" w:cs="Arial" w:eastAsia="Arial" w:hAnsi="Arial"/>
          <w:sz w:val="18"/>
          <w:szCs w:val="18"/>
          <w:i w:val="1"/>
          <w:iCs w:val="1"/>
          <w:color w:val="auto"/>
        </w:rPr>
        <w:t>Sales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Sales increased $56.5 million, or 28.8%, to $252.6 million for the six months ended October 2, 2016, as compared to $196.1 million for the same period of the prior year.</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$119.6 million for the six months ended October 2, 2016, a decrease of $6.3 million from $125.9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of the prior year. Sales of bulk commodity products in the Industrial segment were approximately 18% of sales dollars for the six months ended October 2, 2016 compared to 19% for the same period of the previous year. Lower raw material costs on certain products drove lower selling prices and the decrease in sales dollars.</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$2.3 million, or 3.3%, to $72.5 million for the six months ended October 2, 2016,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$70.2 million for the same period of the prior year. Sales of bulk commodity products in the Water Treatment segment were approximately 14% of sales dollars in the current year compared to 16% a year ago. The increase in sales dollars was largely due to the business we acquired late in the second quarter of fiscal 2016 and increased volumes of specialized products partially offset by lower volumes of bulk products.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established in the third quarter of fiscal 2016 were $60.5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2, 2016. This compares to pro forma sales of $61.7 million for the same period last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was $55.2 million, or 21.9% of sales, for the six months ended October 2, 2016, an increase of $14.7 million from $40.5 million, or 20.7% of sales, for the same period of the prior year.</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increased $0.7 million to $20.6 million, or 17.2% of sales, for the six months ended October 2,</w:t>
      </w:r>
      <w:r>
        <w:rPr>
          <w:rFonts w:ascii="Arial" w:cs="Arial" w:eastAsia="Arial" w:hAnsi="Arial"/>
          <w:sz w:val="17"/>
          <w:szCs w:val="17"/>
          <w:i w:val="1"/>
          <w:iCs w:val="1"/>
          <w:color w:val="auto"/>
        </w:rPr>
        <w:t xml:space="preserve"> </w:t>
      </w:r>
      <w:r>
        <w:rPr>
          <w:rFonts w:ascii="Arial" w:cs="Arial" w:eastAsia="Arial" w:hAnsi="Arial"/>
          <w:sz w:val="17"/>
          <w:szCs w:val="17"/>
          <w:color w:val="auto"/>
        </w:rPr>
        <w:t>2016, as compared to $19.9 million, or 15.8% of sales, for the same period of the prior year. The LIFO method of valuing inventory increased gross profit in our Industrial segment by $0.3 million during the first half of fiscal 2017 and had a nominal impact on the same period of the prior year. Gross profit also increased year over year as a result of a product mix shift to products that carry higher per-unit margins. The improvement in gross profit as a percentage of sales was largely due to decreased selling prices resulting from lower raw material costs.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$1.1 million to $21.7 million, or 29.9% of sales,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2016, as compared to $20.6 million, or 29.4% of sales, for the same period of the prior year. The increase in gross profit dollars was primarily driven by increased sales volumes of specialized products that have higher per-unit margins as well as profits from the business we acquired late in the second quarter of fiscal 2016. The LIFO method of valuing inventory increased gross profits in our Water Treatment segment by $0.1 million during the first half of fiscal 2017 and had a nominal impact on the same period of the prior year.</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was $12.9 million, or 21.4% of sales, for the six months ended October 2,</w:t>
      </w:r>
      <w:r>
        <w:rPr>
          <w:rFonts w:ascii="Arial" w:cs="Arial" w:eastAsia="Arial" w:hAnsi="Arial"/>
          <w:sz w:val="18"/>
          <w:szCs w:val="18"/>
          <w:i w:val="1"/>
          <w:iCs w:val="1"/>
          <w:color w:val="auto"/>
        </w:rPr>
        <w:t xml:space="preserve"> </w:t>
      </w:r>
      <w:r>
        <w:rPr>
          <w:rFonts w:ascii="Arial" w:cs="Arial" w:eastAsia="Arial" w:hAnsi="Arial"/>
          <w:sz w:val="18"/>
          <w:szCs w:val="18"/>
          <w:color w:val="auto"/>
        </w:rPr>
        <w:t>2016. Inventories in this segment are valued using the FIFO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expenses were $30.0 million, or 11.9% of sales, for the six months ended October 2, 2016, an increase of $9.8 million from $20.2 million, or 10.3% of sales, for the same period of the prior year. SG&amp;A expenses in our Health and Nutrition segment were $9.2 million for the six months ended October 2, 2016, including $2.4 million of amortization expense on acquired intangible assets. Expenses increased in our Water Treatment and Industrial segments largely as a result of the addition of sales and support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Operating income was $25.3 million for the six months ended October 2, 2016, as compared to $20.4 million for the same period of the prior year. Operating income provided by our Health and Nutrition segment was $3.7 million. Operating income in our Industrial segment increased $0.6 million and operating income in our Water Treatment segment increased by $0.6 million, with higher gross profit partially offset by increased SG&amp;A expenses in both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increased by $1.3 million for the six months ended October 2, 2016, compared to the same period of the prior, year due to the interest costs on the debt added during the third quarter of fiscal 2016 to partially fund the Stauber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effective income tax rate was 38.1% for the six months ended October 2, 2016 compared to 38.8% for the six months ended September 27, 2015. Our tax rate for the six months ended September 27, 2015 was impacted by $0.3 million of state income expense related to an audit assessment which covered multiple years. The effective tax rate is impacted by projected levels of annual taxable income, permanent items, and state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Cash provided by operating activities for the six months ended October 2, 2016 was $28.0 million, compared to $20.5 million for the same period of the prior year. The increase in cash provided by operating activities was primarily driven by the added operating activity of the Health and Nutrition segment established in the third quarter of fiscal 2016.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9" w:name="page20"/>
    <w:bookmarkEnd w:id="19"/>
    <w:p>
      <w:pPr>
        <w:ind w:right="140"/>
        <w:spacing w:after="0" w:line="273" w:lineRule="auto"/>
        <w:rPr>
          <w:sz w:val="20"/>
          <w:szCs w:val="20"/>
          <w:color w:val="auto"/>
        </w:rPr>
      </w:pPr>
      <w:r>
        <w:rPr>
          <w:rFonts w:ascii="Arial" w:cs="Arial" w:eastAsia="Arial" w:hAnsi="Arial"/>
          <w:sz w:val="17"/>
          <w:szCs w:val="17"/>
          <w:color w:val="auto"/>
        </w:rPr>
        <w:t>Cash used in investing activities was $12.2 million for the six months ended October 2, 2016, compared to $9.7 million for the six months ended September 27, 2015. Capital expenditures were $10.3 million for the six months ended October 2, 2016, compared to $9.7 million in the same period of the prior fiscal year. Included in capital expenditures for the first six months of fiscal 2017 was $4.3 million related to business expansion, inventory storage, and process improvements, including the purchase of one of our previously leased Florida locations, and $4.0 million related to facility improvements, replacement equipment, new and replacement containers, and Water Treatment trucks. We paid $2.2 million of additional purchase price for Stauber as closing cash, debt and working capital balances were finalized during the half of fiscal 2017.</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used in financing activities was $19.2 million for the six months ended October 2, 2016, compared to cash used in financing activities of $8.7 million in the same period of the prior fiscal year. Included in financing activities were debt repayments of $2.5 million on our Term Loan Facility (as defined below) and $13.0 million on our Revolving Loan Facility (as defined below) which were made in the six months ended October 2, 2016. In the first six months of the prior fiscal year we used $4.8 million of cash for our share repurchase program.</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was $16.6 million at October 2, 2016, a decrease of $3.4 million as compared with the $20.0 million available as of April 3, 2016. Cash flows generated by operations during the six months ended October 2, 2016 were offset by capital expenditures, cash dividends paid, the Stauber acquisition purchase price adjustment, and debt repayments.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December 23, 2015, in connection with the Stauber acquisition described more fully in Note 3 to the condensed consolidated financial statements,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with the balance due at maturity. The Credit Facility is scheduled to terminate on December 23, 2020. The Credit Facility is secured by substantially all of our personal property assets and those of our subsidiaries.</w:t>
      </w:r>
    </w:p>
    <w:p>
      <w:pPr>
        <w:spacing w:after="0" w:line="1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6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October 2, 2016, the effective interest rate on our borrowings was 1.8%.</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used $131.0 million of the proceeds from the Credit Facility to fund our acquisition of Stauber. During the first six months of fiscal 2017, we repaid $13.0 million on the Revolving Loan Facility. Accordingly, as of October 2, 2016 we had $47.0 million remaining available under the Revolving Loan Facility, which may be used for working capital, capital expenditures, restricted payments and acquisitions permitted under the credit agreement, and other general corporate purposes.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ind w:right="120"/>
        <w:spacing w:after="0" w:line="277" w:lineRule="auto"/>
        <w:rPr>
          <w:sz w:val="20"/>
          <w:szCs w:val="20"/>
          <w:color w:val="auto"/>
        </w:rPr>
      </w:pPr>
      <w:r>
        <w:rPr>
          <w:rFonts w:ascii="Arial" w:cs="Arial" w:eastAsia="Arial" w:hAnsi="Arial"/>
          <w:sz w:val="18"/>
          <w:szCs w:val="18"/>
          <w:color w:val="auto"/>
        </w:rPr>
        <w:t>Debt issuance costs of $0.7 million paid to lenders are reflected as a reduction of long-term debt and are being amortized as interest expense over the term of the credit facility.</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October 2, 2016, we were in compliance with all required covenants.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3, 2016. The accounting policies used in preparing our condensed consolidated financial statements for the first quarter of fiscal 2017 are the same as those described in that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3, 2016.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annual interest expense by approximately $0.3 million. In the second quarter of fiscal 2017, we entered into an interest rate swap that will convert a portion of our variable rate debt into a fixed rate obligation. The new swap agreement will begin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We acquired Stauber Performance Ingredients on December 23, 2015. In the conduct of our assessment of the effectiveness of our disclosure controls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procedures and internal control over financial reporting for the period ended October 2, 2016, we have excluded total assets of $194.3 million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$152.1 million represents goodwill and intangibles included within the scope of the assessment) and net sales of $28.5 million and $60.5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Stauber that are included in our condensed consolidated financial statements as of and for the three and six months ended October 2, 2016. We must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Stauber in the conduct of our assessment of the effectiveness of our disclosure controls and procedures and internal control over financial reporting no later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the third quarter of fiscal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2017 that has materially affected, or is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584" w:right="31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3, 2016.</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sell or repurchase any shares of our common stock during the second quarter of fiscal 2017. As of October 2, 2016, the maximum number of shares available to be repurchased under the share repurchase program was 112,546.</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580" w:right="3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234" w:lineRule="exact"/>
        <w:rPr>
          <w:sz w:val="20"/>
          <w:szCs w:val="20"/>
          <w:color w:val="auto"/>
        </w:rPr>
      </w:pPr>
    </w:p>
    <w:p>
      <w:pPr>
        <w:ind w:left="160"/>
        <w:spacing w:after="0"/>
        <w:tabs>
          <w:tab w:leader="none" w:pos="564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437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(1)</w:t>
      </w:r>
    </w:p>
    <w:p>
      <w:pPr>
        <w:spacing w:after="0" w:line="7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(2)</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840" w:right="260" w:hanging="535"/>
        <w:spacing w:after="0" w:line="273" w:lineRule="auto"/>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Financial statements from the Quarterly Report on Form 10-Q of Hawkins, Inc. for the period ended October 2, 2016 filed with the SEC on November 2, 2016 formatted in Extensible Business Reporting Language (XBRL); (i) the Condensed Consolidated Balance Sheets at October 2, 2016 and April 3, 2016, (ii) the Condensed Consolidated Statements of Income for the Three and Six months ended October 2, 2016 and September 27, 2015, (iii) the Condensed Consolidated Statements of Comprehensive Income for the Three and Six months ended October 2, 2016 and September 27, 2015, (iv) the Condensed Consolidated Statements of Cash Flows for the Six months ended October 2, 2016 and September 27, 2015, and (v) Notes to Condensed Consolidated Financial Statements.</w:t>
      </w:r>
    </w:p>
    <w:p>
      <w:pPr>
        <w:spacing w:after="0" w:line="178" w:lineRule="exact"/>
        <w:rPr>
          <w:rFonts w:ascii="Arial" w:cs="Arial" w:eastAsia="Arial" w:hAnsi="Arial"/>
          <w:sz w:val="17"/>
          <w:szCs w:val="17"/>
          <w:color w:val="auto"/>
        </w:rPr>
      </w:pPr>
    </w:p>
    <w:p>
      <w:pPr>
        <w:ind w:left="540" w:hanging="316"/>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584" w:right="339" w:bottom="1440" w:gutter="0" w:footer="0" w:header="0"/>
        </w:sectPr>
      </w:pPr>
    </w:p>
    <w:bookmarkStart w:id="24" w:name="page25"/>
    <w:bookmarkEnd w:id="2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2016</w:t>
      </w:r>
    </w:p>
    <w:p>
      <w:pPr>
        <w:sectPr>
          <w:pgSz w:w="11900" w:h="16838" w:orient="portrait"/>
          <w:cols w:equalWidth="0" w:num="1">
            <w:col w:w="11220"/>
          </w:cols>
          <w:pgMar w:left="240" w:top="580" w:right="439" w:bottom="1440" w:gutter="0" w:footer="0" w:header="0"/>
        </w:sectPr>
      </w:pPr>
    </w:p>
    <w:bookmarkStart w:id="25" w:name="page26"/>
    <w:bookmarkEnd w:id="25"/>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63"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71"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statements from the Quarterly Report on Form 10-Q of Hawkins, Inc. for the period ended October 2, 2016 filed with the SEC on November 2, 2016 formatted in Extensible Business Reporting Language (XBRL); (i) the Condensed Consolidated Balance Sheets at October 2, 2016 and April 3, 2016, (ii) the Condensed Consolidated Statements of Income for the Three and Six months ended October 2, 2016 and September 27, 2015, (iii) the Condensed Consolidated Statements of Comprehensive Income for the Three and Six months ended October 2, 2016 and September 27, 2015, (iv) the Condensed Consolidated Statements of Cash Flows for the Six months ended October 2, 2016 and September 27, 2015, and (v)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46"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80" w:space="480"/>
            <w:col w:w="1920"/>
          </w:cols>
          <w:pgMar w:left="400" w:top="580" w:right="5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2, 2016,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 2016</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2, 2016,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decimal"/>
      <w:start w:val="1"/>
    </w:lvl>
    <w:lvl w:ilvl="1">
      <w:lvlJc w:val="left"/>
      <w:lvlText w:val="%2"/>
      <w:numFmt w:val="decimal"/>
      <w:start w:val="101"/>
    </w:lvl>
  </w:abstractNum>
  <w:abstractNum w:abstractNumId="3">
    <w:nsid w:val="3D1B58BA"/>
    <w:multiLevelType w:val="hybridMultilevel"/>
    <w:lvl w:ilvl="0">
      <w:lvlJc w:val="left"/>
      <w:lvlText w:val="(%1)"/>
      <w:numFmt w:val="decimal"/>
      <w:start w:val="1"/>
    </w:lvl>
    <w:lvl w:ilvl="1">
      <w:lvlJc w:val="left"/>
      <w:lvlText w:val="%2"/>
      <w:numFmt w:val="decimal"/>
      <w:start w:val="1"/>
    </w:lvl>
  </w:abstractNum>
  <w:abstractNum w:abstractNumId="4">
    <w:nsid w:val="507ED7AB"/>
    <w:multiLevelType w:val="hybridMultilevel"/>
    <w:lvl w:ilvl="0">
      <w:lvlJc w:val="left"/>
      <w:lvlText w:val="%1"/>
      <w:numFmt w:val="decimal"/>
      <w:start w:val="10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2019-12-29T10:02:43Z</dcterms:created>
  <dcterms:modified xsi:type="dcterms:W3CDTF">2019-12-29T10:02:43Z</dcterms:modified>
</cp:coreProperties>
</file>