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20, 2021</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0-7647</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60" w:space="720"/>
            <w:col w:w="2880" w:space="720"/>
            <w:col w:w="2360"/>
          </w:cols>
          <w:pgMar w:left="320" w:top="1035" w:right="339" w:bottom="1440" w:gutter="0" w:footer="0" w:header="0"/>
          <w:type w:val="continuous"/>
        </w:sectPr>
      </w:pPr>
    </w:p>
    <w:p>
      <w:pPr>
        <w:ind w:left="7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1035" w:right="339" w:bottom="1440" w:gutter="0" w:footer="0" w:header="0"/>
          <w:type w:val="continuous"/>
        </w:sectPr>
      </w:pPr>
    </w:p>
    <w:p>
      <w:pPr>
        <w:spacing w:after="0" w:line="250" w:lineRule="exact"/>
        <w:rPr>
          <w:sz w:val="24"/>
          <w:szCs w:val="24"/>
          <w:color w:val="auto"/>
        </w:r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tab/>
        <w:t>MN</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640" w:space="720"/>
            <w:col w:w="188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35" w:right="339" w:bottom="1440" w:gutter="0" w:footer="0" w:header="0"/>
          <w:type w:val="continuous"/>
        </w:sect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jc w:val="both"/>
        <w:ind w:right="2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20, 2021, Hawkins, Inc. issued a press release announcing financial results for its fourth quarter and fiscal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2021. A copy of the press release issued by the Registrant is furnished herewith as Exhibit 99.1 hereto and is incorporated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160" w:type="dxa"/>
            <w:vAlign w:val="bottom"/>
          </w:tcPr>
          <w:p>
            <w:pPr>
              <w:spacing w:after="0"/>
              <w:rPr>
                <w:sz w:val="14"/>
                <w:szCs w:val="14"/>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1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r>
      <w:tr>
        <w:trPr>
          <w:trHeight w:val="222"/>
        </w:trPr>
        <w:tc>
          <w:tcPr>
            <w:tcW w:w="1420" w:type="dxa"/>
            <w:vAlign w:val="bottom"/>
            <w:gridSpan w:val="3"/>
          </w:tcPr>
          <w:p>
            <w:pPr>
              <w:ind w:left="106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16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8"/>
                <w:szCs w:val="18"/>
                <w:color w:val="auto"/>
              </w:rPr>
              <w:t>Press Release, dated May 20, 2021, announcing financial results of Hawkins, Inc. for its</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06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fourth quarter and fiscal year ended March 28, 2021.</w:t>
            </w:r>
          </w:p>
        </w:tc>
        <w:tc>
          <w:tcPr>
            <w:tcW w:w="2040" w:type="dxa"/>
            <w:vAlign w:val="bottom"/>
          </w:tcPr>
          <w:p>
            <w:pPr>
              <w:spacing w:after="0"/>
              <w:rPr>
                <w:sz w:val="17"/>
                <w:szCs w:val="17"/>
                <w:color w:val="auto"/>
              </w:rPr>
            </w:pPr>
          </w:p>
        </w:tc>
      </w:tr>
      <w:tr>
        <w:trPr>
          <w:trHeight w:val="229"/>
        </w:trPr>
        <w:tc>
          <w:tcPr>
            <w:tcW w:w="1400" w:type="dxa"/>
            <w:vAlign w:val="bottom"/>
            <w:gridSpan w:val="2"/>
          </w:tcPr>
          <w:p>
            <w:pPr>
              <w:ind w:left="10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1235"/>
        </w:trPr>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p>
      <w:pPr>
        <w:ind w:left="20"/>
        <w:spacing w:after="0"/>
        <w:tabs>
          <w:tab w:leader="none" w:pos="4480" w:val="left"/>
          <w:tab w:leader="none" w:pos="7140" w:val="left"/>
        </w:tabs>
        <w:rPr>
          <w:sz w:val="20"/>
          <w:szCs w:val="20"/>
          <w:color w:val="auto"/>
        </w:rPr>
      </w:pPr>
      <w:r>
        <w:rPr>
          <w:rFonts w:ascii="Arial" w:cs="Arial" w:eastAsia="Arial" w:hAnsi="Arial"/>
          <w:sz w:val="18"/>
          <w:szCs w:val="18"/>
          <w:color w:val="auto"/>
        </w:rPr>
        <w:t>Date: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6350</wp:posOffset>
            </wp:positionV>
            <wp:extent cx="390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860"/>
          </w:cols>
          <w:pgMar w:left="320" w:top="886" w:right="71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20, 2021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Fiscal 2021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Roseville, MN, May 20, 2021 – Hawkins, Inc. (Nasdaq: HWKN) today announced fourth quarter and full-year results for its fiscal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2021. Highlights include:</w:t>
      </w:r>
    </w:p>
    <w:p>
      <w:pPr>
        <w:spacing w:after="0" w:line="252" w:lineRule="exact"/>
        <w:rPr>
          <w:sz w:val="20"/>
          <w:szCs w:val="20"/>
          <w:color w:val="auto"/>
        </w:rPr>
      </w:pPr>
    </w:p>
    <w:p>
      <w:pPr>
        <w:ind w:left="660" w:right="20" w:hanging="328"/>
        <w:spacing w:after="0" w:line="26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sales in the fourth quarter of $163.0 million, a 23% year-over-year increase, helped deliver full year record sales of $596.9 million for fiscal 2021, a 10% year-over-year increase.</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gross profit of $123.8 million for the year, a 23% increase over the prior year, contributed to a 34% year-over-year increase in operating income.</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fourth quarter diluted earnings per share (EPS) of $0.43 was 91% higher than the same period of the prior year.</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full year diluted EPS of $1.93 was $0.60, or 45%, higher than fiscal 2020.</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 of $96 million and a leverage ratio of 1.2x, despite incurring $51 million of acquisition spending in the year.</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Water Treatment Group acquisitions were accretive within the fiscal year.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very pleased to report another year of records, with record sales, gross profit, operating income, net income, diluted EPS, and EBITDA. This comes on the heels of the last fiscal year, where many of these same records were set. All three of our reporting segments reported year-over-year growth in operating income. Health and Nutrition segment operating income was up 262% over the prior year, as demand for our products was high primarily driven by increased consumer demand for health and immunity products. Industrial segment sales were down slightly year over year, driven largely by declines in sales into the ethanol industry, but operating income was up 10% on increased sales of specialty products. Our Water Treatment segment reported modest year-over-year growth in operating income. While our two acquired businesses were accretive, our legacy business was down due to impacts from COVID-19, particularly in the first two quarters of the fiscal year. Increased sales of our specialty and manufactured products in this group helped offset the negative impact of COVID-19.”</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Hawkins continued, “As we look to fiscal 2022, we will continue to execute on our long-term growth strategy. We believe that our Industrial segment remains steady and that our Water Treatment segment will rebound from the impact of the pandemic and see growth in fiscal 2022. After a record year in Health and Nutrition, we are cautious about fiscal 2022. Much of our success in this area was supported by consumer demand for health and immunity products, which was quite high in fiscal 2021, which we believe was a result of COVID-19. If consumer behaviors migrate towards pre-pandemic levels, we will likely see some contraction in this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our operations and products are essential to critical national infrastructure, it has been imperative that we continue to supply materials throughout the COVID-19 pandemic, including the products needed to maintain safe drinking water, ingredients essential for large-scale food, pharmaceutical and other health product manufacturing and nutrition products needed to support our critical infrastructure. All of our manufacturing facilities qualified as essential operations (or the equivalent) under applicable federal and state orders that were in place earlier in the pandemic. As a result, all of our manufacturing sites have continued to operate during the entire COVID-19 pandemic, with no significant impact to manufacturing.</w:t>
      </w:r>
    </w:p>
    <w:p>
      <w:pPr>
        <w:sectPr>
          <w:pgSz w:w="11900" w:h="16838" w:orient="portrait"/>
          <w:cols w:equalWidth="0" w:num="1">
            <w:col w:w="11240"/>
          </w:cols>
          <w:pgMar w:left="320" w:top="11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Fourth Quarter and Fiscal Year Financial Highlights: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fourth quarter of fiscal 2021, the Company reported net income of $9.1 million, or $0.43 per diluted share, compared to net income for the fourth quarter of fiscal 2020 of $4.8 million, or $0.22 per diluted share.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full year, the Company reported record net income of $41.0 million, or $1.93 per diluted share, compared to net income for fiscal 2020 of $28.4 million, or $1.33 per diluted share.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fourth quarter of fiscal 2021, sales were $163.0 million, an increase of $30.6 million, or 23%, from sales of $132.4 million a year ago. Industrial segment sales increased $7.5 million, or 11%, to $76.3 million for the current quarter, as compared to $68.8 million for the same period a year ago. The increase in sales dollars from the prior year was driven largely by a product mix shift to more sales of our higher-priced manufactured, blended and repackaged products, in particular certain agricultural and food ingredient products. Water Treatment segment sales increased $5.6 million, or 16%, to $41.5 million for the current quarter, as compared to $35.9 million for the same period a year ago. The increase in sales dollars from the prior year was attributable to added sales from the acquisitions of ADC and C&amp;L Aqua. Sales by our legacy business decreased slightly due to unusually high sales last year at the end of the quarter as customers filled up their tanks as a result of supply concerns due to the onset of COVID-19. Health and Nutrition segment sales increased $17.5 million, or 63%, to $45.2 million for the current quarter, as compared to $27.7 million for the same period a year ago. The increase in sales was driven by increased sales of both our manufactured and specialty distributed products largely as a result of increased consumer demand due for health and immunity products.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fiscal 2021, Industrial segment sales were $273.4 million, a decrease of 1% from fiscal 2020 sales of $275.2 million. Water Treatment segment sales were $ 170.0 million for the year, an increase of 6% over last year’s sales of $159.9 million. Sales for our Health and Nutrition segment were $153.5 million in fiscal 2021, an increase of 46% from fiscal 2020 sales of $105.1 million.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Company-wide gross profit for fiscal 2021 increased $22.8 million, or 23%, to $123.8 million, or 21% of sales, from $100.9 million, or 19% of sales, for the same period of the prior year. During fiscal 2021, the LIFO reserve decreased, and gross profits increased, by $0.1 million. During fiscal 2020, the LIFO reserve increased, and gross profits decreased, by $0.6 million. Total gross profit increased due to double-digit growth in all three segments, including 68% year-over-year growth in our Health and Nutrition segment.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Industrial segment increased $4.4 million, or 11%, to $43.3 million, or 16% of sales, for fiscal 2021, from $38.9 million, or 14% of sales, for fiscal 2020. During fiscal 2021, the LIFO reserve decreased, and gross profits increased, by $0.2 million. In fiscal 2020, the LIFO reserve increased, and gross profits decreased, by $0.6 million. Total gross profit, and gross profit as a percentage of sales, increased due to a product mix shift to more sales of certain higher-margin manufactured, blended and re-packaged products, partially offset by higher operating costs.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Water Treatment segment increased $4.9 million, or 12%, to $46.8 million, or 28% of sales, for fiscal 2021, from $41.9 million, or 26% of sales, for fiscal 2020. During fiscal 2021, the LIFO reserve increased, and gross profits decreased, by $0.1 million. During fiscal 2020, the LIFO reserve had a nominal impact on gross profit. Gross profit increased as a result of the added gross profit from sales in the acquired businesses of ADC and C&amp;L Aqua. Gross profit, and gross profit as a percentage of sales, also increased as a result of a product mix shift to more sales of certain of our manufactured, blended and repackaged products in our legacy business.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our Health and Nutrition segment increased $13.6 million, or 68%, to $ 33.6 million, or 22% of sales, for fiscal 2021, from $20.1 million, or 19% of sales, for fiscal 2020. The increase in gross profit was a result of higher sales compared to the prior year. Gross profit as a percentage of sales increased primarily as a result of product mix changes.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Company-wide selling, general and administrative ("SG&amp;A") expenses increased to $67.9 million, or 11% of sales, for fiscal 2021 from $59.2 million, or 11% of sales, for fiscal 2020. Expenses increased primarily due to increased variable pay, the added costs from the acquired businesses of ADC and C&amp;L Aqua, including $ 0.8 million expense for amortization of intangibles, and a year-over-year increase in compensation expense related to our non-qualified deferred compensation plan, with the expense offset in other income.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March 28, 2021 was $20.1 million, an increase of $7.0 million, or 53%, from adjusted</w:t>
      </w:r>
    </w:p>
    <w:p>
      <w:pPr>
        <w:sectPr>
          <w:pgSz w:w="11900" w:h="16838" w:orient="portrait"/>
          <w:cols w:equalWidth="0" w:num="1">
            <w:col w:w="11240"/>
          </w:cols>
          <w:pgMar w:left="320" w:top="1129" w:right="3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EBITDA of $13.1 million for the same period in the prior year. Full-year adjusted EBITDA was $83.9 million, an increase of $18.6 million, or 28%, from adjusted EBITDA of $65.3 million for fiscal 2020. The increase was due to the combined impact of improved gross profits discussed above.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relatively flat at approximately 27% for both fiscal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Hawkins, Inc. was founded in 1938 and is a leading specialty chemical company that distributes, blends and manufactures chemicals and other specialty ingredients for its Industrial, Water Treatment, and Health &amp; Nutrition customers. Headquartered in Roseville, Minnesota, and with 46 facilities in 22 states, the Company creates value for its customers through superb customer service and support, quality products and personalized applications. Hawkins, Inc. generated $597 million of revenue in fiscal 2021 and has approximately 750 employees. For more information, including registering to receive email alerts, please visit www.hawkinsinc.com/investors.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shd w:val="clear" w:color="auto" w:fill="CCEEFF"/>
          </w:tcPr>
          <w:p>
            <w:pPr>
              <w:spacing w:after="0"/>
              <w:rPr>
                <w:sz w:val="19"/>
                <w:szCs w:val="19"/>
                <w:color w:val="auto"/>
              </w:rPr>
            </w:pPr>
          </w:p>
        </w:tc>
        <w:tc>
          <w:tcPr>
            <w:tcW w:w="3280" w:type="dxa"/>
            <w:vAlign w:val="bottom"/>
            <w:gridSpan w:val="4"/>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28, 2021</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29, 2020</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28, 2021</w:t>
            </w: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29, 2020</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2,511</w:t>
            </w: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5,073</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83,891</w:t>
            </w:r>
          </w:p>
        </w:tc>
        <w:tc>
          <w:tcPr>
            <w:tcW w:w="1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65,324</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200"/>
          </w:cols>
          <w:pgMar w:left="320" w:top="1440" w:right="379" w:bottom="1440" w:gutter="0" w:footer="0" w:header="0"/>
        </w:sectPr>
      </w:pPr>
    </w:p>
    <w:p>
      <w:pPr>
        <w:spacing w:after="0" w:line="37"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17780</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 w:lineRule="exact"/>
        <w:rPr>
          <w:sz w:val="20"/>
          <w:szCs w:val="20"/>
          <w:color w:val="auto"/>
        </w:rPr>
      </w:pPr>
    </w:p>
    <w:p>
      <w:pPr>
        <w:ind w:left="5720"/>
        <w:spacing w:after="0"/>
        <w:tabs>
          <w:tab w:leader="none" w:pos="7120" w:val="left"/>
        </w:tabs>
        <w:rPr>
          <w:sz w:val="20"/>
          <w:szCs w:val="20"/>
          <w:color w:val="auto"/>
        </w:rPr>
      </w:pPr>
      <w:r>
        <w:rPr>
          <w:rFonts w:ascii="Arial" w:cs="Arial" w:eastAsia="Arial" w:hAnsi="Arial"/>
          <w:sz w:val="14"/>
          <w:szCs w:val="14"/>
          <w:b w:val="1"/>
          <w:bCs w:val="1"/>
          <w:color w:val="auto"/>
        </w:rPr>
        <w:t>March 28, 2021</w:t>
      </w:r>
      <w:r>
        <w:rPr>
          <w:sz w:val="20"/>
          <w:szCs w:val="20"/>
          <w:color w:val="auto"/>
        </w:rPr>
        <w:tab/>
      </w:r>
      <w:r>
        <w:rPr>
          <w:rFonts w:ascii="Arial" w:cs="Arial" w:eastAsia="Arial" w:hAnsi="Arial"/>
          <w:sz w:val="14"/>
          <w:szCs w:val="14"/>
          <w:b w:val="1"/>
          <w:bCs w:val="1"/>
          <w:color w:val="auto"/>
        </w:rPr>
        <w:t>March 29, 2020</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17780</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March 28, 2021</w:t>
      </w:r>
      <w:r>
        <w:rPr>
          <w:sz w:val="20"/>
          <w:szCs w:val="20"/>
          <w:color w:val="auto"/>
        </w:rPr>
        <w:tab/>
      </w:r>
      <w:r>
        <w:rPr>
          <w:rFonts w:ascii="Arial" w:cs="Arial" w:eastAsia="Arial" w:hAnsi="Arial"/>
          <w:sz w:val="14"/>
          <w:szCs w:val="14"/>
          <w:b w:val="1"/>
          <w:bCs w:val="1"/>
          <w:color w:val="auto"/>
        </w:rPr>
        <w:t>March 29, 2020</w:t>
      </w:r>
    </w:p>
    <w:p>
      <w:pPr>
        <w:spacing w:after="0" w:line="28" w:lineRule="exact"/>
        <w:rPr>
          <w:sz w:val="20"/>
          <w:szCs w:val="20"/>
          <w:color w:val="auto"/>
        </w:rPr>
      </w:pPr>
    </w:p>
    <w:p>
      <w:pPr>
        <w:sectPr>
          <w:pgSz w:w="11900" w:h="16838" w:orient="portrait"/>
          <w:cols w:equalWidth="0" w:num="2">
            <w:col w:w="8160" w:space="420"/>
            <w:col w:w="2620"/>
          </w:cols>
          <w:pgMar w:left="320" w:top="1440"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520" w:type="dxa"/>
            <w:vAlign w:val="bottom"/>
            <w:tcBorders>
              <w:top w:val="single" w:sz="8" w:color="auto"/>
            </w:tcBorders>
            <w:gridSpan w:val="4"/>
            <w:shd w:val="clear" w:color="auto" w:fill="CCEEFF"/>
          </w:tcPr>
          <w:p>
            <w:pPr>
              <w:jc w:val="right"/>
              <w:ind w:right="850"/>
              <w:spacing w:after="0"/>
              <w:rPr>
                <w:sz w:val="20"/>
                <w:szCs w:val="20"/>
                <w:color w:val="auto"/>
              </w:rPr>
            </w:pPr>
            <w:r>
              <w:rPr>
                <w:rFonts w:ascii="Arial" w:cs="Arial" w:eastAsia="Arial" w:hAnsi="Arial"/>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162,971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596,871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540,198</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(439,281)</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100,917</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(59,246)</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41,671</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21,117,684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21,159,978</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21,194,455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21,249,972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21,260,296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21,308,800</w:t>
            </w:r>
          </w:p>
        </w:tc>
      </w:tr>
      <w:tr>
        <w:trPr>
          <w:trHeight w:val="270"/>
        </w:trPr>
        <w:tc>
          <w:tcPr>
            <w:tcW w:w="5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ectPr>
          <w:pgSz w:w="11900" w:h="16838" w:orient="portrait"/>
          <w:cols w:equalWidth="0" w:num="1">
            <w:col w:w="11200"/>
          </w:cols>
          <w:pgMar w:left="320" w:top="1440"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Arial" w:cs="Arial" w:eastAsia="Arial" w:hAnsi="Arial"/>
                <w:sz w:val="14"/>
                <w:szCs w:val="14"/>
                <w:b w:val="1"/>
                <w:bCs w:val="1"/>
                <w:color w:val="auto"/>
              </w:rPr>
              <w:t>March 29, 2020</w:t>
            </w:r>
          </w:p>
        </w:tc>
      </w:tr>
      <w:tr>
        <w:trPr>
          <w:trHeight w:val="19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90,603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67,391</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54,436</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4,927</w:t>
            </w:r>
          </w:p>
        </w:tc>
      </w:tr>
      <w:tr>
        <w:trPr>
          <w:trHeight w:val="207"/>
        </w:trPr>
        <w:tc>
          <w:tcPr>
            <w:tcW w:w="7620" w:type="dxa"/>
            <w:vAlign w:val="bottom"/>
          </w:tcPr>
          <w:p>
            <w:pPr>
              <w:ind w:left="11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163,007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131,031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Land</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11,045</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Buildings and improvements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108,175</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Machinery and equipment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98,171</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equipment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32,737</w:t>
            </w:r>
          </w:p>
        </w:tc>
      </w:tr>
      <w:tr>
        <w:trPr>
          <w:trHeight w:val="21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Office furniture and equipment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17,093</w:t>
            </w:r>
          </w:p>
        </w:tc>
      </w:tr>
      <w:tr>
        <w:trPr>
          <w:trHeight w:val="213"/>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267,221</w:t>
            </w:r>
          </w:p>
        </w:tc>
      </w:tr>
      <w:tr>
        <w:trPr>
          <w:trHeight w:val="213"/>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140,877</w:t>
            </w:r>
          </w:p>
        </w:tc>
      </w:tr>
      <w:tr>
        <w:trPr>
          <w:trHeight w:val="213"/>
        </w:trPr>
        <w:tc>
          <w:tcPr>
            <w:tcW w:w="76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126,344</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70,720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58,440</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60,653</w:t>
            </w:r>
          </w:p>
        </w:tc>
      </w:tr>
      <w:tr>
        <w:trPr>
          <w:trHeight w:val="21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w:t>
            </w:r>
          </w:p>
        </w:tc>
      </w:tr>
      <w:tr>
        <w:trPr>
          <w:trHeight w:val="213"/>
        </w:trPr>
        <w:tc>
          <w:tcPr>
            <w:tcW w:w="76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131,953</w:t>
            </w:r>
          </w:p>
        </w:tc>
      </w:tr>
      <w:tr>
        <w:trPr>
          <w:trHeight w:val="206"/>
        </w:trPr>
        <w:tc>
          <w:tcPr>
            <w:tcW w:w="7620" w:type="dxa"/>
            <w:vAlign w:val="bottom"/>
          </w:tcPr>
          <w:p>
            <w:pPr>
              <w:ind w:left="11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34,129</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13,538</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Short-term lease liability</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1,523</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Container deposits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r>
      <w:tr>
        <w:trPr>
          <w:trHeight w:val="21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r>
      <w:tr>
        <w:trPr>
          <w:trHeight w:val="213"/>
        </w:trPr>
        <w:tc>
          <w:tcPr>
            <w:tcW w:w="76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49,751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4,978</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24,445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25,106</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07"/>
        </w:trPr>
        <w:tc>
          <w:tcPr>
            <w:tcW w:w="7620" w:type="dxa"/>
            <w:vAlign w:val="bottom"/>
          </w:tcPr>
          <w:p>
            <w:pPr>
              <w:ind w:left="11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207,304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155,844</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76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shares; authorized: 60,000,000 shares of $0.01 par value; 20,969,746 and 21,024,458</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1"/>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issued and outstanding for 2021 and 2020, respectively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50,405</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182,947</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62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r>
      <w:tr>
        <w:trPr>
          <w:trHeight w:val="213"/>
        </w:trPr>
        <w:tc>
          <w:tcPr>
            <w:tcW w:w="7620" w:type="dxa"/>
            <w:vAlign w:val="bottom"/>
          </w:tcPr>
          <w:p>
            <w:pPr>
              <w:ind w:left="112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r>
      <w:tr>
        <w:trPr>
          <w:trHeight w:val="24"/>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886" w:right="339" w:bottom="1440" w:gutter="0" w:footer="0" w:header="0"/>
        </w:sectPr>
      </w:pPr>
    </w:p>
    <w:bookmarkStart w:id="8" w:name="page9"/>
    <w:bookmarkEnd w:id="8"/>
    <w:p>
      <w:pPr>
        <w:jc w:val="center"/>
        <w:ind w:left="640"/>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Fiscal Year Ended</w:t>
            </w:r>
          </w:p>
        </w:tc>
      </w:tr>
      <w:tr>
        <w:trPr>
          <w:trHeight w:val="18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20" w:type="dxa"/>
            <w:vAlign w:val="bottom"/>
          </w:tcPr>
          <w:p>
            <w:pPr>
              <w:spacing w:after="0"/>
              <w:rPr>
                <w:sz w:val="15"/>
                <w:szCs w:val="15"/>
                <w:color w:val="auto"/>
              </w:rPr>
            </w:pPr>
          </w:p>
        </w:tc>
        <w:tc>
          <w:tcPr>
            <w:tcW w:w="148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29, 2020</w:t>
            </w:r>
          </w:p>
        </w:tc>
      </w:tr>
      <w:tr>
        <w:trPr>
          <w:trHeight w:val="196"/>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40,980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28,367</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7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21,584</w:t>
            </w:r>
          </w:p>
        </w:tc>
      </w:tr>
      <w:tr>
        <w:trPr>
          <w:trHeight w:val="219"/>
        </w:trPr>
        <w:tc>
          <w:tcPr>
            <w:tcW w:w="7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13"/>
        </w:trPr>
        <w:tc>
          <w:tcPr>
            <w:tcW w:w="7720" w:type="dxa"/>
            <w:vAlign w:val="bottom"/>
          </w:tcPr>
          <w:p>
            <w:pPr>
              <w:ind w:left="680"/>
              <w:spacing w:after="0"/>
              <w:rPr>
                <w:sz w:val="20"/>
                <w:szCs w:val="20"/>
                <w:color w:val="auto"/>
              </w:rPr>
            </w:pPr>
            <w:r>
              <w:rPr>
                <w:rFonts w:ascii="Arial" w:cs="Arial" w:eastAsia="Arial" w:hAnsi="Arial"/>
                <w:sz w:val="16"/>
                <w:szCs w:val="16"/>
                <w:color w:val="auto"/>
              </w:rPr>
              <w:t>(Gain) loss on deferred compensation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7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r>
      <w:tr>
        <w:trPr>
          <w:trHeight w:val="213"/>
        </w:trPr>
        <w:tc>
          <w:tcPr>
            <w:tcW w:w="772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2,273</w:t>
            </w:r>
          </w:p>
        </w:tc>
      </w:tr>
      <w:tr>
        <w:trPr>
          <w:trHeight w:val="219"/>
        </w:trPr>
        <w:tc>
          <w:tcPr>
            <w:tcW w:w="7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13"/>
        </w:trPr>
        <w:tc>
          <w:tcPr>
            <w:tcW w:w="7720" w:type="dxa"/>
            <w:vAlign w:val="bottom"/>
          </w:tcPr>
          <w:p>
            <w:pPr>
              <w:ind w:left="840"/>
              <w:spacing w:after="0"/>
              <w:rPr>
                <w:sz w:val="20"/>
                <w:szCs w:val="20"/>
                <w:color w:val="auto"/>
              </w:rPr>
            </w:pPr>
            <w:r>
              <w:rPr>
                <w:rFonts w:ascii="Arial" w:cs="Arial" w:eastAsia="Arial" w:hAnsi="Arial"/>
                <w:sz w:val="16"/>
                <w:szCs w:val="16"/>
                <w:color w:val="auto"/>
              </w:rPr>
              <w:t>Changes in operating accounts (using) providing cash, net of acquisitions: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Trade receivables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w:t>
            </w:r>
          </w:p>
        </w:tc>
      </w:tr>
      <w:tr>
        <w:trPr>
          <w:trHeight w:val="213"/>
        </w:trPr>
        <w:tc>
          <w:tcPr>
            <w:tcW w:w="772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6,045</w:t>
            </w:r>
          </w:p>
        </w:tc>
      </w:tr>
      <w:tr>
        <w:trPr>
          <w:trHeight w:val="219"/>
        </w:trPr>
        <w:tc>
          <w:tcPr>
            <w:tcW w:w="7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r>
      <w:tr>
        <w:trPr>
          <w:trHeight w:val="213"/>
        </w:trPr>
        <w:tc>
          <w:tcPr>
            <w:tcW w:w="7720" w:type="dxa"/>
            <w:vAlign w:val="bottom"/>
          </w:tcPr>
          <w:p>
            <w:pPr>
              <w:ind w:left="112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19"/>
        </w:trPr>
        <w:tc>
          <w:tcPr>
            <w:tcW w:w="7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7720" w:type="dxa"/>
            <w:vAlign w:val="bottom"/>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7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772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43,793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58,902</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(24,549)</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212"/>
        </w:trPr>
        <w:tc>
          <w:tcPr>
            <w:tcW w:w="772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(24,203)</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(9,825)</w:t>
            </w: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New shares issued</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(5,853)</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senior secured revolving credit facility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r>
      <w:tr>
        <w:trPr>
          <w:trHeight w:val="213"/>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revolver borrowings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w:t>
            </w:r>
          </w:p>
        </w:tc>
      </w:tr>
      <w:tr>
        <w:trPr>
          <w:trHeight w:val="213"/>
        </w:trPr>
        <w:tc>
          <w:tcPr>
            <w:tcW w:w="772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(39,621)</w:t>
            </w:r>
          </w:p>
        </w:tc>
      </w:tr>
      <w:tr>
        <w:trPr>
          <w:trHeight w:val="206"/>
        </w:trPr>
        <w:tc>
          <w:tcPr>
            <w:tcW w:w="7720" w:type="dxa"/>
            <w:vAlign w:val="bottom"/>
          </w:tcPr>
          <w:p>
            <w:pPr>
              <w:ind w:left="18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(4,922)</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r>
      <w:tr>
        <w:trPr>
          <w:trHeight w:val="207"/>
        </w:trPr>
        <w:tc>
          <w:tcPr>
            <w:tcW w:w="7720" w:type="dxa"/>
            <w:vAlign w:val="bottom"/>
          </w:tcPr>
          <w:p>
            <w:pPr>
              <w:ind w:left="360"/>
              <w:spacing w:after="0"/>
              <w:rPr>
                <w:sz w:val="20"/>
                <w:szCs w:val="20"/>
                <w:color w:val="auto"/>
              </w:rPr>
            </w:pPr>
            <w:r>
              <w:rPr>
                <w:rFonts w:ascii="Arial" w:cs="Arial" w:eastAsia="Arial" w:hAnsi="Arial"/>
                <w:sz w:val="16"/>
                <w:szCs w:val="16"/>
                <w:color w:val="auto"/>
              </w:rPr>
              <w:t>CASH AND CASH EQUIVALENTS -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6"/>
        </w:trPr>
        <w:tc>
          <w:tcPr>
            <w:tcW w:w="7720" w:type="dxa"/>
            <w:vAlign w:val="bottom"/>
            <w:shd w:val="clear" w:color="auto" w:fill="CCEEFF"/>
          </w:tcPr>
          <w:p>
            <w:pPr>
              <w:ind w:left="180"/>
              <w:spacing w:after="0" w:line="180" w:lineRule="exact"/>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Cash paid during the year for income taxes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15,783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11,415</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r>
      <w:tr>
        <w:trPr>
          <w:trHeight w:val="210"/>
        </w:trPr>
        <w:tc>
          <w:tcPr>
            <w:tcW w:w="772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1,041</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REPORTABLE SEGMENTS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Health and</w:t>
            </w:r>
          </w:p>
        </w:tc>
        <w:tc>
          <w:tcPr>
            <w:tcW w:w="4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Treatment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Nutrition</w:t>
            </w:r>
          </w:p>
        </w:tc>
        <w:tc>
          <w:tcPr>
            <w:tcW w:w="4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28,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273,361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153,506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33,632</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16,398</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17,234</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29, 2020: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275,224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159,895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105,079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540,198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20,079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100,917</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15,322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59,246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4,757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bl>
    <w:p>
      <w:pPr>
        <w:sectPr>
          <w:pgSz w:w="11900" w:h="16838" w:orient="portrait"/>
          <w:cols w:equalWidth="0" w:num="1">
            <w:col w:w="11060"/>
          </w:cols>
          <w:pgMar w:left="320" w:top="886" w:right="519" w:bottom="1440" w:gutter="0" w:footer="0" w:header="0"/>
        </w:sectPr>
      </w:pPr>
    </w:p>
    <w:bookmarkStart w:id="10" w:name="page11"/>
    <w:bookmarkEnd w:id="10"/>
    <w:p>
      <w:pPr>
        <w:spacing w:after="0" w:line="251" w:lineRule="auto"/>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March 29, 2020,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2021-05-20T15:44:47Z</dcterms:created>
  <dcterms:modified xsi:type="dcterms:W3CDTF">2021-05-20T15:44:47Z</dcterms:modified>
</cp:coreProperties>
</file>