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160020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36" w:lineRule="exact"/>
        <w:rPr>
          <w:sz w:val="24"/>
          <w:szCs w:val="24"/>
          <w:color w:val="auto"/>
        </w:rPr>
      </w:pPr>
    </w:p>
    <w:p>
      <w:pPr>
        <w:ind w:left="4980"/>
        <w:spacing w:after="0"/>
        <w:rPr>
          <w:sz w:val="20"/>
          <w:szCs w:val="20"/>
          <w:color w:val="auto"/>
        </w:rPr>
      </w:pPr>
      <w:r>
        <w:rPr>
          <w:rFonts w:ascii="Arial" w:cs="Arial" w:eastAsia="Arial" w:hAnsi="Arial"/>
          <w:sz w:val="25"/>
          <w:szCs w:val="25"/>
          <w:b w:val="1"/>
          <w:bCs w:val="1"/>
          <w:color w:val="auto"/>
        </w:rPr>
        <w:t>Form 10-K/A</w:t>
      </w:r>
    </w:p>
    <w:p>
      <w:pPr>
        <w:spacing w:after="0" w:line="145" w:lineRule="exact"/>
        <w:rPr>
          <w:sz w:val="24"/>
          <w:szCs w:val="24"/>
          <w:color w:val="auto"/>
        </w:rPr>
      </w:pPr>
    </w:p>
    <w:p>
      <w:pPr>
        <w:ind w:left="4660"/>
        <w:spacing w:after="0"/>
        <w:rPr>
          <w:sz w:val="20"/>
          <w:szCs w:val="20"/>
          <w:color w:val="auto"/>
        </w:rPr>
      </w:pPr>
      <w:r>
        <w:rPr>
          <w:rFonts w:ascii="Arial" w:cs="Arial" w:eastAsia="Arial" w:hAnsi="Arial"/>
          <w:sz w:val="25"/>
          <w:szCs w:val="25"/>
          <w:b w:val="1"/>
          <w:bCs w:val="1"/>
          <w:color w:val="auto"/>
        </w:rPr>
        <w:t>(Amendment No. 1)</w:t>
      </w:r>
    </w:p>
    <w:p>
      <w:pPr>
        <w:spacing w:after="0" w:line="145" w:lineRule="exact"/>
        <w:rPr>
          <w:sz w:val="24"/>
          <w:szCs w:val="24"/>
          <w:color w:val="auto"/>
        </w:rPr>
      </w:pPr>
    </w:p>
    <w:p>
      <w:pPr>
        <w:ind w:left="1900"/>
        <w:spacing w:after="0"/>
        <w:rPr>
          <w:sz w:val="20"/>
          <w:szCs w:val="20"/>
          <w:color w:val="auto"/>
        </w:rPr>
      </w:pPr>
      <w:r>
        <w:rPr>
          <w:rFonts w:ascii="Arial" w:cs="Arial" w:eastAsia="Arial" w:hAnsi="Arial"/>
          <w:sz w:val="24"/>
          <w:szCs w:val="24"/>
          <w:b w:val="1"/>
          <w:bCs w:val="1"/>
          <w:color w:val="auto"/>
        </w:rPr>
        <w:t>ANNUAL REPORT PURSUANT TO SECTION 13 OR 15(d) OF THE</w:t>
      </w:r>
    </w:p>
    <w:p>
      <w:pPr>
        <w:spacing w:after="0" w:line="75"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SECURITIES EXCHANGE ACT OF 1934</w:t>
      </w:r>
    </w:p>
    <w:p>
      <w:pPr>
        <w:spacing w:after="0" w:line="118" w:lineRule="exact"/>
        <w:rPr>
          <w:sz w:val="24"/>
          <w:szCs w:val="24"/>
          <w:color w:val="auto"/>
        </w:rPr>
      </w:pPr>
    </w:p>
    <w:p>
      <w:pPr>
        <w:ind w:left="3440"/>
        <w:spacing w:after="0"/>
        <w:rPr>
          <w:sz w:val="20"/>
          <w:szCs w:val="20"/>
          <w:color w:val="auto"/>
        </w:rPr>
      </w:pPr>
      <w:r>
        <w:rPr>
          <w:rFonts w:ascii="Arial" w:cs="Arial" w:eastAsia="Arial" w:hAnsi="Arial"/>
          <w:sz w:val="25"/>
          <w:szCs w:val="25"/>
          <w:b w:val="1"/>
          <w:bCs w:val="1"/>
          <w:color w:val="auto"/>
        </w:rPr>
        <w:t>For the Fiscal Year Ended March 29, 2015</w:t>
      </w:r>
    </w:p>
    <w:p>
      <w:pPr>
        <w:spacing w:after="0" w:line="113" w:lineRule="exact"/>
        <w:rPr>
          <w:sz w:val="24"/>
          <w:szCs w:val="24"/>
          <w:color w:val="auto"/>
        </w:rPr>
      </w:pPr>
    </w:p>
    <w:tbl>
      <w:tblPr>
        <w:tblLayout w:type="fixed"/>
        <w:tblInd w:w="1620" w:type="dxa"/>
        <w:tblCellMar>
          <w:top w:w="0" w:type="dxa"/>
          <w:left w:w="0" w:type="dxa"/>
          <w:bottom w:w="0" w:type="dxa"/>
          <w:right w:w="0" w:type="dxa"/>
        </w:tblCellMar>
      </w:tblPr>
      <w:tr>
        <w:trPr>
          <w:trHeight w:val="281"/>
        </w:trPr>
        <w:tc>
          <w:tcPr>
            <w:tcW w:w="6340" w:type="dxa"/>
            <w:vAlign w:val="bottom"/>
            <w:gridSpan w:val="3"/>
          </w:tcPr>
          <w:p>
            <w:pPr>
              <w:jc w:val="center"/>
              <w:ind w:left="1760"/>
              <w:spacing w:after="0"/>
              <w:rPr>
                <w:sz w:val="20"/>
                <w:szCs w:val="20"/>
                <w:color w:val="auto"/>
              </w:rPr>
            </w:pPr>
            <w:r>
              <w:rPr>
                <w:rFonts w:ascii="Arial" w:cs="Arial" w:eastAsia="Arial" w:hAnsi="Arial"/>
                <w:sz w:val="22"/>
                <w:szCs w:val="22"/>
                <w:b w:val="1"/>
                <w:bCs w:val="1"/>
                <w:color w:val="auto"/>
                <w:w w:val="88"/>
              </w:rPr>
              <w:t>Commission File No. 0-7647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960" w:type="dxa"/>
            <w:vAlign w:val="bottom"/>
            <w:vMerge w:val="restart"/>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7"/>
        </w:trPr>
        <w:tc>
          <w:tcPr>
            <w:tcW w:w="2960" w:type="dxa"/>
            <w:vAlign w:val="bottom"/>
            <w:vMerge w:val="continue"/>
          </w:tcPr>
          <w:p>
            <w:pPr>
              <w:spacing w:after="0"/>
              <w:rPr>
                <w:sz w:val="24"/>
                <w:szCs w:val="24"/>
                <w:color w:val="auto"/>
              </w:rPr>
            </w:pPr>
          </w:p>
        </w:tc>
        <w:tc>
          <w:tcPr>
            <w:tcW w:w="3380" w:type="dxa"/>
            <w:vAlign w:val="bottom"/>
            <w:gridSpan w:val="2"/>
          </w:tcPr>
          <w:p>
            <w:pPr>
              <w:spacing w:after="0" w:line="408" w:lineRule="exact"/>
              <w:rPr>
                <w:sz w:val="20"/>
                <w:szCs w:val="20"/>
                <w:color w:val="auto"/>
              </w:rPr>
            </w:pPr>
            <w:r>
              <w:rPr>
                <w:rFonts w:ascii="Arial" w:cs="Arial" w:eastAsia="Arial" w:hAnsi="Arial"/>
                <w:sz w:val="36"/>
                <w:szCs w:val="36"/>
                <w:b w:val="1"/>
                <w:bCs w:val="1"/>
                <w:color w:val="auto"/>
              </w:rPr>
              <w:t>HAWKINS,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40" w:type="dxa"/>
            <w:vAlign w:val="bottom"/>
            <w:gridSpan w:val="3"/>
          </w:tcPr>
          <w:p>
            <w:pPr>
              <w:jc w:val="center"/>
              <w:ind w:left="176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63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rPr>
              <w:t>MINNESOTA</w:t>
            </w:r>
          </w:p>
        </w:tc>
        <w:tc>
          <w:tcPr>
            <w:tcW w:w="1280" w:type="dxa"/>
            <w:vAlign w:val="bottom"/>
          </w:tcPr>
          <w:p>
            <w:pPr>
              <w:jc w:val="right"/>
              <w:ind w:right="128"/>
              <w:spacing w:after="0"/>
              <w:rPr>
                <w:sz w:val="20"/>
                <w:szCs w:val="20"/>
                <w:color w:val="auto"/>
              </w:rPr>
            </w:pPr>
            <w:r>
              <w:rPr>
                <w:rFonts w:ascii="Arial" w:cs="Arial" w:eastAsia="Arial" w:hAnsi="Arial"/>
                <w:sz w:val="14"/>
                <w:szCs w:val="14"/>
                <w:b w:val="1"/>
                <w:bCs w:val="1"/>
                <w:color w:val="auto"/>
              </w:rPr>
              <w:t>41-0771293</w:t>
            </w:r>
          </w:p>
        </w:tc>
        <w:tc>
          <w:tcPr>
            <w:tcW w:w="0" w:type="dxa"/>
            <w:vAlign w:val="bottom"/>
          </w:tcPr>
          <w:p>
            <w:pPr>
              <w:spacing w:after="0"/>
              <w:rPr>
                <w:sz w:val="1"/>
                <w:szCs w:val="1"/>
                <w:color w:val="auto"/>
              </w:rPr>
            </w:pPr>
          </w:p>
        </w:tc>
      </w:tr>
      <w:tr>
        <w:trPr>
          <w:trHeight w:val="165"/>
        </w:trPr>
        <w:tc>
          <w:tcPr>
            <w:tcW w:w="634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94"/>
              </w:rPr>
              <w:t>(State of Incorporation)</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63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88"/>
              </w:rPr>
              <w:t>2381 Rosegate, Roseville,</w:t>
            </w:r>
          </w:p>
        </w:tc>
        <w:tc>
          <w:tcPr>
            <w:tcW w:w="12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55113</w:t>
            </w:r>
          </w:p>
        </w:tc>
        <w:tc>
          <w:tcPr>
            <w:tcW w:w="0" w:type="dxa"/>
            <w:vAlign w:val="bottom"/>
          </w:tcPr>
          <w:p>
            <w:pPr>
              <w:spacing w:after="0"/>
              <w:rPr>
                <w:sz w:val="1"/>
                <w:szCs w:val="1"/>
                <w:color w:val="auto"/>
              </w:rPr>
            </w:pPr>
          </w:p>
        </w:tc>
      </w:tr>
      <w:tr>
        <w:trPr>
          <w:trHeight w:val="186"/>
        </w:trPr>
        <w:tc>
          <w:tcPr>
            <w:tcW w:w="63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92"/>
              </w:rPr>
              <w:t>Minnesota</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4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5120" w:type="dxa"/>
            <w:vAlign w:val="bottom"/>
            <w:gridSpan w:val="2"/>
          </w:tcPr>
          <w:p>
            <w:pPr>
              <w:jc w:val="center"/>
              <w:ind w:left="3000"/>
              <w:spacing w:after="0"/>
              <w:rPr>
                <w:sz w:val="20"/>
                <w:szCs w:val="20"/>
                <w:color w:val="auto"/>
              </w:rPr>
            </w:pPr>
            <w:r>
              <w:rPr>
                <w:rFonts w:ascii="Arial" w:cs="Arial" w:eastAsia="Arial" w:hAnsi="Arial"/>
                <w:sz w:val="18"/>
                <w:szCs w:val="18"/>
                <w:b w:val="1"/>
                <w:bCs w:val="1"/>
                <w:color w:val="auto"/>
                <w:w w:val="90"/>
              </w:rPr>
              <w:t>(612) 331-6910</w:t>
            </w: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340" w:type="dxa"/>
            <w:vAlign w:val="bottom"/>
            <w:gridSpan w:val="3"/>
          </w:tcPr>
          <w:p>
            <w:pPr>
              <w:jc w:val="center"/>
              <w:ind w:left="178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00"/>
          </w:cols>
          <w:pgMar w:left="240" w:top="859" w:right="259" w:bottom="1440" w:gutter="0" w:footer="0" w:header="0"/>
        </w:sectPr>
      </w:pPr>
    </w:p>
    <w:p>
      <w:pPr>
        <w:spacing w:after="0" w:line="127" w:lineRule="exact"/>
        <w:rPr>
          <w:sz w:val="24"/>
          <w:szCs w:val="24"/>
          <w:color w:val="auto"/>
        </w:rPr>
      </w:pPr>
    </w:p>
    <w:p>
      <w:pPr>
        <w:jc w:val="right"/>
        <w:ind w:right="2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right"/>
        <w:ind w:right="2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COMMON STOCK, PAR VALUE $.05 PER SHARE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NASDAQ Global Market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100965</wp:posOffset>
            </wp:positionV>
            <wp:extent cx="3001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280" w:space="720"/>
            <w:col w:w="5400"/>
          </w:cols>
          <w:pgMar w:left="240" w:top="859" w:right="259" w:bottom="1440" w:gutter="0" w:footer="0" w:header="0"/>
          <w:type w:val="continuous"/>
        </w:sectPr>
      </w:pPr>
    </w:p>
    <w:p>
      <w:pPr>
        <w:spacing w:after="0" w:line="230" w:lineRule="exact"/>
        <w:rPr>
          <w:sz w:val="24"/>
          <w:szCs w:val="24"/>
          <w:color w:val="auto"/>
        </w:rPr>
      </w:pPr>
    </w:p>
    <w:p>
      <w:pPr>
        <w:ind w:left="340" w:right="210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4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p>
      <w:pPr>
        <w:ind w:left="380"/>
        <w:spacing w:after="0" w:line="181" w:lineRule="exact"/>
        <w:tabs>
          <w:tab w:leader="none" w:pos="1780" w:val="left"/>
          <w:tab w:leader="none" w:pos="3500" w:val="left"/>
          <w:tab w:leader="none" w:pos="6500" w:val="left"/>
          <w:tab w:leader="none" w:pos="91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 o</w:t>
      </w:r>
    </w:p>
    <w:p>
      <w:pPr>
        <w:spacing w:after="0" w:line="151"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80" w:firstLine="324"/>
        <w:spacing w:after="0" w:line="256" w:lineRule="auto"/>
        <w:rPr>
          <w:sz w:val="20"/>
          <w:szCs w:val="20"/>
          <w:color w:val="auto"/>
        </w:rPr>
      </w:pPr>
      <w:r>
        <w:rPr>
          <w:rFonts w:ascii="Arial" w:cs="Arial" w:eastAsia="Arial" w:hAnsi="Arial"/>
          <w:sz w:val="16"/>
          <w:szCs w:val="16"/>
          <w:color w:val="auto"/>
        </w:rPr>
        <w:t>The aggregate market value of voting stock held by non-affiliates of the Registrant on September 28, 2014 (the last business day of the Registrant’s most recently completed second fiscal quarter) was approximately $335.8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22, 2015, the Registrant had 10,615,623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224155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Portions of our Proxy Statement for the annual meeting of shareholders to be held July 30, 2015,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186690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100330</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3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Amendment No. 1 on Form 10-K/A (this “Amendment”) is being filed by Hawkins, Inc. to amend its Annual Report on Form 10-K for the fiscal year ended March 29, 2015, as filed with the Security and Exchange Commission on May 28, 2015 (the “Original Report”), solely to amend Part II, Item 8 of the Original Report to include the signature of the Company’s auditors to the Report of Independent Registered Public Accounting Firm (the “Report”). An executed copy of the Report was received on May 28, 2015, but the conformed signature was inadvertently omitted in the electronic filing. This Amendment includes the aforementioned revision to Part II, Item 8, and, for the purpose of reflecting the exhibits hereto, Part III, Item 15. We have included the remaining unaltered portions of the Original Report in their entirety to, among other things, facilitate efficient communication to our shareholders in connection with our 2015 Annual Meeting of Shareholders.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described above, this Amendment does not amend, update or change the financial statements or any other disclosure contained in the Original Report and does not reflect events occurring after the filing of the Original Report. This Amendment should be read in conjunction with our filings with the Securities and Exchange Commission after the filing of the Original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in this Annual Report on Form 10-K, except where otherwise stated or indicated by the context, “Hawkins,” “we,” “us,” “the Company,” “our,” or “the Registrant” means Hawkins, Inc. References to “fiscal 2016” mean our fiscal year ending April 3, 2016, “fiscal 2015” means our fiscal year ended March 29, 2015, “fiscal 2014” means our fiscal year ending March 30, 2014 and “fiscal 2013” means our fiscal year ended March 31, 2013.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2"/>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3"/>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8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1"/>
              </w:rPr>
              <w:t>For the Fiscal Year Ended March 29, 2015</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17"/>
                <w:szCs w:val="17"/>
                <w:color w:val="auto"/>
              </w:rPr>
            </w:pPr>
          </w:p>
        </w:tc>
        <w:tc>
          <w:tcPr>
            <w:tcW w:w="9140" w:type="dxa"/>
            <w:vAlign w:val="bottom"/>
            <w:gridSpan w:val="20"/>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140" w:type="dxa"/>
            <w:vAlign w:val="bottom"/>
            <w:shd w:val="clear" w:color="auto" w:fill="CCEEFF"/>
          </w:tcPr>
          <w:p>
            <w:pPr>
              <w:spacing w:after="0"/>
              <w:rPr>
                <w:sz w:val="21"/>
                <w:szCs w:val="21"/>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3"/>
        </w:trPr>
        <w:tc>
          <w:tcPr>
            <w:tcW w:w="9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2.</w:t>
            </w: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7100" w:type="dxa"/>
            <w:vAlign w:val="bottom"/>
            <w:tcBorders>
              <w:top w:val="single" w:sz="8" w:color="CCEEFF"/>
            </w:tcBorders>
            <w:gridSpan w:val="11"/>
          </w:tcPr>
          <w:p>
            <w:pPr>
              <w:spacing w:after="0"/>
              <w:rPr>
                <w:sz w:val="17"/>
                <w:szCs w:val="17"/>
                <w:color w:val="auto"/>
              </w:rPr>
            </w:pPr>
          </w:p>
        </w:tc>
        <w:tc>
          <w:tcPr>
            <w:tcW w:w="10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20" w:type="dxa"/>
            <w:vAlign w:val="bottom"/>
            <w:tcBorders>
              <w:top w:val="single" w:sz="8" w:color="CCEEFF"/>
            </w:tcBorders>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Legal Proceedings</w:t>
              </w:r>
            </w:hyperlink>
          </w:p>
        </w:tc>
        <w:tc>
          <w:tcPr>
            <w:tcW w:w="7800" w:type="dxa"/>
            <w:vAlign w:val="bottom"/>
            <w:tcBorders>
              <w:bottom w:val="single" w:sz="8" w:color="CCEEFF"/>
            </w:tcBorders>
            <w:gridSpan w:val="15"/>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280" w:type="dxa"/>
            <w:vAlign w:val="bottom"/>
            <w:gridSpan w:val="21"/>
          </w:tcPr>
          <w:p>
            <w:pPr>
              <w:ind w:left="1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Mine Safety Disclosures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7"/>
            <w:shd w:val="clear" w:color="auto" w:fill="CCEEFF"/>
          </w:tcPr>
          <w:p>
            <w:pPr>
              <w:jc w:val="center"/>
              <w:ind w:right="4060"/>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280" w:type="dxa"/>
            <w:vAlign w:val="bottom"/>
            <w:gridSpan w:val="21"/>
          </w:tcPr>
          <w:p>
            <w:pPr>
              <w:ind w:left="140"/>
              <w:spacing w:after="0" w:line="202"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Selected Financial Data</w:t>
              </w:r>
            </w:hyperlink>
          </w:p>
        </w:tc>
        <w:tc>
          <w:tcPr>
            <w:tcW w:w="7420" w:type="dxa"/>
            <w:vAlign w:val="bottom"/>
            <w:tcBorders>
              <w:bottom w:val="single" w:sz="8" w:color="CCEEFF"/>
            </w:tcBorders>
            <w:gridSpan w:val="14"/>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280" w:type="dxa"/>
            <w:vAlign w:val="bottom"/>
            <w:gridSpan w:val="21"/>
          </w:tcPr>
          <w:p>
            <w:pPr>
              <w:ind w:left="1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100" w:type="dxa"/>
            <w:vAlign w:val="bottom"/>
            <w:gridSpan w:val="3"/>
          </w:tcPr>
          <w:p>
            <w:pPr>
              <w:jc w:val="right"/>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140" w:type="dxa"/>
            <w:vAlign w:val="bottom"/>
            <w:shd w:val="clear" w:color="auto" w:fill="CCEEFF"/>
          </w:tcPr>
          <w:p>
            <w:pPr>
              <w:spacing w:after="0"/>
              <w:rPr>
                <w:sz w:val="17"/>
                <w:szCs w:val="17"/>
                <w:color w:val="auto"/>
              </w:rPr>
            </w:pPr>
          </w:p>
        </w:tc>
        <w:tc>
          <w:tcPr>
            <w:tcW w:w="4320" w:type="dxa"/>
            <w:vAlign w:val="bottom"/>
            <w:gridSpan w:val="14"/>
            <w:shd w:val="clear" w:color="auto" w:fill="CCEEFF"/>
          </w:tcPr>
          <w:p>
            <w:pPr>
              <w:spacing w:after="0" w:line="202"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4820" w:type="dxa"/>
            <w:vAlign w:val="bottom"/>
            <w:gridSpan w:val="6"/>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140" w:type="dxa"/>
            <w:vAlign w:val="bottom"/>
          </w:tcPr>
          <w:p>
            <w:pPr>
              <w:spacing w:after="0"/>
              <w:rPr>
                <w:sz w:val="17"/>
                <w:szCs w:val="17"/>
                <w:color w:val="auto"/>
              </w:rPr>
            </w:pPr>
          </w:p>
        </w:tc>
        <w:tc>
          <w:tcPr>
            <w:tcW w:w="4320" w:type="dxa"/>
            <w:vAlign w:val="bottom"/>
            <w:gridSpan w:val="14"/>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Financial Statements and Supplementary Data</w:t>
              </w:r>
            </w:hyperlink>
          </w:p>
        </w:tc>
        <w:tc>
          <w:tcPr>
            <w:tcW w:w="4820" w:type="dxa"/>
            <w:vAlign w:val="bottom"/>
            <w:gridSpan w:val="6"/>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140" w:type="dxa"/>
            <w:vAlign w:val="bottom"/>
            <w:shd w:val="clear" w:color="auto" w:fill="CCEEFF"/>
          </w:tcPr>
          <w:p>
            <w:pPr>
              <w:spacing w:after="0"/>
              <w:rPr>
                <w:sz w:val="17"/>
                <w:szCs w:val="17"/>
                <w:color w:val="auto"/>
              </w:rPr>
            </w:pPr>
          </w:p>
        </w:tc>
        <w:tc>
          <w:tcPr>
            <w:tcW w:w="648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Changes in and Disagreements with Accountants on Accounting and Financial Disclosure</w:t>
              </w:r>
            </w:hyperlink>
          </w:p>
        </w:tc>
        <w:tc>
          <w:tcPr>
            <w:tcW w:w="2660" w:type="dxa"/>
            <w:vAlign w:val="bottom"/>
            <w:gridSpan w:val="3"/>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17"/>
                <w:szCs w:val="17"/>
                <w:color w:val="auto"/>
              </w:rPr>
            </w:pPr>
          </w:p>
        </w:tc>
        <w:tc>
          <w:tcPr>
            <w:tcW w:w="6480" w:type="dxa"/>
            <w:vAlign w:val="bottom"/>
            <w:gridSpan w:val="17"/>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660" w:type="dxa"/>
            <w:vAlign w:val="bottom"/>
            <w:gridSpan w:val="3"/>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28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20" w:type="dxa"/>
            <w:vAlign w:val="bottom"/>
            <w:shd w:val="clear" w:color="auto" w:fill="CCEEFF"/>
          </w:tcPr>
          <w:p>
            <w:pPr>
              <w:spacing w:after="0"/>
              <w:rPr>
                <w:sz w:val="21"/>
                <w:szCs w:val="2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080"/>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Directors, Executive Officers, and Corporate Governance</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140" w:type="dxa"/>
            <w:vAlign w:val="bottom"/>
          </w:tcPr>
          <w:p>
            <w:pPr>
              <w:spacing w:after="0"/>
              <w:rPr>
                <w:sz w:val="17"/>
                <w:szCs w:val="17"/>
                <w:color w:val="auto"/>
              </w:rPr>
            </w:pPr>
          </w:p>
        </w:tc>
        <w:tc>
          <w:tcPr>
            <w:tcW w:w="4140" w:type="dxa"/>
            <w:vAlign w:val="bottom"/>
            <w:gridSpan w:val="13"/>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Executive Compensation</w:t>
              </w:r>
            </w:hyperlink>
          </w:p>
        </w:tc>
        <w:tc>
          <w:tcPr>
            <w:tcW w:w="5000" w:type="dxa"/>
            <w:vAlign w:val="bottom"/>
            <w:gridSpan w:val="7"/>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Security Ownership of Certain Beneficial Owners and Management And Related Stockholder Matters</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140" w:type="dxa"/>
            <w:vAlign w:val="bottom"/>
          </w:tcPr>
          <w:p>
            <w:pPr>
              <w:spacing w:after="0"/>
              <w:rPr>
                <w:sz w:val="17"/>
                <w:szCs w:val="17"/>
                <w:color w:val="auto"/>
              </w:rPr>
            </w:pPr>
          </w:p>
        </w:tc>
        <w:tc>
          <w:tcPr>
            <w:tcW w:w="7340" w:type="dxa"/>
            <w:vAlign w:val="bottom"/>
            <w:gridSpan w:val="18"/>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28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Principal Accountant Fees and Services</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shd w:val="clear" w:color="auto" w:fill="CCEEFF"/>
          </w:tcPr>
          <w:p>
            <w:pPr>
              <w:spacing w:after="0"/>
              <w:rPr>
                <w:sz w:val="21"/>
                <w:szCs w:val="2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060"/>
              <w:spacing w:after="0"/>
              <w:rPr>
                <w:sz w:val="20"/>
                <w:szCs w:val="20"/>
                <w:color w:val="auto"/>
              </w:rPr>
            </w:pPr>
            <w:r>
              <w:rPr>
                <w:rFonts w:ascii="Arial" w:cs="Arial" w:eastAsia="Arial" w:hAnsi="Arial"/>
                <w:sz w:val="18"/>
                <w:szCs w:val="18"/>
                <w:b w:val="1"/>
                <w:bCs w:val="1"/>
                <w:color w:val="auto"/>
                <w:w w:val="98"/>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28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Exhibits and Financial Statement Schedules</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Hawkins, Inc. distributes, blends and manufactures chemicals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including manufacturing, blending and repackaging certain products. We believe that we create value for our customers through superb service and support, quality products, personalized applications and trustworthy, creative employees.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conduct our business in two segments: Industrial and Water Treatment. Financial information regarding these segments is reported in Items 7 and 8 of this Annual Report on Form 10-K.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operates this segment of our business, which specializes in providing industrial chemicals,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such as agriculture, chemical processing, electronics, energy, food, pharmaceutical, plating and power generation. The group’s principal products are acids, alkalis and industrial and food-grade salts.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phosphoric acid, potassium hydroxide and aqua ammonia;</w:t>
      </w:r>
    </w:p>
    <w:p>
      <w:pPr>
        <w:spacing w:after="0" w:line="170" w:lineRule="exact"/>
        <w:rPr>
          <w:rFonts w:ascii="Arial" w:cs="Arial" w:eastAsia="Arial" w:hAnsi="Arial"/>
          <w:sz w:val="18"/>
          <w:szCs w:val="18"/>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70"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certain chemicals for customers according to customer formulas;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Our Water Treatment Group operates this segment of our business, which specializes in providing chemicals,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group operates out of warehouses in 28 cities supplying products and services to customers primarily in Florida, Illinois, Indiana, Iowa, Kansas, Kentucky, Minnesota, Missouri, Montana, Nebraska, North Dakota, Ohio, Oklahoma, South Dakota, Wisconsin and Wyoming. We entered the Florida market in fiscal 2015 through our acquisition of substantially all the assets of The Dumont Company, Inc. (“Dumont”), with seven operating locations. We added one new branch in each of fiscal 2013 and fiscal 2014 and will be adding one in early fiscal 2016. We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typically have written distributorship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or supply contracts with our suppliers that are periodically renewed. We believe that most of the products we purchase can be obtained from alternative sources should existing relationships be terminated. We are dependent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312" w:lineRule="auto"/>
        <w:rPr>
          <w:sz w:val="20"/>
          <w:szCs w:val="20"/>
          <w:color w:val="auto"/>
        </w:rPr>
      </w:pPr>
      <w:r>
        <w:rPr>
          <w:rFonts w:ascii="Arial" w:cs="Arial" w:eastAsia="Arial" w:hAnsi="Arial"/>
          <w:sz w:val="16"/>
          <w:szCs w:val="16"/>
          <w:color w:val="auto"/>
        </w:rPr>
        <w:t>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Customer Concentration. </w:t>
      </w:r>
      <w:r>
        <w:rPr>
          <w:rFonts w:ascii="Arial" w:cs="Arial" w:eastAsia="Arial" w:hAnsi="Arial"/>
          <w:sz w:val="17"/>
          <w:szCs w:val="17"/>
          <w:color w:val="auto"/>
        </w:rPr>
        <w:t>In fiscal 2015, none of our customers accounted for 10.0% or more of our total sales. Sales to our largest customer represented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6.1% of our total sales in fiscal 2015, 6.9% of our total sales in fiscal 2014 and 7.4% of our total sales in fiscal 2013. Aggregate sales to our five largest customers, all of which are in our Industrial segment, represented 18.0% of our total sales in fiscal 2015, 20.8% of our total sales in fiscal 2014 and 21.8% of our total sales in fiscal 2013. No other customer represented more than 2.0% of our total sales in fiscal 2015. The loss of any of our largest customers, or a substantial portion of their business, could have a material adverse effect on our results of operations.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chemicals equivalent to</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products we offer.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by sales to customers within, and long-lived assets are located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0.7% of our total revenues were from sales to customers outside of the U.S. in fiscal 2015 and 0.5% of our revenues were from sales to customers outside of the U.S. in both fiscal 2014 and fiscal 2013.</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Due to the nature of our operations, which includes purchases of large quantities of bulk chemicals, the timing of purchases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 Additionally, due to seasonality of the Water Treatment business, our accounts receivable balance is generally higher during the period of April through September.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419 employees as of March 29, 2015, including 51 covered by collective bargaining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We have made available, free of charge, through our Internet website (http://www.hawkinsinc.com), our Annual Reports on 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chemicals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greater geographic reach. As a result, these competitors may be able to offer a broader array of products to a larger geographic area and may be better able than us to withstand changes in conditions within our industry, changes in the prices and availability of raw materials, changes in general economic conditions and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investing in infrastructure to reduce freight costs, identifying and selling higher margin chemical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chemical raw materials, which may be cyclical in nature, could have a material adverse effect on our operations and the margins we receive on sales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regular and recurring fluctuations in the pricing of our raw materials. Those fluctuations can be significant and occur rapidly. The cyclicality of commodity chemical markets, such as caustic soda, primarily results from changes in the balance between supply and demand and the level of general economic activity. We cannot predict whether the markets for our chemical raw materials will favorably impact or negatively impact the margins we can realize.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principal raw materials are generally purchased under supply contracts. The prices we pay under these contracts generally lag the market prices of the underlying raw material and the cost of inventory we have on hand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In periods of rapidly increasing market prices, our inventory cost position will tend to be favorable, possibly by material amounts, which may positively impact our margins. Conversely, in periods of rapidly decreasing market prices, our inventory cost position will tend to be unfavorable,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 Although we sell to areas traditionally considered non-cyclical, such as water treatment and food products, many of our customers are in businesses that are cyclical in nature, such as the industrial manufacturing, surface finishing and energy industries which include the ethanol and agriculture industries. Downturns in these industries could adversely affect our sales and our financial results by affecting demand for and pricing of our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chemicals are used for a broad range of applications by our customers. Changes in our customers’ product needs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consistent with quality specifications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hazards common to chemical manufacturing,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maintain a number of owned trucks and trailers, we rely heavily upon transportation provided by third parties (including common carriers, barge companies and rail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increasingly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and when waterways are frozen. Truck transportation has been negatively impacted by a number of factors, including limited availability of qualified drivers and equipment, and limitations on drivers’ hours of service, and we expect these conditions will continue into the future. Our failure to ship or receive products in a timely and efficient manner could have a material adverse effect on our financial condition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color w:val="auto"/>
        </w:rPr>
        <w:t>In addition, we operate a fleet of more than 100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exposes us to potential product liability claims and recalls, which could adversely affect our financial condition and performance.</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repackaging, blending, mixing and distribution of chemical products by us, including products used in food or food ingredients or with medical, pharmaceutical or nutritional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particularly that of our Water Treatment Group and our agricultural product sales, is subject to seasonality and weather conditions, which could adversely affect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seven times, including three times since the spring of 2010.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the land where our three main terminals are located and where another significant manufacturing plant is located. We do not have guaranteed lease renewal options and may not be able to renew our leases in the future. Our current lease renewal periods extend out to 2018 (2 leases), 2023 (one lease) and 2029 (one lease). We are currently in negotiations to extend the two leases expiring in 2018 for a period of 15-20 years. The failure to secure extended lease terms on any one of these facilities may have a material adverse impact on our business, as they are where a significant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 is located in Roseville, Minnesota, where we lease approximately 40,000 square feet under a lease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shd w:val="clear" w:color="auto" w:fill="CCEEFF"/>
          </w:tcPr>
          <w:p>
            <w:pPr>
              <w:ind w:left="720"/>
              <w:spacing w:after="0"/>
              <w:rPr>
                <w:sz w:val="20"/>
                <w:szCs w:val="20"/>
                <w:color w:val="auto"/>
              </w:rPr>
            </w:pPr>
            <w:r>
              <w:rPr>
                <w:rFonts w:ascii="Arial" w:cs="Arial" w:eastAsia="Arial" w:hAnsi="Arial"/>
                <w:sz w:val="14"/>
                <w:szCs w:val="14"/>
                <w:b w:val="1"/>
                <w:bCs w:val="1"/>
                <w:color w:val="auto"/>
              </w:rPr>
              <w:t>Group</w:t>
            </w:r>
          </w:p>
        </w:tc>
        <w:tc>
          <w:tcPr>
            <w:tcW w:w="2120" w:type="dxa"/>
            <w:vAlign w:val="bottom"/>
            <w:shd w:val="clear" w:color="auto" w:fill="CCEEFF"/>
          </w:tcPr>
          <w:p>
            <w:pPr>
              <w:spacing w:after="0"/>
              <w:rPr>
                <w:sz w:val="14"/>
                <w:szCs w:val="14"/>
                <w:color w:val="auto"/>
              </w:rPr>
            </w:pPr>
          </w:p>
        </w:tc>
        <w:tc>
          <w:tcPr>
            <w:tcW w:w="2580" w:type="dxa"/>
            <w:vAlign w:val="bottom"/>
            <w:vMerge w:val="restart"/>
            <w:shd w:val="clear" w:color="auto" w:fill="CCEEFF"/>
          </w:tcPr>
          <w:p>
            <w:pPr>
              <w:jc w:val="center"/>
              <w:ind w:right="190"/>
              <w:spacing w:after="0"/>
              <w:rPr>
                <w:sz w:val="20"/>
                <w:szCs w:val="20"/>
                <w:color w:val="auto"/>
              </w:rPr>
            </w:pPr>
            <w:r>
              <w:rPr>
                <w:rFonts w:ascii="Arial" w:cs="Arial" w:eastAsia="Arial" w:hAnsi="Arial"/>
                <w:sz w:val="14"/>
                <w:szCs w:val="14"/>
                <w:b w:val="1"/>
                <w:bCs w:val="1"/>
                <w:color w:val="auto"/>
                <w:w w:val="92"/>
              </w:rPr>
              <w:t>Location</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98"/>
        </w:trPr>
        <w:tc>
          <w:tcPr>
            <w:tcW w:w="4320" w:type="dxa"/>
            <w:vAlign w:val="bottom"/>
            <w:vMerge w:val="continue"/>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580" w:type="dxa"/>
            <w:vAlign w:val="bottom"/>
            <w:tcBorders>
              <w:bottom w:val="single" w:sz="8" w:color="auto"/>
            </w:tcBorders>
            <w:vMerge w:val="continue"/>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37"/>
        </w:trPr>
        <w:tc>
          <w:tcPr>
            <w:tcW w:w="4320" w:type="dxa"/>
            <w:vAlign w:val="bottom"/>
          </w:tcPr>
          <w:p>
            <w:pPr>
              <w:ind w:left="720"/>
              <w:spacing w:after="0"/>
              <w:rPr>
                <w:sz w:val="20"/>
                <w:szCs w:val="20"/>
                <w:color w:val="auto"/>
              </w:rPr>
            </w:pPr>
            <w:r>
              <w:rPr>
                <w:rFonts w:ascii="Arial" w:cs="Arial" w:eastAsia="Arial" w:hAnsi="Arial"/>
                <w:sz w:val="18"/>
                <w:szCs w:val="18"/>
                <w:color w:val="auto"/>
              </w:rPr>
              <w:t>Industrial</w:t>
            </w:r>
          </w:p>
        </w:tc>
        <w:tc>
          <w:tcPr>
            <w:tcW w:w="2120" w:type="dxa"/>
            <w:vAlign w:val="bottom"/>
          </w:tcPr>
          <w:p>
            <w:pPr>
              <w:spacing w:after="0"/>
              <w:rPr>
                <w:sz w:val="20"/>
                <w:szCs w:val="20"/>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color w:val="auto"/>
                <w:w w:val="91"/>
              </w:rPr>
              <w:t>Camanche, IA</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5"/>
              </w:rPr>
              <w:t>Centralia, IL(1)</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5"/>
              </w:rPr>
              <w:t>Dupo, IL(2)</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6"/>
              </w:rPr>
              <w:t>Minneapolis, MN(3)</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2"/>
              </w:rPr>
              <w:t>St. Paul, MN(4)</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3"/>
              </w:rPr>
              <w:t>Rosemount, MN(5)</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4"/>
              </w:rPr>
              <w:t>St Louis, MO</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Water Treatment</w:t>
            </w: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4"/>
              </w:rPr>
              <w:t>Ft. Smith, AR(6)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color w:val="auto"/>
                <w:w w:val="94"/>
              </w:rPr>
              <w:t>Apopka, FL(6)</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32,100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3"/>
              </w:rPr>
              <w:t>Big Pine Key, FL(6)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color w:val="auto"/>
                <w:w w:val="97"/>
              </w:rPr>
              <w:t>Hollywood, FL(6)</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5,400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5"/>
              </w:rPr>
              <w:t>LaBelle, FL(6)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6"/>
              </w:rPr>
              <w:t>Monticello, FL(6)</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3"/>
              </w:rPr>
              <w:t>Starke, FL(6)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1"/>
              </w:rPr>
              <w:t>Webster, FL(6)</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6,500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6"/>
              </w:rPr>
              <w:t>Eldridge, IA</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4"/>
              </w:rPr>
              <w:t>Slater, IA</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4"/>
              </w:rPr>
              <w:t>Centralia, IL</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4"/>
              </w:rPr>
              <w:t>Havana, IL</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2"/>
              </w:rPr>
              <w:t>Peotone, IL(6)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5"/>
              </w:rPr>
              <w:t>Muncie, IN</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Garnett, KS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color w:val="auto"/>
                <w:w w:val="96"/>
              </w:rPr>
              <w:t>Frankfort, KY(7)</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4"/>
              </w:rPr>
              <w:t>Columbia, MO(6)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rPr>
              <w:t>Billings, MT</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3"/>
              </w:rPr>
              <w:t>Fargo, ND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89"/>
              </w:rPr>
              <w:t>Washburn, ND</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6"/>
              </w:rPr>
              <w:t>Lincoln, NE(6)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2"/>
              </w:rPr>
              <w:t>Tulsa, OK</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7,300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2"/>
              </w:rPr>
              <w:t>Sioux Falls, SD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3"/>
              </w:rPr>
              <w:t>Rapid City, SD</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2"/>
              </w:rPr>
              <w:t>Fond du Lac, WI</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3"/>
              </w:rPr>
              <w:t>Superior, WI</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Industrial and Water Treatment</w:t>
            </w: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2"/>
              </w:rPr>
              <w:t>St. Paul, MN(8)</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color w:val="auto"/>
                <w:w w:val="95"/>
              </w:rPr>
              <w:t>Memphis, TN</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486"/>
        </w:trPr>
        <w:tc>
          <w:tcPr>
            <w:tcW w:w="4320" w:type="dxa"/>
            <w:vAlign w:val="bottom"/>
          </w:tcPr>
          <w:p>
            <w:pPr>
              <w:spacing w:after="0"/>
              <w:rPr>
                <w:sz w:val="24"/>
                <w:szCs w:val="24"/>
                <w:color w:val="auto"/>
              </w:rPr>
            </w:pPr>
          </w:p>
        </w:tc>
        <w:tc>
          <w:tcPr>
            <w:tcW w:w="2120" w:type="dxa"/>
            <w:vAlign w:val="bottom"/>
          </w:tcPr>
          <w:p>
            <w:pPr>
              <w:jc w:val="right"/>
              <w:ind w:right="590"/>
              <w:spacing w:after="0"/>
              <w:rPr>
                <w:sz w:val="20"/>
                <w:szCs w:val="20"/>
                <w:color w:val="auto"/>
              </w:rPr>
            </w:pPr>
            <w:r>
              <w:rPr>
                <w:rFonts w:ascii="Arial" w:cs="Arial" w:eastAsia="Arial" w:hAnsi="Arial"/>
                <w:sz w:val="18"/>
                <w:szCs w:val="18"/>
                <w:color w:val="auto"/>
              </w:rPr>
              <w:t>7</w:t>
            </w:r>
          </w:p>
        </w:tc>
        <w:tc>
          <w:tcPr>
            <w:tcW w:w="2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ind w:left="540" w:hanging="316"/>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includes manufacturing capacity and primarily serves our food-grade products and agriculture businesses.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The applicable leases run through 2018. We are in negotiations to extend these leases for a period of 15-20 years.</w:t>
      </w:r>
    </w:p>
    <w:p>
      <w:pPr>
        <w:spacing w:after="0" w:line="51"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was constructed by us and has outside storage tanks for the storage of bulk chemicals, as well as numerous smaller tanks for storing and mixing chemicals.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was purchased in fiscal 2015 and will begin operations in early fiscal 2016.</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0" w:hanging="1296"/>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Quarterly Stock Data</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20" w:type="dxa"/>
            <w:vAlign w:val="bottom"/>
            <w:gridSpan w:val="4"/>
          </w:tcPr>
          <w:p>
            <w:pPr>
              <w:ind w:left="840"/>
              <w:spacing w:after="0"/>
              <w:rPr>
                <w:sz w:val="20"/>
                <w:szCs w:val="20"/>
                <w:color w:val="auto"/>
              </w:rPr>
            </w:pPr>
            <w:r>
              <w:rPr>
                <w:rFonts w:ascii="Arial" w:cs="Arial" w:eastAsia="Arial" w:hAnsi="Arial"/>
                <w:sz w:val="18"/>
                <w:szCs w:val="18"/>
                <w:color w:val="auto"/>
              </w:rPr>
              <w:t>Fiscal 2015</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36.93</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33.22</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34.00</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32.98</w:t>
            </w:r>
          </w:p>
        </w:tc>
      </w:tr>
      <w:tr>
        <w:trPr>
          <w:trHeight w:val="250"/>
        </w:trPr>
        <w:tc>
          <w:tcPr>
            <w:tcW w:w="8320" w:type="dxa"/>
            <w:vAlign w:val="bottom"/>
            <w:tcBorders>
              <w:bottom w:val="single" w:sz="8" w:color="CCEEFF"/>
            </w:tcBorders>
            <w:gridSpan w:val="4"/>
            <w:shd w:val="clear" w:color="auto" w:fill="CCEEFF"/>
          </w:tcPr>
          <w:p>
            <w:pPr>
              <w:ind w:left="840"/>
              <w:spacing w:after="0"/>
              <w:rPr>
                <w:sz w:val="20"/>
                <w:szCs w:val="20"/>
                <w:color w:val="auto"/>
              </w:rPr>
            </w:pPr>
            <w:r>
              <w:rPr>
                <w:rFonts w:ascii="Arial" w:cs="Arial" w:eastAsia="Arial" w:hAnsi="Arial"/>
                <w:sz w:val="18"/>
                <w:szCs w:val="18"/>
                <w:color w:val="auto"/>
              </w:rPr>
              <w:t>Fiscal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33.25</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35.29</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36.50</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35.92</w:t>
            </w:r>
          </w:p>
        </w:tc>
      </w:tr>
      <w:tr>
        <w:trPr>
          <w:trHeight w:val="324"/>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320" w:type="dxa"/>
            <w:vAlign w:val="bottom"/>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Cash Dividends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1"/>
              </w:rPr>
              <w:t>Declared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Paid</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20" w:type="dxa"/>
            <w:vAlign w:val="bottom"/>
            <w:gridSpan w:val="4"/>
          </w:tcPr>
          <w:p>
            <w:pPr>
              <w:ind w:left="840"/>
              <w:spacing w:after="0"/>
              <w:rPr>
                <w:sz w:val="20"/>
                <w:szCs w:val="20"/>
                <w:color w:val="auto"/>
              </w:rPr>
            </w:pPr>
            <w:r>
              <w:rPr>
                <w:rFonts w:ascii="Arial" w:cs="Arial" w:eastAsia="Arial" w:hAnsi="Arial"/>
                <w:sz w:val="18"/>
                <w:szCs w:val="18"/>
                <w:color w:val="auto"/>
              </w:rPr>
              <w:t>Fiscal 2016</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1st Quarter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43"/>
        </w:trPr>
        <w:tc>
          <w:tcPr>
            <w:tcW w:w="8320" w:type="dxa"/>
            <w:vAlign w:val="bottom"/>
            <w:gridSpan w:val="4"/>
          </w:tcPr>
          <w:p>
            <w:pPr>
              <w:ind w:left="840"/>
              <w:spacing w:after="0"/>
              <w:rPr>
                <w:sz w:val="20"/>
                <w:szCs w:val="20"/>
                <w:color w:val="auto"/>
              </w:rPr>
            </w:pPr>
            <w:r>
              <w:rPr>
                <w:rFonts w:ascii="Arial" w:cs="Arial" w:eastAsia="Arial" w:hAnsi="Arial"/>
                <w:sz w:val="18"/>
                <w:szCs w:val="18"/>
                <w:color w:val="auto"/>
              </w:rPr>
              <w:t>Fiscal 2015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0.38</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0.36</w:t>
            </w:r>
          </w:p>
        </w:tc>
      </w:tr>
      <w:tr>
        <w:trPr>
          <w:trHeight w:val="250"/>
        </w:trPr>
        <w:tc>
          <w:tcPr>
            <w:tcW w:w="8320" w:type="dxa"/>
            <w:vAlign w:val="bottom"/>
            <w:tcBorders>
              <w:bottom w:val="single" w:sz="8" w:color="CCEEFF"/>
            </w:tcBorders>
            <w:gridSpan w:val="4"/>
            <w:shd w:val="clear" w:color="auto" w:fill="CCEEFF"/>
          </w:tcPr>
          <w:p>
            <w:pPr>
              <w:ind w:left="840"/>
              <w:spacing w:after="0"/>
              <w:rPr>
                <w:sz w:val="20"/>
                <w:szCs w:val="20"/>
                <w:color w:val="auto"/>
              </w:rPr>
            </w:pPr>
            <w:r>
              <w:rPr>
                <w:rFonts w:ascii="Arial" w:cs="Arial" w:eastAsia="Arial" w:hAnsi="Arial"/>
                <w:sz w:val="18"/>
                <w:szCs w:val="18"/>
                <w:color w:val="auto"/>
              </w:rPr>
              <w:t>Fiscal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common shares are traded on The NASDAQ Global Market under the symbol “HWKN.” The price information represents sales prices as reported by The NASDAQ Global Market. As of May 22, 2015, shares of our common stock were held by approximately 464 shareholders of record.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consolidated results of operations, financial position, cash flows and other factors, and are subject to approval by our Board of Directors.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following table sets forth information concerning purchases of our common stock for the quarter ended March 29, 2015:</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22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Maximum Number of Shares</w:t>
            </w:r>
          </w:p>
        </w:tc>
      </w:tr>
      <w:tr>
        <w:trPr>
          <w:trHeight w:val="216"/>
        </w:trPr>
        <w:tc>
          <w:tcPr>
            <w:tcW w:w="2480" w:type="dxa"/>
            <w:vAlign w:val="bottom"/>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w w:val="92"/>
              </w:rPr>
              <w:t>Total Number of Shares</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w w:val="94"/>
              </w:rPr>
              <w:t>Average Price Paid Per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Publicly Announced Plan or</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that May Yet be Purchased</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Period</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Purchased</w:t>
            </w:r>
          </w:p>
        </w:tc>
        <w:tc>
          <w:tcPr>
            <w:tcW w:w="1920" w:type="dxa"/>
            <w:vAlign w:val="bottom"/>
          </w:tcPr>
          <w:p>
            <w:pPr>
              <w:jc w:val="right"/>
              <w:ind w:right="670"/>
              <w:spacing w:after="0"/>
              <w:rPr>
                <w:sz w:val="20"/>
                <w:szCs w:val="20"/>
                <w:color w:val="auto"/>
              </w:rPr>
            </w:pPr>
            <w:r>
              <w:rPr>
                <w:rFonts w:ascii="Arial" w:cs="Arial" w:eastAsia="Arial" w:hAnsi="Arial"/>
                <w:sz w:val="18"/>
                <w:szCs w:val="18"/>
                <w:color w:val="auto"/>
              </w:rPr>
              <w:t>Share</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under Plans or Programs</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12/29/2014-1/25/2015</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259,980</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1/26/2015-2/22/2015</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259,980</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2/23/2015-03/29/2015</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19,582</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37.76</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19,582</w:t>
            </w:r>
          </w:p>
        </w:tc>
        <w:tc>
          <w:tcPr>
            <w:tcW w:w="2200" w:type="dxa"/>
            <w:vAlign w:val="bottom"/>
          </w:tcPr>
          <w:p>
            <w:pPr>
              <w:jc w:val="right"/>
              <w:spacing w:after="0"/>
              <w:rPr>
                <w:sz w:val="20"/>
                <w:szCs w:val="20"/>
                <w:color w:val="auto"/>
              </w:rPr>
            </w:pPr>
            <w:r>
              <w:rPr>
                <w:rFonts w:ascii="Arial" w:cs="Arial" w:eastAsia="Arial" w:hAnsi="Arial"/>
                <w:sz w:val="18"/>
                <w:szCs w:val="18"/>
                <w:color w:val="auto"/>
              </w:rPr>
              <w:t>240,398</w:t>
            </w:r>
          </w:p>
        </w:tc>
      </w:tr>
      <w:tr>
        <w:trPr>
          <w:trHeight w:val="27"/>
        </w:trPr>
        <w:tc>
          <w:tcPr>
            <w:tcW w:w="24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2480" w:type="dxa"/>
            <w:vAlign w:val="bottom"/>
          </w:tcPr>
          <w:p>
            <w:pPr>
              <w:ind w:left="400"/>
              <w:spacing w:after="0"/>
              <w:rPr>
                <w:sz w:val="20"/>
                <w:szCs w:val="20"/>
                <w:color w:val="auto"/>
              </w:rPr>
            </w:pPr>
            <w:r>
              <w:rPr>
                <w:rFonts w:ascii="Arial" w:cs="Arial" w:eastAsia="Arial" w:hAnsi="Arial"/>
                <w:sz w:val="18"/>
                <w:szCs w:val="18"/>
                <w:color w:val="auto"/>
              </w:rPr>
              <w:t>Total</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19,582</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19,582</w:t>
            </w:r>
          </w:p>
        </w:tc>
        <w:tc>
          <w:tcPr>
            <w:tcW w:w="2200" w:type="dxa"/>
            <w:vAlign w:val="bottom"/>
          </w:tcPr>
          <w:p>
            <w:pPr>
              <w:spacing w:after="0"/>
              <w:rPr>
                <w:sz w:val="20"/>
                <w:szCs w:val="20"/>
                <w:color w:val="auto"/>
              </w:rPr>
            </w:pPr>
          </w:p>
        </w:tc>
      </w:tr>
      <w:tr>
        <w:trPr>
          <w:trHeight w:val="702"/>
        </w:trPr>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20" w:type="dxa"/>
            <w:vAlign w:val="bottom"/>
          </w:tcPr>
          <w:p>
            <w:pPr>
              <w:jc w:val="right"/>
              <w:ind w:right="750"/>
              <w:spacing w:after="0"/>
              <w:rPr>
                <w:sz w:val="20"/>
                <w:szCs w:val="20"/>
                <w:color w:val="auto"/>
              </w:rPr>
            </w:pPr>
            <w:r>
              <w:rPr>
                <w:rFonts w:ascii="Arial" w:cs="Arial" w:eastAsia="Arial" w:hAnsi="Arial"/>
                <w:sz w:val="18"/>
                <w:szCs w:val="18"/>
                <w:color w:val="auto"/>
              </w:rPr>
              <w:t>9</w:t>
            </w: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March 30, 2010,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Selected financial data for the Company’s continuing operations is presented in the table below and should be read in conjunction with Management’s Discussion and Analysis of Financial Condition and Results of Operations included in Item 7 and the Company’s consolidated financial statements and notes thereto included in Item 8 herein. Total assets shown below are for the Company’s total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Fiscal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364,023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348,263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350,387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343,834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297,641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65,791</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61,600</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56,936</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65,868</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61,902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19,214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18,094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17,108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21,628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20,314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1.98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0.76</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0.72</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0.68</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248,462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237,193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222,148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204,081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185,005</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acquired substantially all the assets of The Dumont Company, Inc. in the third quarter of fiscal 2015, and we acquired substantially all the assets of Vertex Chemical Corporation in late fiscal 2011. The results of these operations since the acquisition dates are included in our consolidated results of operations.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fiscal 2015, 2014 and 2013. This discussion should be read in conjunction with the Financial Statements and Notes to Financial Statements included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manufacturing, blending and repackaging certain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 and Business Expansion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20, 2014,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third quarter of fiscal 2014, we acquired substantially all the assets of Advance Chemical Solutions, Inc. (“ACS”). We paid $2.4 million in cash at closing, and have paid an additional $0.4 million of a potential $0.5 million earnout. We may be obligated to pay the remainder of the earnout over the next two years based on the achievement of certain financial performance targets. ACS had revenues of approximately $4.0 million for the 12 months ended September 30, 2013. The results of its operations since the acquisition date are included in our Water Treatment segment.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2013, we completed construction of a new Industrial manufacturing facility in Rosemount, Minnesota. The site provides capacity for future business growth and lessens our dependence on our flood-prone sites on the Mississippi River.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incurred incremental costs to operate this new facility during fiscal 2014 as compared to fiscal 2013 of approximately $1.7 million, which have been recorded in cost of sales in our Industrial segment.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Through the acquisitions described above, we opened seven new branches for our Water Treatment Group in fiscal 2015 and one in fiscal 2014. We are opening one new branch in early fiscal 2016 and opened one in fiscal 2013. We expect to continue to invest in existing and new branches to expand our Water Treatment Group’s geographic coverage. The cost of any one of these expansion branches is not expected to be material. In addition, in fiscal 2015 and continuing into fiscal 2016, we have proactively added route sales and other support personnel to Water Treatment Group branch offices within our existing geographic coverage area. While these additions will add costs in the near term, we expect these investments to better position us for future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fiscal 2015 we repurchased 59,602 shares of common stock with an aggregate purchase price of $2.2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2014, we moved into a new corporate headquarters located in Roseville, Minnesota. The move was necessary because we had outgrown our former corporate headquarters that had been our home for over 60 years. As a result of this move, we incurred incremental costs during fiscal 2014 as compared to fiscal 2013 of approximately $1.0 million, recorded in selling, general and administrative expenses and allocated among both our Water Treatment and Industrial segments.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2013, we recorded a pre-tax charge of $7.2 million in our Industrial segment (approximately $4.5 million after tax, or $0.43 per fully diluted share). This charge represented the discounted value of our estimated withdrawal payment obligation from the Central States, Southeast and Southwest Areas Pension Fund (“CSS”), a collectively bargained multiemployer pension plan. The withdrawal liability will be paid over 20 years and our payments began in the third quarter of fiscal 2014.</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2013, we entered into a settlement agreement with a chemical supplier to us, pursuant to which we mutually resolved previously disclosed litigation and all disputes between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in our Industrial segment (approximately $2.0 million after tax, or $0.19 per fully diluted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2015 is provided below:</w:t>
      </w:r>
    </w:p>
    <w:p>
      <w:pPr>
        <w:spacing w:after="0" w:line="225" w:lineRule="exact"/>
        <w:rPr>
          <w:sz w:val="20"/>
          <w:szCs w:val="20"/>
          <w:color w:val="auto"/>
        </w:rPr>
      </w:pPr>
    </w:p>
    <w:p>
      <w:pPr>
        <w:ind w:left="560" w:hanging="3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$364.0 million, a 4.5% increase from fiscal 2014;</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Gross profit of $65.8 million, or 18.1% of sales, an increase of $4.2 million in gross profit dollars from fiscal 2014;</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of $20.7 million; and</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and cash equivalents and investments available for sale of $50.4 million as of the end of fiscal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maintain relatively constant gross profit dollars per unit sold on each of our products as the cost of our raw materials increase or decrease, subject to competitive pricing pressures that may negatively impact our gross profit dollars per unit sold. Since we expect that we will continue to experience fluctuations in our raw material costs and resulting prices in the future, we believe that gross profit dollars is the best measure of our profitability from the sale of our products, as opposed to gross profit as a percentage of sales.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the last in, first out (“LIFO”) method of valuing the vast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Our LIFO reserve increased by $0.4 million in fiscal 2015 due to an increase in inventory volumes on hand, resulting in a decrease to our reported gross profit for the year. In fiscal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2014, our LIFO reserve decreased by $1.9 million, increasing our reported gross profit for that year. The reduction in the LIFO reserve in fiscal 2014 was primarily due to lower volumes of inventory on hand at year-end, driven by cold and wintry weather that resulted in rail car and barge shipment delays during the fourth quarter of fiscal 2014.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disclose the sales of our bulk commodity products as a percentage of total sales dollars.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580" w:type="dxa"/>
            <w:vAlign w:val="bottom"/>
          </w:tcPr>
          <w:p>
            <w:pPr>
              <w:jc w:val="right"/>
              <w:ind w:right="533"/>
              <w:spacing w:after="0"/>
              <w:rPr>
                <w:sz w:val="20"/>
                <w:szCs w:val="20"/>
                <w:color w:val="auto"/>
              </w:rPr>
            </w:pPr>
            <w:r>
              <w:rPr>
                <w:rFonts w:ascii="Arial" w:cs="Arial" w:eastAsia="Arial" w:hAnsi="Arial"/>
                <w:sz w:val="14"/>
                <w:szCs w:val="14"/>
                <w:b w:val="1"/>
                <w:bCs w:val="1"/>
                <w:color w:val="auto"/>
              </w:rPr>
              <w:t>Fiscal</w:t>
            </w:r>
          </w:p>
        </w:tc>
      </w:tr>
      <w:tr>
        <w:trPr>
          <w:trHeight w:val="192"/>
        </w:trPr>
        <w:tc>
          <w:tcPr>
            <w:tcW w:w="65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6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Compared to Fiscal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increased $15.8 million, or 4.5%, to $364.0 million for fiscal 2015, as compared to sales of $348.3 million for fiscal 2014. Sales of bulk commodity products were approximately 22% of sales in fiscal 2015 and 23% in fiscal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$4.2 million, or 1.7%, to $249.1 million for fiscal 2015. Volumes increased year-over-year;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lower raw material prices and competitive pricing pressures in certain product lines resulted in lower per-unit selling prices.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$11.6 million, or 11.2%, to $115.0 million for fiscal 2015. Our recently acquired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and Oklahoma locations accounted for $7.9 million of the total increase. In addition, growth in our newer branches and increased sales of specialty chemicals were partially offset by the impact of lower raw material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was $65.8 million, or 18.1% of sales, for fiscal 2015, as compared to $61.6 million, or 17.7% of sales, for fiscal 2014. The LIFO method of valuing inventory decreased gross profit by $0.4 million for fiscal 2015, while it increased gross profit by $1.9 million for fiscal 2014.</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$33.6 million, or 13.5% of sales, for fiscal 2015, an increase of $1.6 million from $32.0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13.1% of sales, for fiscal 2014. The increase in gross profit dollars was driven by higher sales volumes in fiscal 2015 as compared to fiscal 2014, partially offset by lower per-unit margins due to continued competitive pricing pressures in certain product lines. Gross profit for fiscal 2015 as compared to fiscal 2014 was favorably impacted by $0.3 million, as costs incurred in fiscal 2014 to exit a leased facility were partially offset by accelerated depreciation on assets incurred in fiscal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2015 in connection with a construction project. The LIFO method of valuing inventory decreased gross profit in our industrial segment by $0.3 million in fiscal 2015, while it increased gross profit by $1.6 million in fiscal 2014.</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$2.6 million to $32.2 million, or 28.0% of sales, for fiscal 2015,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$29.6 million, or 28.6% of sales, for fiscal 2014. The increase in gross profit dollars was a result of higher sales volumes across most of our branches, in particular the addition of our recently acquired Florida and Oklahoma locations, along with increased sales of specialty chemicals. Gross profit as a percentage of sales decreased primarily due to the addition of and growth in our newer branches that have lower per-branch revenues, and the costs to operate these branches represent a higher percentage of their sales than many of our existing branches. The LIFO method of valuing inventory decreased gross profit by $0.1 million in fiscal 2015, while it increased gross profit by $0.3 million in fiscal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were $35.4 million, or 9.7% of sales, for fiscal 2015, as compared to $33.5 million, or 9.6% of sales, for fiscal 2014. The expenses increased in our Water Treatment segment, with $1.6 million of the increase due to our recently acquired Florida and Oklahoma locations, and the remainder of the increase driven by the addition of sales personnel in existing 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was $30.4 million, or 8.4% of sales, for fiscal 2015, as compared to $28.1 million, or 8.1% of sales, for fiscal 2014. Operating income for the Industrial segment increased by $1.6 million as a result of the gross profit increases discussed above. Operating income for the Water Treatment segment increased $0.8 million, as increased selling, general and administrative expenses partially offset increases in gross profit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on cash and investments of $0.2 million was offset by interest expense related to our pension withdrawal liability of $0.2 million during both fiscal 2015 and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income tax rate was 36.9% for fiscal 2015 compared to 35.5% for fiscal 2014. Our effective tax rate for fiscal 2014 was reduced by a non-recurring state tax benefit of $0.4 million. The effective tax rate is generally impacted by projected levels of taxable income, permanent items, and state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to Fiscal 2013</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decreased $2.1 million, or 0.6%, to $348.3 million for fiscal 2014, as compared to sales of $350.4 million for fiscal 2013. Sales of bulk commodity products were approximately 23% of sales in fiscal 2014 and 24% in fiscal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$3.7 million, or 1.5%, to $244.9 million for fiscal 2014. Overall volumes increased slightly year-over-year, with the increase driven by higher volumes of bulk commodity products sold, which generally carry lower per-unit selling prices and margins. In addition, competitive pricing pressures resulted in lower overall per-unit selling prices.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$1.5 million, or 1.5%, to $103.4 million for fiscal 2014. Sales volumes in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were largely unchanged as compared to the prior year. Sales growth in our newer branches, including the recently acquired Oklahoma location, together with increased sales of certain specialty chemical products and equipment, more than offset the negative impact of unfavorable weather conditions during the majority of the spring and summer months and reduced sales volumes of bulk commodity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$61.6 million, or 17.7% of sales, for fiscal 2014, as compared to $56.9 million, or 16.2% of sales, for fiscal 2013. The prior year’s gross profit was adversely impacted by the $7.2 million CSS pension withdrawal charge and the $3.2 million charge resulting from the litigation settlement, both of which were recorded in our Industrial segment. Together, these charges constituted 3.0% of sales for fiscal 2013. The LIFO method of valuing inventory increased gross profit by $1.9 million for fiscal 2014 and $0.4 million for fiscal 2013, primarily due to lower levels of inventory of many of our products at year-end.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$32.0 million, or 13.1% of sales, for fiscal 2014, as compared to $28.9 million, or 11.6%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fiscal 2013. The prior year’s gross profit for this segment was negatively impacted by the $7.2 million CSS pension withdrawal charge and the $3.2 million charge resulting from the litigation settlement, which charges together constituted 4.2% of Industrial segment sales for the fiscal year. Gross profit for fiscal 2014 was adversely impacted by $1.7 million in incremental costs to operate our new Rosemount manufacturing facility as compared to fiscal 2013, and a $0.4 million year-over-year difference in costs incurred to exit the leased facility used to serve our bulk pharmaceutical customers. Despite slightly higher overall sales volumes, gross profit was also negatively impacted by competitive pricing pressures and higher volumes of lower margin products sold as compared to the prior year. The LIFO method of valuing inventory increased gross profit by $1.6 million in fiscal 2014 and increased gross profit by $0.4 million in fiscal 2013.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$29.6 million, or 28.6% of sales, for fiscal 2014, as compared to $28.1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27.6% of sales, for fiscal 2013. Growth at our newer branches, including the recently acquired Oklahoma location, along with a favorable product mix shift to specialty chemical products from bulk commodities, more than offset the impact to gross profit of unfavorable weather conditions during the spring and summer months. The LIFO method of valuing inventory increased gross profit by $0.3 million in fiscal 2014 and had a nominal impact on gross profit in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were $33.5 million, or 9.6% of sales, for fiscal 2014, as compared to $31.6 million, or 9.0% of sales, for fiscal 2013. The increase in expenses was driven by incremental costs of $1.0 million related to our new headquarters facility, as well as additional sales and infrastructure support staffing costs in the Water Treatment segment, including our recently acquired Oklahoma 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was $28.1 million, or 8.1% of sales, for fiscal 2014, as compared to $25.3 million, or 7.2% of sales, for fiscal 2013. Operating income for the Industrial segment increased by $3.3 million as a result of the $7.2 million CSS pension withdrawal charge and the $3.2 million litigation settlement charge recorded in the prior year, largely offset by the reductions in gross profit in fiscal 2014 as discussed above. Operating income for the Water Treatment segment decreased $0.5 million primarily as a result of higher selling, general and administrative expenses, more than offsetting increases in gross profit as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on cash and investments of $0.2 million was offset by interest expense related to our pension withdrawal liability of $0.2 million during fiscal 2014. Interest income of $0.1 million for fiscal 2013 consisted primarily of interest income on cash and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was 35.5% for fiscal 2014 compared to 32.7% for fiscal 2013. Our effective tax rate for fiscal 2014 was reduced by a non-recurring state tax benefit of $0.4 million. During fiscal 2013, we amended previously filed U.S. Federal tax returns resulting in an increase of $0.8 million in the benefits related to the domestic manufacturing deduction and investment tax credits, which reduced our tax rate for that year. The effective tax rate is generally impacted by projected levels of taxable income, permanent items, and state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in fiscal 2015 was $20.7 million compared to $34.6 million in fiscal 2014 and $35.5 million in fiscal 2013. The decrease in cash provided by operating activities was primarily due to the timing of inventory purchases, with increased inventory levels on hand at March 29, 2015 as compared to March 30, 2014. Our inventory levels on hand at the end of fiscal 2014 were unusually low, driven by cold and wintry weather that resulted in rail car and barge shipment delays during the fourth quarter of fiscal 2014.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 Additionally, due to seasonality of the Water Treatment business, our accounts receivable balance is generally higher during the period of April through September.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Cash used in investing activities was $26.4 million in fiscal 2015 compared to $23.1 million in fiscal 2014 and $30.4 million in fiscal 2013. Capital expenditures were $14.6 million in fiscal 2015, $12.3 million in fiscal 2014 and $26.7 million in fiscal 2013. Capital expenditures in fiscal 2015 included $5.5 million related to business expansion, inventory storage, and process improvement projects and $5.9 million related to facility improvements, replacement equipment, new and replacement containers and water treatment trucks. We are projecting an increased level of capital spending in fiscal 2016 as compared with fiscal 2015 as we invest in business growth and infrastructure related projects including site development and rail work at one of our terminal facilities. Total capital spending in fiscal 2016 is currently projected to be approximately $33.0 million. We also used $10.1 million of cash for the Dumont acquisition in fiscal 2015 and $2.4 million of cash for the ACS acquisition in fiscal 2014, with nominal cash expended for acquisitions in fiscal 2013.</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used in financing activities was $9.1 million in fiscal 2015 compared to $6.7 million in fiscal 2014 and $4.9 million in fiscal 2013. The increase in cash used in financing activities in fiscal 2015 was driven by $2.2 million of common stock repurchases during fiscal 2015. Dividend payments were $7.9 million in fiscal 2015, $7.4 million in fiscal 2014 and $6.9 million in fiscal 2013. During the second quarter of fiscal 2015, our Board of Directors increased our semi-annual cash dividend by 5.6% to $0.38 per share, from $0.36 per share. We have paid cash dividends continuously since 1985. Future dividend levels will be dependent upon our results of operations, financial position, cash flows and other factors, and are subject to approval by our Board of Directors.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investments available-for-sale was $50.4 million at March 29, 2015, a decrease of $12.8 million as compared with March 30, 2014, primarily due to the cash outflows associated with the Dumont acquisition, dividend payments, capital expenditures, and the share repurchase program described above exceeding the cash flows generated from operations during fiscal 2015. Investments available-for-sale as of March 29, 2015 and March 30, 2014 consisted of certificates of deposit and municipal bonds with maturities ranging from three months to three years. We expect cash balances and our cash flows from operations will be sufficient to fund our cash requirements in fiscal 2016.</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business growth strategy, we have acquired businesses and may pursue acquisitions or other strategic relationships in the future that we believe will complement or expand our existing businesses or increase our customer base. 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9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88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98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More than</w:t>
            </w:r>
          </w:p>
        </w:tc>
        <w:tc>
          <w:tcPr>
            <w:tcW w:w="340" w:type="dxa"/>
            <w:vAlign w:val="bottom"/>
          </w:tcPr>
          <w:p>
            <w:pPr>
              <w:spacing w:after="0"/>
              <w:rPr>
                <w:sz w:val="13"/>
                <w:szCs w:val="13"/>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5 Years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2,139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4,198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Pension withdrawal liability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6,307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180" w:hanging="412"/>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shown in the table above relate to our withdrawal from the CSS multiemployer pension plan. Payments on this obligation began in fiscal 2014 and will continue through 2034.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LIFO Reserve </w:t>
      </w:r>
      <w:r>
        <w:rPr>
          <w:rFonts w:ascii="Arial" w:cs="Arial" w:eastAsia="Arial" w:hAnsi="Arial"/>
          <w:sz w:val="18"/>
          <w:szCs w:val="18"/>
          <w:color w:val="auto"/>
        </w:rPr>
        <w:t>- Inventories are primarily valued at the lower of cost or market with cost being determined using the LIFO method. We may incur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in our LIFO reserve and, as a result, gross margins, due primarily to changes in the level of inventory on hand and the per-unit cost of a single, large-volume component of our inventory. The price of this inventory component fluctuates depending on the balance between supply and demand. Management reviews the LIFO reserve on a quarterly basis. Inventories not valued used the LIFO method are valued at the lower of cost or market with cost being determined using the FIFO method.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Goodwill and Infinite-life Intangible Assets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As of January 1, 2015,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either reporting unit.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 or accounting standards to be adopted in the future.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Hawkins, Inc.:</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We have audited the accompanying consolidated balance sheets of Hawkins, Inc. and subsidiaries (the Company) as of March 29, 2015 and March 30, 2014, and the related consolidated statements of income, comprehensive income, shareholders’ equity, and cash flows for each of the years in the three-year period ended March 29, 2015. In connection with our audits of the consolidated financial statements, we also have audited the financial statement schedule for each of the years in the three-year period ended March 29, 2015, listed in schedule II of this Form 10-K. We also have audited the Company’s internal control over financial reporting as of March 29, 2015,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Hawkins, Inc. and subsidiaries as of March 29, 2015 and March 30, 2014, and the results of their operations and their cash flows for each of the years in the three-year period ended March 29, 2015, in conformity with U.S. generally accepted accounting principles. Also, in our opinion, the financial statement schedule referred to above, when considered in relation to the basic consolidated financial statements taken as a whole, presents fairly, in all material respects, the information set forth therein. Also in our opinion, Hawkins, Inc. and subsidiaries maintained, in all material respects, effective internal control over financial reporting as of March 29, 2015, based on criteria established in </w:t>
      </w:r>
      <w:r>
        <w:rPr>
          <w:rFonts w:ascii="Arial" w:cs="Arial" w:eastAsia="Arial" w:hAnsi="Arial"/>
          <w:sz w:val="15"/>
          <w:szCs w:val="15"/>
          <w:i w:val="1"/>
          <w:iCs w:val="1"/>
          <w:color w:val="auto"/>
        </w:rPr>
        <w:t xml:space="preserve">Internal Control - Integrated Framework (1992) </w:t>
      </w:r>
      <w:r>
        <w:rPr>
          <w:rFonts w:ascii="Arial" w:cs="Arial" w:eastAsia="Arial" w:hAnsi="Arial"/>
          <w:sz w:val="15"/>
          <w:szCs w:val="15"/>
          <w:color w:val="auto"/>
        </w:rPr>
        <w:t>issued by the Committee of Sponsoring Organizations of the Treadway Commission.</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report dated May 28, 2015 on internal control over financial reporting as of March 29, 2015, contains an explanatory paragraph that states management excluded from its assessment of the effectiveness of internal control over financial reporting as of March 29, 2015, Dumont Company, Inc.’s internal control over financial reporting that comprise total assets of 4.3% and 1.6% of total revenues included in the consolidated financial statements of Hawkins, Inc. and subsidiaries as of and for the year ended March 29, 2015. Our audit of internal control over financial reporting of Hawkins, Inc. also excluded an evaluation of the internal control over financial reporting of Dumont Company, Inc.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May 28, 2015</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2015</w:t>
            </w:r>
          </w:p>
        </w:tc>
        <w:tc>
          <w:tcPr>
            <w:tcW w:w="220" w:type="dxa"/>
            <w:vAlign w:val="bottom"/>
          </w:tcPr>
          <w:p>
            <w:pPr>
              <w:spacing w:after="0"/>
              <w:rPr>
                <w:sz w:val="16"/>
                <w:szCs w:val="16"/>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30, 2014</w:t>
            </w:r>
          </w:p>
        </w:tc>
        <w:tc>
          <w:tcPr>
            <w:tcW w:w="0" w:type="dxa"/>
            <w:vAlign w:val="bottom"/>
          </w:tcPr>
          <w:p>
            <w:pPr>
              <w:spacing w:after="0"/>
              <w:rPr>
                <w:sz w:val="1"/>
                <w:szCs w:val="1"/>
                <w:color w:val="auto"/>
              </w:rPr>
            </w:pPr>
          </w:p>
        </w:tc>
      </w:tr>
      <w:tr>
        <w:trPr>
          <w:trHeight w:val="177"/>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18,639</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33,486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Investments available-for-sale</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14,485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13,843</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receivables, less allowance for doubtful accounts of $445 for 2015 and $477 for 2014</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40,355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37,946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37,028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26,192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receivable</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3,101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114,340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114,627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w:t>
            </w:r>
          </w:p>
        </w:tc>
        <w:tc>
          <w:tcPr>
            <w:tcW w:w="2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8,038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Buildings and improvements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73,095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68,801</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Machinery and equipment</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60,077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53,089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Transportation equipment</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19,596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17,764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Office furniture and equipment including computer systems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11,966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11,183</w:t>
            </w:r>
          </w:p>
        </w:tc>
        <w:tc>
          <w:tcPr>
            <w:tcW w:w="0" w:type="dxa"/>
            <w:vAlign w:val="bottom"/>
          </w:tcPr>
          <w:p>
            <w:pPr>
              <w:spacing w:after="0"/>
              <w:rPr>
                <w:sz w:val="1"/>
                <w:szCs w:val="1"/>
                <w:color w:val="auto"/>
              </w:rPr>
            </w:pPr>
          </w:p>
        </w:tc>
      </w:tr>
      <w:tr>
        <w:trPr>
          <w:trHeight w:val="74"/>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172,772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158,875</w:t>
            </w: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Less accumulated depreciation</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79,042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68,406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Net property, plant, and equipment</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93,730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90,469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11,750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7,392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 assets, less accumulated amortization of $3,933 for 2015 and $3,069 for 2014</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8,509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Long-term investments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17,249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40,392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32,097</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248,462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237,193</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Accounts payable — trade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20,083</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18,306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payable</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3,823</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Income tax payable</w:t>
            </w:r>
          </w:p>
        </w:tc>
        <w:tc>
          <w:tcPr>
            <w:tcW w:w="20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3,801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36,343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35,829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WITHDRAWAL LIABILITY</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9,978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10,186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54,498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54,780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4"/>
              </w:rPr>
              <w:t>Common stock; authorized: 30,000,000 shares of $0.05 par value; 10,564,949 and 10,562,400 shares issued and</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outstanding for 2015 and 2014, respectively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50,901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50,502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142,567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131,427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shareholders’ equity</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193,964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182,413</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248,462</w:t>
            </w:r>
          </w:p>
        </w:tc>
        <w:tc>
          <w:tcPr>
            <w:tcW w:w="12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237,193</w:t>
            </w:r>
          </w:p>
        </w:tc>
        <w:tc>
          <w:tcPr>
            <w:tcW w:w="0" w:type="dxa"/>
            <w:vAlign w:val="bottom"/>
          </w:tcPr>
          <w:p>
            <w:pPr>
              <w:spacing w:after="0"/>
              <w:rPr>
                <w:sz w:val="1"/>
                <w:szCs w:val="1"/>
                <w:color w:val="auto"/>
              </w:rPr>
            </w:pPr>
          </w:p>
        </w:tc>
      </w:tr>
      <w:tr>
        <w:trPr>
          <w:trHeight w:val="65"/>
        </w:trPr>
        <w:tc>
          <w:tcPr>
            <w:tcW w:w="70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800" w:top="580" w:right="7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300"/>
          </w:cols>
          <w:pgMar w:left="800" w:top="580" w:right="7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2015</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30, 2014</w:t>
            </w:r>
          </w:p>
        </w:tc>
        <w:tc>
          <w:tcPr>
            <w:tcW w:w="240" w:type="dxa"/>
            <w:vAlign w:val="bottom"/>
          </w:tcPr>
          <w:p>
            <w:pPr>
              <w:spacing w:after="0"/>
              <w:rPr>
                <w:sz w:val="22"/>
                <w:szCs w:val="22"/>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(298,232)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(286,241)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61,600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56,936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25,414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17,126</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10,544,467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10,464,820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10,633,554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10,599,755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10,541,142</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29, 2015</w:t>
            </w:r>
          </w:p>
        </w:tc>
        <w:tc>
          <w:tcPr>
            <w:tcW w:w="380" w:type="dxa"/>
            <w:vAlign w:val="bottom"/>
          </w:tcPr>
          <w:p>
            <w:pPr>
              <w:spacing w:after="0"/>
              <w:rPr>
                <w:sz w:val="16"/>
                <w:szCs w:val="16"/>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30, 2014</w:t>
            </w:r>
          </w:p>
        </w:tc>
        <w:tc>
          <w:tcPr>
            <w:tcW w:w="380" w:type="dxa"/>
            <w:vAlign w:val="bottom"/>
          </w:tcPr>
          <w:p>
            <w:pPr>
              <w:spacing w:after="0"/>
              <w:rPr>
                <w:sz w:val="16"/>
                <w:szCs w:val="16"/>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rPr>
              <w:t>March 31, 2013</w:t>
            </w:r>
          </w:p>
        </w:tc>
      </w:tr>
      <w:tr>
        <w:trPr>
          <w:trHeight w:val="324"/>
        </w:trPr>
        <w:tc>
          <w:tcPr>
            <w:tcW w:w="61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17,126</w:t>
            </w: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Unrealized gain (loss) on available-for-sale investments</w:t>
            </w:r>
          </w:p>
        </w:tc>
        <w:tc>
          <w:tcPr>
            <w:tcW w:w="3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post-retirement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6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17,143</w:t>
            </w: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200" w:lineRule="exact"/>
        <w:rPr>
          <w:sz w:val="20"/>
          <w:szCs w:val="20"/>
          <w:color w:val="auto"/>
        </w:rPr>
      </w:pPr>
    </w:p>
    <w:p>
      <w:pPr>
        <w:spacing w:after="0" w:line="205" w:lineRule="exact"/>
        <w:rPr>
          <w:sz w:val="20"/>
          <w:szCs w:val="20"/>
          <w:color w:val="auto"/>
        </w:rPr>
      </w:pPr>
    </w:p>
    <w:p>
      <w:pPr>
        <w:jc w:val="center"/>
        <w:ind w:left="356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23495</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660"/>
        <w:spacing w:after="0"/>
        <w:tabs>
          <w:tab w:leader="none" w:pos="496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0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Capital</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720"/>
            <w:col w:w="514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April 1, 2012</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10,430,874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156,607</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w w:val="96"/>
              </w:rPr>
              <w:t>Shares surrendered for payroll taxes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30,434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2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3220" w:type="dxa"/>
            <w:vAlign w:val="bottom"/>
          </w:tcPr>
          <w:p>
            <w:pPr>
              <w:ind w:left="60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17,126</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March 31, 2013</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10,495,427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170,172</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w w:val="96"/>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28,214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917</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2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2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18,094</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March 30, 2014</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10,562,400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182,413</w:t>
            </w:r>
          </w:p>
        </w:tc>
      </w:tr>
      <w:tr>
        <w:trPr>
          <w:trHeight w:val="540"/>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(8,074)</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29,355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w w:val="96"/>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31,383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tax</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19,214</w:t>
            </w: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 March 29, 2015</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10,564,949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50,901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142,567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193,964</w:t>
            </w:r>
          </w:p>
        </w:tc>
      </w:tr>
      <w:tr>
        <w:trPr>
          <w:trHeight w:val="27"/>
        </w:trPr>
        <w:tc>
          <w:tcPr>
            <w:tcW w:w="3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2015</w:t>
            </w: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30, 2014</w:t>
            </w:r>
          </w:p>
        </w:tc>
        <w:tc>
          <w:tcPr>
            <w:tcW w:w="200" w:type="dxa"/>
            <w:vAlign w:val="bottom"/>
          </w:tcPr>
          <w:p>
            <w:pPr>
              <w:spacing w:after="0"/>
              <w:rPr>
                <w:sz w:val="22"/>
                <w:szCs w:val="22"/>
                <w:color w:val="auto"/>
              </w:rPr>
            </w:pP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17,126</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Pension withdrawal</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7,210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Loss from property disposals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5"/>
              </w:rPr>
              <w:t>Changes in operating accounts (using) providing cash, net of</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53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effects of acquisition: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7"/>
        </w:trPr>
        <w:tc>
          <w:tcPr>
            <w:tcW w:w="536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35,474</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(26,660)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14,900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New shares issued</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surrendered for payroll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Shares repurchased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r>
      <w:tr>
        <w:trPr>
          <w:trHeight w:val="209"/>
        </w:trPr>
        <w:tc>
          <w:tcPr>
            <w:tcW w:w="5360" w:type="dxa"/>
            <w:vAlign w:val="bottom"/>
          </w:tcPr>
          <w:p>
            <w:pPr>
              <w:ind w:left="20"/>
              <w:spacing w:after="0"/>
              <w:rPr>
                <w:sz w:val="20"/>
                <w:szCs w:val="20"/>
                <w:color w:val="auto"/>
              </w:rPr>
            </w:pPr>
            <w:r>
              <w:rPr>
                <w:rFonts w:ascii="Arial" w:cs="Arial" w:eastAsia="Arial" w:hAnsi="Arial"/>
                <w:sz w:val="18"/>
                <w:szCs w:val="18"/>
                <w:color w:val="auto"/>
              </w:rPr>
              <w:t>NET (DECREASE) INCREASE IN CASH AND CASH</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Beginning of year</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28,566</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End of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28,715</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182"/>
        </w:trPr>
        <w:tc>
          <w:tcPr>
            <w:tcW w:w="5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SUPPLEMENTAL DISCLOSURES OF CASH FLOW</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7"/>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paid during the year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6,900</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Noncash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Capital expenditures in 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40"/>
          </w:cols>
          <w:pgMar w:left="880" w:top="364" w:right="87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140"/>
          </w:cols>
          <w:pgMar w:left="880" w:top="364" w:right="87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Nature of Business - </w:t>
      </w:r>
      <w:r>
        <w:rPr>
          <w:rFonts w:ascii="Arial" w:cs="Arial" w:eastAsia="Arial" w:hAnsi="Arial"/>
          <w:sz w:val="17"/>
          <w:szCs w:val="17"/>
          <w:color w:val="auto"/>
        </w:rPr>
        <w:t>We have two reportable segments: Industrial and Water Treatment. The Industrial Group operates our Industrial segment and specializes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providing industrial chemicals, products and services to industries such as agriculture, chemical processing, electronics, energy, food, pharmaceutical, plating and power generation. The group also manufactures and sells certain food-grade products, including liquid phosphates,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Fiscal Year - </w:t>
      </w:r>
      <w:r>
        <w:rPr>
          <w:rFonts w:ascii="Arial" w:cs="Arial" w:eastAsia="Arial" w:hAnsi="Arial"/>
          <w:sz w:val="17"/>
          <w:szCs w:val="17"/>
          <w:color w:val="auto"/>
        </w:rPr>
        <w:t>Our fiscal year is a 52/53-week year ending on the Sunday closest to March 31. Our fiscal years ended March 29, 2015 (“fiscal 2015”),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2014 (“fiscal 2014”), and March 31, 2013 (“fiscal 2013”) were 52 weeks. The fiscal year ending April 3, 2016 (“fiscal 2016”) will be 53 weeks.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include marketable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as well as contingent consideration payable related to the acquisition of Advance Chemical Solutions, Inc. (“ACS”). There are no fair value measurements with respect to nonfinancial assets or liabilities that are recognized or disclosed at fair value in our consolidated financial statements on a recurring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observable inputs such as quoted market prices (unadjusted) for identical assets or liabilities in active markets.</w:t>
      </w:r>
    </w:p>
    <w:p>
      <w:pPr>
        <w:spacing w:after="0" w:line="237" w:lineRule="exact"/>
        <w:rPr>
          <w:sz w:val="20"/>
          <w:szCs w:val="20"/>
          <w:color w:val="auto"/>
        </w:rPr>
      </w:pPr>
    </w:p>
    <w:p>
      <w:pPr>
        <w:ind w:left="220" w:firstLine="23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balances maintained at financial institutions may, at times, exceed federally insured limits.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Investments - </w:t>
      </w:r>
      <w:r>
        <w:rPr>
          <w:rFonts w:ascii="Arial" w:cs="Arial" w:eastAsia="Arial" w:hAnsi="Arial"/>
          <w:sz w:val="17"/>
          <w:szCs w:val="17"/>
          <w:color w:val="auto"/>
        </w:rPr>
        <w:t>Available-for-sale securities consist of certificates of deposit (“CD’s”) and municipal bonds and are valued at current market value,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unrealized gains and 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Trade Receivables and Concentrations of Credit Risk - </w:t>
      </w:r>
      <w:r>
        <w:rPr>
          <w:rFonts w:ascii="Arial" w:cs="Arial" w:eastAsia="Arial" w:hAnsi="Arial"/>
          <w:sz w:val="16"/>
          <w:szCs w:val="16"/>
          <w:color w:val="auto"/>
        </w:rPr>
        <w:t>Financial instruments, which potentially subject us to a concentration of credit risk,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CD’s, municipal bonds and money market accounts at two separate financial institutions where the cash balances may exceed federally insured limits. The institutions are two of the largest commercial banking institutions in the country and both have maintained strong credit ratings.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 the vast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our inventory determined using the last-in, first-out (“LIFO”) method. The amount of inventory valued using the first-in, first-out (“FIFO”) method represents approximately 8% of the total FIFO inventory balance at March 29, 2015.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3 to 10 years for transportation equipment; and 3 to 10 years for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long-lived assets were determined to be impaired during fiscal years 2015, 2014 or 2013.</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Goodwill and Identifiable Intangible Assets -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As of January 1, 2015,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either reporting unit.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identifiable intangible assets include customer lists, trade secrets, non-compete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13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assessments were also completed in the fourth quarters of fiscal 2014 and 2013, which resulted in no impairment charges for either of these fiscal years.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In the preparation of our consolidated financial statements, the calculation of income taxes by management is based upon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rate applicable to operating results for the full fiscal year. This includes estimating the current tax liability as well as assessing differences resulting from different treatment of items for tax and book accounting purposes. Differences that are temporary in nature result in deferred tax assets and liabilities, which are recorded on the balance sheet, while differences that are permanent in nature impact the income tax expense recorded on the income statement and impact the effective tax rate for the fiscal year. The deferred tax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 award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in expense over the requisite service period (generally the vesting period). Non-vested share awards are recorded as expense over the requisite service periods based on the market value on the date of grant.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29, 2015</w:t>
            </w: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30, 2014</w:t>
            </w:r>
          </w:p>
        </w:tc>
        <w:tc>
          <w:tcPr>
            <w:tcW w:w="170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10,568,582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10,544,467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10,464,820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Dilutive impact of stock performance units, restricted stock, and stock options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64,972</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55,288</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76,322</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10,633,554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10,599,755</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10,541,142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shares or stock options excluded from the calculation of weighted average common shares for diluted EPS for fiscal 2015, 2014 or 2013.</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do not have any freestanding or embedded derivatives and it is our practice to not enter into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contain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2014, the Financial Accounting Standards Board issued new accounting requirements for recognition of revenue from contracts with customers. The requirements of the new standard will be effective for annual reporting periods beginning after December 15, 2016 (our fiscal year ending April 1, 2018), and interim periods within those annual periods. We are currently evaluating the impact of this accounting pronouncement.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Acquisition of The Dumont Company, Inc.</w:t>
      </w:r>
      <w:r>
        <w:rPr>
          <w:rFonts w:ascii="Arial" w:cs="Arial" w:eastAsia="Arial" w:hAnsi="Arial"/>
          <w:sz w:val="17"/>
          <w:szCs w:val="17"/>
          <w:color w:val="auto"/>
        </w:rPr>
        <w:t>: On October 20, 2014, we acquired substantially all of the assets of The Dumont Company, Inc. (“Dumont”)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terms of an asset purchase agreement with Dumont and its shareholders. We paid $10.1 million in cash including a working capital adjustment in the third quarter of fiscal 2015, using available cash on hand to fund the acquisition. Dumont was a water treatment chemical distribution company with revenues of approximately $14.0 million in calendar year 2013. Through this acquisition we added seven operating locations across Florida. The results of operations since the acquisition date, and the assets, including the goodwill associated with this acquisition, are included in our Water Treatment segment. Costs associated with this transaction were not material to our company and were expensed as incurred.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estimated the fair values of the assets acquired and liabilities assumed using a discounted cash flow analysis (income approach). The following table summarizes the preliminary allocation of the purchase price to the fair values assigned to the assets acquired and liabilities assumed at the date of the Dumont acquisition: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40" w:type="dxa"/>
            <w:vAlign w:val="bottom"/>
          </w:tcPr>
          <w:p>
            <w:pPr>
              <w:spacing w:after="0"/>
              <w:rPr>
                <w:sz w:val="20"/>
                <w:szCs w:val="20"/>
                <w:color w:val="auto"/>
              </w:rPr>
            </w:pPr>
          </w:p>
        </w:tc>
        <w:tc>
          <w:tcPr>
            <w:tcW w:w="9220" w:type="dxa"/>
            <w:vAlign w:val="bottom"/>
            <w:gridSpan w:val="2"/>
          </w:tcPr>
          <w:p>
            <w:pPr>
              <w:ind w:left="18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4,358</w:t>
            </w:r>
          </w:p>
        </w:tc>
      </w:tr>
      <w:tr>
        <w:trPr>
          <w:trHeight w:val="257"/>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recognized as a result of this acquisition is primarily attributable to strategic and synergistic benefits, as well as the assembled workforce. Such goodwill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allocation of the purchase price to the assets acquired and liabilities assumed resulted in the recognition of the following intangible assets: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Amount</w:t>
            </w:r>
          </w:p>
        </w:tc>
        <w:tc>
          <w:tcPr>
            <w:tcW w:w="22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Life (in years)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800" w:type="dxa"/>
            <w:vAlign w:val="bottom"/>
            <w:tcBorders>
              <w:top w:val="single" w:sz="8" w:color="CCEEFF"/>
            </w:tcBorders>
            <w:shd w:val="clear" w:color="auto" w:fill="000000"/>
          </w:tcPr>
          <w:p>
            <w:pPr>
              <w:spacing w:after="0" w:line="20" w:lineRule="exact"/>
              <w:rPr>
                <w:sz w:val="1"/>
                <w:szCs w:val="1"/>
                <w:color w:val="auto"/>
              </w:rPr>
            </w:pPr>
          </w:p>
        </w:tc>
        <w:tc>
          <w:tcPr>
            <w:tcW w:w="226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2,810</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3,509</w:t>
            </w:r>
          </w:p>
        </w:tc>
        <w:tc>
          <w:tcPr>
            <w:tcW w:w="2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Acquisition of Advance Chemical Solutions, Inc.</w:t>
      </w:r>
      <w:r>
        <w:rPr>
          <w:rFonts w:ascii="Arial" w:cs="Arial" w:eastAsia="Arial" w:hAnsi="Arial"/>
          <w:sz w:val="18"/>
          <w:szCs w:val="18"/>
          <w:color w:val="auto"/>
        </w:rPr>
        <w:t>: On October 1, 2013, we acquired substantially all of the assets of ACS. We paid $2.4 million in cash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and have paid an additional $0.4 million of a potential $0.5 million earnout in fiscal 2015. We may be obligated to pay the remainder of the earnout over the next two years based on the achievement of certain financial performance targets.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ACS acquisition was accounted for under the acquisition method of accounting, under which the total estimated purchase price is allocated to the net tangible and intangible assets acquired based on their estimated fair values. We estimated the fair values of the assets acquired and liabilities assumed to be $2.8 million using a discounted cash flow analysis (income approach). ACS had revenues of approximately $4.0 million for the 12 months ended September 30, 2013. The results of its operations since the acquisition date, and the assets, are included in our Water Treatment segment.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37" w:right="2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as of March 29, 2015 and March 30, 2014, and indicates the fair value hierarchy of the valuation techniques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2015</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554"/>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 2014</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that are measured at fair value on a recurring basis are CD’s and municipal bonds, with maturities ranging from three months to three years, which fall within valuation technique Level 2. The CD’s and municipal bonds are classified as investments in current assets and noncurrent assets on the condensed consolidated balance sheets. As of March 29, 2015, the CD’s and municipal bonds had a fair value of $14.5 million in current assets and $17.2 million in noncurrent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available-for-sale securities at March 29, 2015 and March 30, 2014 are shown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March 29, 2015</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March 30, 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9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3"/>
                <w:szCs w:val="13"/>
                <w:color w:val="auto"/>
              </w:rPr>
            </w:pPr>
          </w:p>
        </w:tc>
        <w:tc>
          <w:tcPr>
            <w:tcW w:w="102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Gain/(loss)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14,491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13,843</w:t>
            </w:r>
          </w:p>
        </w:tc>
        <w:tc>
          <w:tcPr>
            <w:tcW w:w="24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Between one and three years</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17,285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17,249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15,890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31,776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29,695</w:t>
            </w:r>
          </w:p>
        </w:tc>
        <w:tc>
          <w:tcPr>
            <w:tcW w:w="24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40" w:type="dxa"/>
            <w:vAlign w:val="bottom"/>
            <w:gridSpan w:val="4"/>
          </w:tcPr>
          <w:p>
            <w:pPr>
              <w:spacing w:after="0"/>
              <w:rPr>
                <w:sz w:val="20"/>
                <w:szCs w:val="20"/>
                <w:color w:val="auto"/>
              </w:rPr>
            </w:pPr>
            <w:r>
              <w:rPr>
                <w:rFonts w:ascii="Arial" w:cs="Arial" w:eastAsia="Arial" w:hAnsi="Arial"/>
                <w:sz w:val="18"/>
                <w:szCs w:val="18"/>
                <w:color w:val="auto"/>
                <w:w w:val="94"/>
              </w:rPr>
              <w:t>Realized gains and losses were not material for fiscal 2015, 2014 and 2013.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gridSpan w:val="4"/>
          </w:tcPr>
          <w:p>
            <w:pPr>
              <w:spacing w:after="0"/>
              <w:rPr>
                <w:sz w:val="20"/>
                <w:szCs w:val="20"/>
                <w:color w:val="auto"/>
              </w:rPr>
            </w:pPr>
            <w:r>
              <w:rPr>
                <w:rFonts w:ascii="Arial" w:cs="Arial" w:eastAsia="Arial" w:hAnsi="Arial"/>
                <w:sz w:val="18"/>
                <w:szCs w:val="18"/>
                <w:color w:val="auto"/>
                <w:w w:val="93"/>
              </w:rPr>
              <w:t>Inventories at March 29, 2015 and March 30, 2014 consisted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654"/>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42,567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LIFO reserve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37,028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26,192</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FIFO value of inventories accounted for under the LIFO method was $39.0 million at March 29, 2015 and $28.5 million at March 30, 2014. The remainder of the inventory was valued and accounted for under the FIFO method.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increased the LIFO reserve by $0.4 million in fiscal 2015 due primarily to higher levels of inventory at the end of the year, and decreased the reserve $1.9 million in fiscal 2014 due primarily to lower levels of inventory at the end of that year.</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HAWKINS, INC.</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2"/>
                <w:szCs w:val="22"/>
                <w:color w:val="auto"/>
              </w:rPr>
            </w:pPr>
          </w:p>
        </w:tc>
        <w:tc>
          <w:tcPr>
            <w:tcW w:w="6140" w:type="dxa"/>
            <w:vAlign w:val="bottom"/>
            <w:gridSpan w:val="14"/>
          </w:tcPr>
          <w:p>
            <w:pPr>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4840" w:type="dxa"/>
            <w:vAlign w:val="bottom"/>
            <w:gridSpan w:val="5"/>
          </w:tcPr>
          <w:p>
            <w:pPr>
              <w:spacing w:after="0"/>
              <w:rPr>
                <w:sz w:val="20"/>
                <w:szCs w:val="20"/>
                <w:color w:val="auto"/>
              </w:rPr>
            </w:pPr>
            <w:r>
              <w:rPr>
                <w:rFonts w:ascii="Arial" w:cs="Arial" w:eastAsia="Arial" w:hAnsi="Arial"/>
                <w:sz w:val="18"/>
                <w:szCs w:val="18"/>
                <w:b w:val="1"/>
                <w:bCs w:val="1"/>
                <w:color w:val="auto"/>
                <w:w w:val="95"/>
              </w:rPr>
              <w:t>Note 5 — Goodwill and Other Identifiable Intangible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5"/>
          </w:tcPr>
          <w:p>
            <w:pPr>
              <w:spacing w:after="0"/>
              <w:rPr>
                <w:sz w:val="20"/>
                <w:szCs w:val="20"/>
                <w:color w:val="auto"/>
              </w:rPr>
            </w:pPr>
            <w:r>
              <w:rPr>
                <w:rFonts w:ascii="Arial" w:cs="Arial" w:eastAsia="Arial" w:hAnsi="Arial"/>
                <w:sz w:val="18"/>
                <w:szCs w:val="18"/>
                <w:color w:val="auto"/>
                <w:w w:val="94"/>
              </w:rPr>
              <w:t>The changes in the carrying amount of goodwill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2013</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ACS Acquisition</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30, 2014</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Dumont Acquisition</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29, 2015</w:t>
            </w: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12"/>
            <w:vMerge w:val="restart"/>
          </w:tcPr>
          <w:p>
            <w:pPr>
              <w:spacing w:after="0"/>
              <w:rPr>
                <w:sz w:val="20"/>
                <w:szCs w:val="20"/>
                <w:color w:val="auto"/>
              </w:rPr>
            </w:pPr>
            <w:r>
              <w:rPr>
                <w:rFonts w:ascii="Arial" w:cs="Arial" w:eastAsia="Arial" w:hAnsi="Arial"/>
                <w:sz w:val="18"/>
                <w:szCs w:val="18"/>
                <w:color w:val="auto"/>
                <w:w w:val="93"/>
              </w:rPr>
              <w:t>The increases in goodwill shown above have been recorded as part of our Water Treatment segment.</w:t>
            </w: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560" w:type="dxa"/>
            <w:vAlign w:val="bottom"/>
            <w:gridSpan w:val="1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gridSpan w:val="12"/>
          </w:tcPr>
          <w:p>
            <w:pPr>
              <w:spacing w:after="0"/>
              <w:rPr>
                <w:sz w:val="20"/>
                <w:szCs w:val="20"/>
                <w:color w:val="auto"/>
              </w:rPr>
            </w:pPr>
            <w:r>
              <w:rPr>
                <w:rFonts w:ascii="Arial" w:cs="Arial" w:eastAsia="Arial" w:hAnsi="Arial"/>
                <w:sz w:val="18"/>
                <w:szCs w:val="18"/>
                <w:color w:val="auto"/>
              </w:rPr>
              <w:t>The following is a summary of our intangible assets as of March 29, 2015 and March 30,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040" w:type="dxa"/>
            <w:vAlign w:val="bottom"/>
            <w:gridSpan w:val="2"/>
          </w:tcPr>
          <w:p>
            <w:pPr>
              <w:jc w:val="right"/>
              <w:ind w:right="9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8"/>
              </w:rPr>
              <w:t>Amortization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7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8,026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Trademarks and trade names</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Trade secrets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Carrier relationships</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w w:val="92"/>
              </w:rPr>
              <w:t>Other finite-life intangible assets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11,154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$0.9 million during fiscal 2015, $0.7 million during fiscal 2014, and $0.6 million during fiscal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932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690</w:t>
            </w:r>
          </w:p>
        </w:tc>
      </w:tr>
      <w:tr>
        <w:trPr>
          <w:trHeight w:val="27"/>
        </w:trPr>
        <w:tc>
          <w:tcPr>
            <w:tcW w:w="4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on our balance sheet, net of tax,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Available-for-sale investments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Post-retirement plan liability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0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50,874 shares</w:t>
      </w:r>
    </w:p>
    <w:p>
      <w:pPr>
        <w:sectPr>
          <w:pgSz w:w="11900" w:h="16838" w:orient="portrait"/>
          <w:cols w:equalWidth="0" w:num="1">
            <w:col w:w="11420"/>
          </w:cols>
          <w:pgMar w:left="240" w:top="337"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37"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in the aggregate for fiscal 2015. The restricted shares issued will fully vest two years after the last day of the fiscal year on which the performance is based.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recording the compensation expense for the outstanding performance share units and then-converted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7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24,932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6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 average grant date fair value of restricted shares issued in fiscal 2015, 2014 and 2013 was $34.45, $40.25, and $33.01, respectively. We recorded compensation expense on performance-based restricted stock of approximately $1.1 million for fiscal 2015, $0.8 million for fiscal 2014 and $1.1 million for fiscal 2013, substantially all of which was recorded in selling, general and administrative (“SG&amp;A”) expense in the Consolidated Statements of Income. The total fair value of performance-based restricted stock units vested in fiscal 2015 was $0.8 million compared to $1.3 million in fiscal 2014 and zero in fiscal 2013.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March 29, 2015 was $1.0 million and is expected to be recognized over a weighted average period of 1.1 years .</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benefits of tax deductions in excess of recognized compensation costs from share-based compensation are recorded as a change in additional paid-in capital rather than a deduction of taxes paid. The amount of excess tax benefit (expense) recognized and recorded in additional paid-in capital resulting from share-based compensation cost was $0.1 million in fiscal 2015, $(0.2) million in fiscal 2014 and $0.5 million in 2013.</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As part of their retainer, the non-employee directors receive restricted stock for their Board services. The restricted stock awards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fiscal 2015: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0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 expense related to the value of restricted stock was $0.2 million for each of fiscal 2015, 2014 and 2013, all of which was recorded in SG&amp;A expense in the Consolidated Statements of Income. Unrecognized compensation expense related to non-vested restricted stock awards as of March 29, 2015 was $0.1 million and is expected to be recognized over a weighted average period of 0.3 years.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Our Board of Directors (the “Board”) previously approved a long-term incentive equity compensation arrangement for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that provided for the grant of non-qualified stock options that vested at the end of a three-year period, although no stock options have been granted under this arrangement since the fiscal year ended March 28, 2010.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2015, 9,333 options were exercised with an exercise price of $19.90. As of March 29, 2015 we had no stock options outstanding. No expense was recorded in fiscal 2015, 2014 or 2013 related to the value of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Repurchase Program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 During fiscal 2015 we repurchased 59,602 shares of common stock with an aggregate purchase price of $2.2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Profit Sharing, Employee Stock Ownership, Employee Stock Purchase and Pension Plans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Company sponsored plans</w:t>
      </w:r>
      <w:r>
        <w:rPr>
          <w:rFonts w:ascii="Arial" w:cs="Arial" w:eastAsia="Arial" w:hAnsi="Arial"/>
          <w:sz w:val="17"/>
          <w:szCs w:val="17"/>
          <w:color w:val="auto"/>
        </w:rPr>
        <w:t>. Substantially all of our non-bargaining unit employees are eligible to participate in a company sponsored profit sharing plan.</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are made at our discretion subject to a maximum amount allowed under the Internal Revenue Code. The profit sharing plan contribution level for each employee depends upon date of hire, with those employees hired after April 1, 2012 eligible to receive a contribution that is 50% of the contribution made for employees hired on or before April 1, 2012. Our contribution to the profit sharing plan for fiscal 2015, fiscal 2014 and fiscal 2013 was 5% of each employee’s eligible compensation for employees hired on or before April 1, 2012. In addition to the discretionary employer contribution described above, the profit sharing plan includes a 401(k) plan that allows employees to contribute pre-tax earnings up to the maximum amount allowed under the Internal Revenue Code, with an employer match of up to 5% of the employee’s eligible compensation.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employee stock ownership plan (“ESOP”) covering substantially all of our non-bargaining unit employees. Contributions are made at our discretion subject to a maximum amount allowed under the Internal Revenue Code. The ESOP contribution level for each employee depends upon date of hire, with those employees hired after April 1, 2012 eligible to receive a contribution that is 50% of the contribution made for employees hired on or before April 1, 2012. Our contribution to the ESOP for fiscal 2015, fiscal 2014 and fiscal 2013 was 5% of each employee’s eligible compensation for employees hired on or before April 1, 2012.</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plan was 31,383 in fiscal 2015, 28,214 in fiscal 2014 and 30,434 in fiscal 2013.</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2013, concurrent with our withdrawal from a multiemployer pension plan described below, we established a retirement plan and ESOP for our collective bargaining unit employees. Each of these plans is subject to a maximum amount allowed under the Internal Revenue Code. The retirement plan provides for a contribution of 5% of each employee’s eligible wages annually for employees who were eligible to enter the plan on March 1, 2013 and a contribution of 2.5% of each employee’s eligible wages annually for employees who entered the plan subsequent to March 1, 2013. Additionally, the retirement plan includes a 401(k) plan that will allow employees to contribute pre-tax earnings up to the maximum amount allowed under the Internal Revenue Code, with an employer match of up to 5% of the employee’s eligible compensation. The ESOP provides for contributions of 5% of each employee’s eligible wages annually for employees who were eligible to enter the plan on March 1, 2013, and a contribution of 2.5% of each employee’s eligible wages annually for employees who enter the plan subsequent to March 1, 2013.</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contribution expense for the company sponsored profit sharing, ESOP, ESPP and 401(k) plans for fiscal 2015, 2014 and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 Plan</w:t>
            </w:r>
          </w:p>
        </w:tc>
        <w:tc>
          <w:tcPr>
            <w:tcW w:w="1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Non-bargaining unit employee plans:</w:t>
            </w: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Profit sharing</w:t>
            </w:r>
          </w:p>
        </w:tc>
        <w:tc>
          <w:tcPr>
            <w:tcW w:w="22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401(K) matching contributions</w:t>
            </w: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ESOP</w:t>
            </w:r>
          </w:p>
        </w:tc>
        <w:tc>
          <w:tcPr>
            <w:tcW w:w="1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b w:val="1"/>
                <w:bCs w:val="1"/>
                <w:color w:val="auto"/>
              </w:rPr>
              <w:t>Bargaining unit employee plans</w:t>
            </w: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ESPP - all employees</w:t>
            </w:r>
          </w:p>
        </w:tc>
        <w:tc>
          <w:tcPr>
            <w:tcW w:w="1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Total contribution expense</w:t>
            </w:r>
          </w:p>
        </w:tc>
        <w:tc>
          <w:tcPr>
            <w:tcW w:w="18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vMerge w:val="restart"/>
          </w:tcPr>
          <w:p>
            <w:pPr>
              <w:jc w:val="right"/>
              <w:ind w:right="170"/>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Multiemployer pension plan</w:t>
      </w:r>
      <w:r>
        <w:rPr>
          <w:rFonts w:ascii="Arial" w:cs="Arial" w:eastAsia="Arial" w:hAnsi="Arial"/>
          <w:sz w:val="17"/>
          <w:szCs w:val="17"/>
          <w:color w:val="auto"/>
        </w:rPr>
        <w:t>. In fiscal 2013, we concluded negotiations with two collective bargaining units to discontinue our participation in the Central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States, Southeast and Southwest Areas Pension Fund (“CSS” or “the plan”), a collectively bargained multiemployer pension plan, and as a result we recorded a pre-tax charge of $7.2 million ($4.5 million after tax, or $0.43 per fully diluted share). This charge represents the discounted value of our estimated withdrawal payment obligation and was recorded as a charge to cost of sales in our Industrial segment in fiscal 2013.</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 of our share of the unfunded vested benefit liability will be made over 20 years and is subject to a cap. At the end of the 20-year period we will have no further liability, even if our share of the unfunded vested benefit liability has not yet been paid in full. The cash payments to be made total approximately $9.3 million, or $467,000 per year. Our payments began in the third quarter of fiscal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made contributions to CSS of approximately $0.4 million in fiscal 2013 prior to discontinuing our participation in the plan. No contributions were made to CSS for fiscal 2014 or fiscal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Leases — </w:t>
      </w:r>
      <w:r>
        <w:rPr>
          <w:rFonts w:ascii="Arial" w:cs="Arial" w:eastAsia="Arial" w:hAnsi="Arial"/>
          <w:sz w:val="16"/>
          <w:szCs w:val="16"/>
          <w:color w:val="auto"/>
        </w:rPr>
        <w:t>We have various operating leases for buildings and land on which some of our operations are located as well as trucks utilized for deliveries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branches. Future minimum lease payments due under operating leases with an initial term of one year or more at March 29, 2015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4,198</w:t>
            </w:r>
          </w:p>
        </w:tc>
      </w:tr>
      <w:tr>
        <w:trPr>
          <w:trHeight w:val="378"/>
        </w:trPr>
        <w:tc>
          <w:tcPr>
            <w:tcW w:w="5300" w:type="dxa"/>
            <w:vAlign w:val="bottom"/>
            <w:gridSpan w:val="5"/>
          </w:tcPr>
          <w:p>
            <w:pPr>
              <w:spacing w:after="0"/>
              <w:rPr>
                <w:sz w:val="20"/>
                <w:szCs w:val="20"/>
                <w:color w:val="auto"/>
              </w:rPr>
            </w:pPr>
            <w:r>
              <w:rPr>
                <w:rFonts w:ascii="Arial" w:cs="Arial" w:eastAsia="Arial" w:hAnsi="Arial"/>
                <w:sz w:val="18"/>
                <w:szCs w:val="18"/>
                <w:color w:val="auto"/>
                <w:w w:val="90"/>
              </w:rPr>
              <w:t>Total rental expense for fiscal years 2015, 2014 and 2013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2013</w:t>
            </w: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1,223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110</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1,333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As of March 30, 2014 there were no material pending legal proceedings, other than ordinary routine litigation incidental to the business,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any of our subsidiaries are a party or of which any of our property is the subject. Legal fees associated with such matters are expensed as incurred.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fiscal 2013, we entered into a settlement agreement with a chemical supplier to us, pursuant to which we mutually resolved the previously disclosed litigation and all disputes among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(approximately $2.0 million after tax, or $0.19 per fully diluted share) in the first quarter of fiscal 2013.</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We have three leases of land which contain terms that state that at the end of the lease term (currently 2023 for one lease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for the other two leases), we have a specified amount of time to remove the property and buildings. At that time, anything that remains on the land becomes the property of the lessor, and the lessor has the option to either maintain the property or remove the property at our expense. We are currently negotiating extensions for a period of 15-20 years for the two leases which expire in 2018.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29, 2015. We will continue to monitor the factors surrounding the requirement to record an asset retirement obligation and will recognize the fair value of a liability in the period in which it is incurred and a reasonable estimate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2015, 2014 and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2,417</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11,707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11,384</w:t>
            </w:r>
          </w:p>
        </w:tc>
      </w:tr>
      <w:tr>
        <w:trPr>
          <w:trHeight w:val="466"/>
        </w:trPr>
        <w:tc>
          <w:tcPr>
            <w:tcW w:w="60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11,240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fiscal 2014 was reduced by a non-recurring state tax benefit of $0.4 million. During fiscal 2013, we amended previously filed U.S. Federal tax returns resulting in an increase of $0.8 million in the benefits related to the domestic manufacturing deduction and investment tax credits, which reduced our tax rate for that year. Reconciliations of the provisions for income taxes, based on income from continuing operations, to the applicable federal statutory income tax rate of 35% are listed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40"/>
              <w:spacing w:after="0"/>
              <w:rPr>
                <w:sz w:val="20"/>
                <w:szCs w:val="20"/>
                <w:color w:val="auto"/>
              </w:rPr>
            </w:pPr>
            <w:r>
              <w:rPr>
                <w:rFonts w:ascii="Arial" w:cs="Arial" w:eastAsia="Arial" w:hAnsi="Arial"/>
                <w:sz w:val="14"/>
                <w:szCs w:val="14"/>
                <w:b w:val="1"/>
                <w:bCs w:val="1"/>
                <w:color w:val="auto"/>
              </w:rPr>
              <w:t>2015</w:t>
            </w:r>
          </w:p>
        </w:tc>
        <w:tc>
          <w:tcPr>
            <w:tcW w:w="1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amended tax returns</w:t>
            </w:r>
          </w:p>
        </w:tc>
        <w:tc>
          <w:tcPr>
            <w:tcW w:w="1780" w:type="dxa"/>
            <w:vAlign w:val="bottom"/>
            <w:tcBorders>
              <w:bottom w:val="single" w:sz="8" w:color="CCEEFF"/>
            </w:tcBorders>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 net</w:t>
            </w:r>
          </w:p>
        </w:tc>
        <w:tc>
          <w:tcPr>
            <w:tcW w:w="6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36.9 %</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35.5 %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asset (liability) as of March 29, 2015 and March 30,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191</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Pension withdrawal liability</w:t>
            </w: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2,872</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4,936</w:t>
            </w:r>
          </w:p>
        </w:tc>
      </w:tr>
      <w:tr>
        <w:trPr>
          <w:trHeight w:val="67"/>
        </w:trPr>
        <w:tc>
          <w:tcPr>
            <w:tcW w:w="74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(3,618)</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Excess of tax over book depreciation</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(13,221)</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(18,022)</w:t>
            </w:r>
          </w:p>
        </w:tc>
      </w:tr>
      <w:tr>
        <w:trPr>
          <w:trHeight w:val="67"/>
        </w:trPr>
        <w:tc>
          <w:tcPr>
            <w:tcW w:w="74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56"/>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deferred tax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29, 2015, the Company has determined that it is more likely than not that the deferred tax assets at March 29, 2015 will be realized either through future taxable income or reversals of taxable temporary differences. As of March 29, 2015 and March 30, 2014, there were no unrecognized tax benefits. Accordingly, a tabular reconciliation from beginning to ending periods is not provided.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29, 2009 are closed to examination by the Internal Revenue Service, and with few exceptions, state and local income tax jurisdictions.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Discontinued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ended March 29, 2009, we agreed to sell our inventory and entered into a marketing agreement regarding the business of our Pharmaceutical segment, which provided pharmaceutical chemicals to retail pharmacies and small-scale pharmaceutical manufacturers. We have no remaining obligations to fulfill under the agreement. The results of the Pharmaceutical segment have been reported as discontinued operations for all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allocations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360" w:type="dxa"/>
            <w:vAlign w:val="bottom"/>
          </w:tcPr>
          <w:p>
            <w:pPr>
              <w:spacing w:after="0"/>
              <w:rPr>
                <w:sz w:val="14"/>
                <w:szCs w:val="14"/>
                <w:color w:val="auto"/>
              </w:rPr>
            </w:pPr>
          </w:p>
        </w:tc>
        <w:tc>
          <w:tcPr>
            <w:tcW w:w="15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Water</w:t>
            </w:r>
          </w:p>
        </w:tc>
        <w:tc>
          <w:tcPr>
            <w:tcW w:w="440" w:type="dxa"/>
            <w:vAlign w:val="bottom"/>
          </w:tcPr>
          <w:p>
            <w:pPr>
              <w:spacing w:after="0"/>
              <w:rPr>
                <w:sz w:val="14"/>
                <w:szCs w:val="14"/>
                <w:color w:val="auto"/>
              </w:rPr>
            </w:pPr>
          </w:p>
        </w:tc>
        <w:tc>
          <w:tcPr>
            <w:tcW w:w="140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Treatment</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March 29, 2015:</w:t>
            </w: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249,066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114,957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364,023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65,791</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15,582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151,157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42,860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194,017</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March 30, 2014:</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244,888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103,375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348,263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141,506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29,001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170,507</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March 31, 2013:</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248,556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101,831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350,387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56,936</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31,606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143,827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169,275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8"/>
        <w:spacing w:after="0" w:line="293" w:lineRule="auto"/>
        <w:tabs>
          <w:tab w:leader="none" w:pos="121" w:val="left"/>
        </w:tabs>
        <w:numPr>
          <w:ilvl w:val="0"/>
          <w:numId w:val="5"/>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$53.7 million at March 29, 2015, $66.7 million at March 30, 2014 and $52.9 million at March 31, 2013.</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2013, gross profit for our Industrial segment was negatively impacted by a $7.2 million (pre-tax) charge related to our withdrawal from a multiemployer pension plan (see Note 9 for further discussion) as well as a $3.2 million (pre-tax) charge related to a legal settlement (see Note 10 for further discussion).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37" w:right="2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Selected Quarterly Financial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000" w:type="dxa"/>
            <w:vAlign w:val="bottom"/>
            <w:tcBorders>
              <w:top w:val="single" w:sz="8" w:color="auto"/>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98,036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93,281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18,496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18,122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3"/>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000" w:type="dxa"/>
            <w:vAlign w:val="bottom"/>
            <w:tcBorders>
              <w:top w:val="single" w:sz="8" w:color="auto"/>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94,744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85,223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17,231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14,249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8,277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March 29, 2015, based on the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(1992) </w:t>
      </w:r>
      <w:r>
        <w:rPr>
          <w:rFonts w:ascii="Arial" w:cs="Arial" w:eastAsia="Arial" w:hAnsi="Arial"/>
          <w:sz w:val="17"/>
          <w:szCs w:val="17"/>
          <w:color w:val="auto"/>
        </w:rPr>
        <w:t>issued by the Committee of Sponsoring Organizations of the Treadway Commission. Based on this assessment,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believes that our internal control over financial reporting was effective as of March 29, 2015.</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making this assessment as of March 29, 2015, we have excluded the Florida water treatment operations acquired from The Dumont Company, Inc. on October 20, 2014. The financial statements of this business comprise 4.3% of total assets and 1.6% of total revenues in our consolidated financial amounts as of and for the year ended March 29, 2015. We have excluded this business because we have not had sufficient time to make an assessment of its internal controls using the COSO criteria in accordance with Section 404 of the Sarbanes-Oxley Act of 2002. In excluding this business from our assessment, we have considered the “Frequently Asked Questions” as set forth by the office of the Chief Accountant and the Division of Corporate Finance on June 24, 2004, as revised on September 24, 2007, which acknowledges that it may not be possible to conduct an assessment of an acquired business’s internal control over financial reporting in the period between the consummation date and the date of management’s assessment and contemplates that such business would be excluded from management’s assessment in the year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29, 2015. That attestation report is set forth immediately following this management report.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Patrick H. Hawkins</w:t>
            </w:r>
          </w:p>
        </w:tc>
        <w:tc>
          <w:tcPr>
            <w:tcW w:w="5140" w:type="dxa"/>
            <w:vAlign w:val="bottom"/>
          </w:tcPr>
          <w:p>
            <w:pPr>
              <w:ind w:left="40"/>
              <w:spacing w:after="0"/>
              <w:rPr>
                <w:sz w:val="20"/>
                <w:szCs w:val="20"/>
                <w:color w:val="auto"/>
              </w:rPr>
            </w:pPr>
            <w:r>
              <w:rPr>
                <w:rFonts w:ascii="Arial" w:cs="Arial" w:eastAsia="Arial" w:hAnsi="Arial"/>
                <w:sz w:val="18"/>
                <w:szCs w:val="18"/>
                <w:color w:val="auto"/>
              </w:rPr>
              <w:t>/s/ Kathleen P. Pepski</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5140" w:type="dxa"/>
            <w:vAlign w:val="bottom"/>
          </w:tcPr>
          <w:p>
            <w:pPr>
              <w:ind w:left="4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56"/>
        </w:trPr>
        <w:tc>
          <w:tcPr>
            <w:tcW w:w="628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Executive Officer and President</w:t>
            </w:r>
          </w:p>
        </w:tc>
        <w:tc>
          <w:tcPr>
            <w:tcW w:w="5140" w:type="dxa"/>
            <w:vAlign w:val="bottom"/>
          </w:tcPr>
          <w:p>
            <w:pPr>
              <w:ind w:left="40"/>
              <w:spacing w:after="0"/>
              <w:rPr>
                <w:sz w:val="20"/>
                <w:szCs w:val="20"/>
                <w:color w:val="auto"/>
              </w:rPr>
            </w:pPr>
            <w:r>
              <w:rPr>
                <w:rFonts w:ascii="Arial" w:cs="Arial" w:eastAsia="Arial" w:hAnsi="Arial"/>
                <w:sz w:val="18"/>
                <w:szCs w:val="18"/>
                <w:color w:val="auto"/>
              </w:rPr>
              <w:t>Vice President, Chief Financial Officer,</w:t>
            </w:r>
          </w:p>
        </w:tc>
        <w:tc>
          <w:tcPr>
            <w:tcW w:w="0" w:type="dxa"/>
            <w:vAlign w:val="bottom"/>
          </w:tcPr>
          <w:p>
            <w:pPr>
              <w:spacing w:after="0"/>
              <w:rPr>
                <w:sz w:val="1"/>
                <w:szCs w:val="1"/>
                <w:color w:val="auto"/>
              </w:rPr>
            </w:pPr>
          </w:p>
        </w:tc>
      </w:tr>
      <w:tr>
        <w:trPr>
          <w:trHeight w:val="122"/>
        </w:trPr>
        <w:tc>
          <w:tcPr>
            <w:tcW w:w="6280" w:type="dxa"/>
            <w:vAlign w:val="bottom"/>
            <w:gridSpan w:val="2"/>
            <w:vMerge w:val="continue"/>
          </w:tcPr>
          <w:p>
            <w:pPr>
              <w:spacing w:after="0"/>
              <w:rPr>
                <w:sz w:val="10"/>
                <w:szCs w:val="10"/>
                <w:color w:val="auto"/>
              </w:rPr>
            </w:pPr>
          </w:p>
        </w:tc>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May 28, 2015</w:t>
            </w:r>
          </w:p>
        </w:tc>
        <w:tc>
          <w:tcPr>
            <w:tcW w:w="5140" w:type="dxa"/>
            <w:vAlign w:val="bottom"/>
          </w:tcPr>
          <w:p>
            <w:pPr>
              <w:ind w:left="40"/>
              <w:spacing w:after="0"/>
              <w:rPr>
                <w:sz w:val="20"/>
                <w:szCs w:val="20"/>
                <w:color w:val="auto"/>
              </w:rPr>
            </w:pPr>
            <w:r>
              <w:rPr>
                <w:rFonts w:ascii="Arial" w:cs="Arial" w:eastAsia="Arial" w:hAnsi="Arial"/>
                <w:sz w:val="18"/>
                <w:szCs w:val="18"/>
                <w:color w:val="auto"/>
              </w:rPr>
              <w:t>May 28, 2015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2015 that has materially affected, or is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July 30, 2015 (the “2015 Proxy Statement”). Except for those portions specifically incorporated in this Form 10-K by reference to the 2015 Proxy Statement, no other portions of the 2015 Proxy Statement are deemed to be filed as part of this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their ages and offices held, as of May 22, 2015 are set forth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ind w:left="920"/>
              <w:spacing w:after="0"/>
              <w:rPr>
                <w:sz w:val="20"/>
                <w:szCs w:val="20"/>
                <w:color w:val="auto"/>
              </w:rPr>
            </w:pPr>
            <w:r>
              <w:rPr>
                <w:rFonts w:ascii="Arial" w:cs="Arial" w:eastAsia="Arial" w:hAnsi="Arial"/>
                <w:sz w:val="14"/>
                <w:szCs w:val="14"/>
                <w:b w:val="1"/>
                <w:bCs w:val="1"/>
                <w:color w:val="auto"/>
              </w:rPr>
              <w:t>Age</w:t>
            </w:r>
          </w:p>
        </w:tc>
        <w:tc>
          <w:tcPr>
            <w:tcW w:w="4460" w:type="dxa"/>
            <w:vAlign w:val="bottom"/>
          </w:tcPr>
          <w:p>
            <w:pPr>
              <w:ind w:left="580"/>
              <w:spacing w:after="0"/>
              <w:rPr>
                <w:sz w:val="20"/>
                <w:szCs w:val="20"/>
                <w:color w:val="auto"/>
              </w:rPr>
            </w:pPr>
            <w:r>
              <w:rPr>
                <w:rFonts w:ascii="Arial" w:cs="Arial" w:eastAsia="Arial" w:hAnsi="Arial"/>
                <w:sz w:val="14"/>
                <w:szCs w:val="14"/>
                <w:b w:val="1"/>
                <w:bCs w:val="1"/>
                <w:color w:val="auto"/>
              </w:rPr>
              <w:t>Office</w:t>
            </w:r>
          </w:p>
        </w:tc>
      </w:tr>
      <w:tr>
        <w:trPr>
          <w:trHeight w:val="255"/>
        </w:trPr>
        <w:tc>
          <w:tcPr>
            <w:tcW w:w="2540" w:type="dxa"/>
            <w:vAlign w:val="bottom"/>
          </w:tcPr>
          <w:p>
            <w:pPr>
              <w:spacing w:after="0"/>
              <w:rPr>
                <w:sz w:val="20"/>
                <w:szCs w:val="20"/>
                <w:color w:val="auto"/>
              </w:rPr>
            </w:pPr>
            <w:r>
              <w:rPr>
                <w:rFonts w:ascii="Arial" w:cs="Arial" w:eastAsia="Arial" w:hAnsi="Arial"/>
                <w:sz w:val="18"/>
                <w:szCs w:val="18"/>
                <w:color w:val="auto"/>
              </w:rPr>
              <w:t>Patrick H. Hawkins</w:t>
            </w:r>
          </w:p>
        </w:tc>
        <w:tc>
          <w:tcPr>
            <w:tcW w:w="1740" w:type="dxa"/>
            <w:vAlign w:val="bottom"/>
          </w:tcPr>
          <w:p>
            <w:pPr>
              <w:ind w:left="920"/>
              <w:spacing w:after="0"/>
              <w:rPr>
                <w:sz w:val="20"/>
                <w:szCs w:val="20"/>
                <w:color w:val="auto"/>
              </w:rPr>
            </w:pPr>
            <w:r>
              <w:rPr>
                <w:rFonts w:ascii="Arial" w:cs="Arial" w:eastAsia="Arial" w:hAnsi="Arial"/>
                <w:sz w:val="18"/>
                <w:szCs w:val="18"/>
                <w:color w:val="auto"/>
              </w:rPr>
              <w:t>44</w:t>
            </w:r>
          </w:p>
        </w:tc>
        <w:tc>
          <w:tcPr>
            <w:tcW w:w="4460" w:type="dxa"/>
            <w:vAlign w:val="bottom"/>
          </w:tcPr>
          <w:p>
            <w:pPr>
              <w:ind w:left="58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Kathleen P. Pepski</w:t>
            </w:r>
          </w:p>
        </w:tc>
        <w:tc>
          <w:tcPr>
            <w:tcW w:w="1740" w:type="dxa"/>
            <w:vAlign w:val="bottom"/>
          </w:tcPr>
          <w:p>
            <w:pPr>
              <w:ind w:left="920"/>
              <w:spacing w:after="0"/>
              <w:rPr>
                <w:sz w:val="20"/>
                <w:szCs w:val="20"/>
                <w:color w:val="auto"/>
              </w:rPr>
            </w:pPr>
            <w:r>
              <w:rPr>
                <w:rFonts w:ascii="Arial" w:cs="Arial" w:eastAsia="Arial" w:hAnsi="Arial"/>
                <w:sz w:val="18"/>
                <w:szCs w:val="18"/>
                <w:color w:val="auto"/>
              </w:rPr>
              <w:t>60</w:t>
            </w:r>
          </w:p>
        </w:tc>
        <w:tc>
          <w:tcPr>
            <w:tcW w:w="4460" w:type="dxa"/>
            <w:vAlign w:val="bottom"/>
          </w:tcPr>
          <w:p>
            <w:pPr>
              <w:ind w:left="580"/>
              <w:spacing w:after="0"/>
              <w:rPr>
                <w:sz w:val="20"/>
                <w:szCs w:val="20"/>
                <w:color w:val="auto"/>
              </w:rPr>
            </w:pPr>
            <w:r>
              <w:rPr>
                <w:rFonts w:ascii="Arial" w:cs="Arial" w:eastAsia="Arial" w:hAnsi="Arial"/>
                <w:sz w:val="18"/>
                <w:szCs w:val="18"/>
                <w:color w:val="auto"/>
                <w:w w:val="90"/>
              </w:rPr>
              <w:t>Vice President, Chief Financial Officer, and Treasurer</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Richard G. Erstad</w:t>
            </w:r>
          </w:p>
        </w:tc>
        <w:tc>
          <w:tcPr>
            <w:tcW w:w="1740" w:type="dxa"/>
            <w:vAlign w:val="bottom"/>
          </w:tcPr>
          <w:p>
            <w:pPr>
              <w:ind w:left="920"/>
              <w:spacing w:after="0"/>
              <w:rPr>
                <w:sz w:val="20"/>
                <w:szCs w:val="20"/>
                <w:color w:val="auto"/>
              </w:rPr>
            </w:pPr>
            <w:r>
              <w:rPr>
                <w:rFonts w:ascii="Arial" w:cs="Arial" w:eastAsia="Arial" w:hAnsi="Arial"/>
                <w:sz w:val="18"/>
                <w:szCs w:val="18"/>
                <w:color w:val="auto"/>
              </w:rPr>
              <w:t>51</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General Counsel and Secretary</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Thomas J. Keller</w:t>
            </w:r>
          </w:p>
        </w:tc>
        <w:tc>
          <w:tcPr>
            <w:tcW w:w="1740" w:type="dxa"/>
            <w:vAlign w:val="bottom"/>
          </w:tcPr>
          <w:p>
            <w:pPr>
              <w:ind w:left="920"/>
              <w:spacing w:after="0"/>
              <w:rPr>
                <w:sz w:val="20"/>
                <w:szCs w:val="20"/>
                <w:color w:val="auto"/>
              </w:rPr>
            </w:pPr>
            <w:r>
              <w:rPr>
                <w:rFonts w:ascii="Arial" w:cs="Arial" w:eastAsia="Arial" w:hAnsi="Arial"/>
                <w:sz w:val="18"/>
                <w:szCs w:val="18"/>
                <w:color w:val="auto"/>
              </w:rPr>
              <w:t>55</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Water Treatment Group</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Steven D. Matthews II</w:t>
            </w:r>
          </w:p>
        </w:tc>
        <w:tc>
          <w:tcPr>
            <w:tcW w:w="1740" w:type="dxa"/>
            <w:vAlign w:val="bottom"/>
          </w:tcPr>
          <w:p>
            <w:pPr>
              <w:ind w:left="920"/>
              <w:spacing w:after="0"/>
              <w:rPr>
                <w:sz w:val="20"/>
                <w:szCs w:val="20"/>
                <w:color w:val="auto"/>
              </w:rPr>
            </w:pPr>
            <w:r>
              <w:rPr>
                <w:rFonts w:ascii="Arial" w:cs="Arial" w:eastAsia="Arial" w:hAnsi="Arial"/>
                <w:sz w:val="18"/>
                <w:szCs w:val="18"/>
                <w:color w:val="auto"/>
              </w:rPr>
              <w:t>44</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Operations</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Theresa R. Moran</w:t>
            </w:r>
          </w:p>
        </w:tc>
        <w:tc>
          <w:tcPr>
            <w:tcW w:w="1740" w:type="dxa"/>
            <w:vAlign w:val="bottom"/>
          </w:tcPr>
          <w:p>
            <w:pPr>
              <w:ind w:left="920"/>
              <w:spacing w:after="0"/>
              <w:rPr>
                <w:sz w:val="20"/>
                <w:szCs w:val="20"/>
                <w:color w:val="auto"/>
              </w:rPr>
            </w:pPr>
            <w:r>
              <w:rPr>
                <w:rFonts w:ascii="Arial" w:cs="Arial" w:eastAsia="Arial" w:hAnsi="Arial"/>
                <w:sz w:val="18"/>
                <w:szCs w:val="18"/>
                <w:color w:val="auto"/>
              </w:rPr>
              <w:t>52</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Quality and Support</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John R. Sevenich</w:t>
            </w:r>
          </w:p>
        </w:tc>
        <w:tc>
          <w:tcPr>
            <w:tcW w:w="1740" w:type="dxa"/>
            <w:vAlign w:val="bottom"/>
          </w:tcPr>
          <w:p>
            <w:pPr>
              <w:ind w:left="920"/>
              <w:spacing w:after="0"/>
              <w:rPr>
                <w:sz w:val="20"/>
                <w:szCs w:val="20"/>
                <w:color w:val="auto"/>
              </w:rPr>
            </w:pPr>
            <w:r>
              <w:rPr>
                <w:rFonts w:ascii="Arial" w:cs="Arial" w:eastAsia="Arial" w:hAnsi="Arial"/>
                <w:sz w:val="18"/>
                <w:szCs w:val="18"/>
                <w:color w:val="auto"/>
              </w:rPr>
              <w:t>57</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Industrial Group</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Executive Officer and President and member of our board since March 2011. He has held the position of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Kathleen P. Pepski </w:t>
      </w:r>
      <w:r>
        <w:rPr>
          <w:rFonts w:ascii="Arial" w:cs="Arial" w:eastAsia="Arial" w:hAnsi="Arial"/>
          <w:sz w:val="17"/>
          <w:szCs w:val="17"/>
          <w:color w:val="auto"/>
        </w:rPr>
        <w:t>has been our Vice President, Chief Financial Officer and Treasurer since February 2008 and was Secretary from February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November 2008. He was General Counsel and Secretary of BUCA, Inc.,</w:t>
      </w:r>
      <w:r>
        <w:rPr>
          <w:rFonts w:ascii="Arial" w:cs="Arial" w:eastAsia="Arial" w:hAnsi="Arial"/>
          <w:sz w:val="17"/>
          <w:szCs w:val="17"/>
          <w:i w:val="1"/>
          <w:iCs w:val="1"/>
          <w:color w:val="auto"/>
        </w:rPr>
        <w:t xml:space="preserve"> </w:t>
      </w:r>
      <w:r>
        <w:rPr>
          <w:rFonts w:ascii="Arial" w:cs="Arial" w:eastAsia="Arial" w:hAnsi="Arial"/>
          <w:sz w:val="17"/>
          <w:szCs w:val="17"/>
          <w:color w:val="auto"/>
        </w:rPr>
        <w:t>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our Vice President - Water Treatment Group since April 2012. Prior to attaining this position, Mr. Keller held various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Steven D. Matthews II </w:t>
      </w:r>
      <w:r>
        <w:rPr>
          <w:rFonts w:ascii="Arial" w:cs="Arial" w:eastAsia="Arial" w:hAnsi="Arial"/>
          <w:sz w:val="18"/>
          <w:szCs w:val="18"/>
          <w:color w:val="auto"/>
        </w:rPr>
        <w:t>has been our Vice President - Operations since December 2013. He was a Regional General Manager in the Paperboard Converting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Newark Recycled Paperboard Solutions, a producer of recycled paperboard, from 2012 to 2013. Previously, he spent a total of fifteen years during two different periods at General Electric in a variety of engineering, Six Sigma, supply chain and plant leadership positions in the Plastics, Aircraft Engines, Lighting and Water divisions. From 2005-2008, he was a Corporate Supply Chain Engagement Leader with Ingersoll Rand, a global diversified industrial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our Vice President - Quality and Support since February 2010. Since joining the Company in 1981, Ms. Moran has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a variety of positions, including Administration Operations Manager from 1999 to 2007 and most recently as Director - Process Improvement, a position she held from 2007 until the time of her promotion.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May 2000. He was the Business Unit Manager of Manufacturing from 1998 to 2000</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a Sales Representative with the Company from 1989 to 1998.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2015 Proxy Statement are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Steven D. Matthews II filed a bankruptcy petition related to the dissolution of a small family business of which Mr. Matthews was an owner and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bankruptcy was discharged in 2009.</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2015 Proxy Statement is incorporated herein by this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2015 Proxy Statement are incorporated herein by this reference.</w:t>
      </w:r>
    </w:p>
    <w:p>
      <w:pPr>
        <w:spacing w:after="0" w:line="247" w:lineRule="exact"/>
        <w:rPr>
          <w:sz w:val="20"/>
          <w:szCs w:val="20"/>
          <w:color w:val="auto"/>
        </w:rPr>
      </w:pPr>
    </w:p>
    <w:p>
      <w:pPr>
        <w:ind w:right="2200"/>
        <w:spacing w:after="0" w:line="412" w:lineRule="auto"/>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and “Related Party Transactions” of the 2015 Proxy Statement are incorporated herein by this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Firm’s Fees” of the 2015 Proxy Statement is incorporated herein by this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Balance Sheets at March 29, 2015 and March 30, 2014.</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Income for the fiscal years ended March 29, 2015, March 30, 2014 and March 31, 2013.</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Consolidated Statements of Comprehensive Income for the fiscal years ended March 29, 2015, March 30, 2014 and March 31, 2013.</w:t>
      </w:r>
    </w:p>
    <w:p>
      <w:pPr>
        <w:spacing w:after="0" w:line="208"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Consolidated Statements of Shareholders’ Equity for the fiscal years ended March 29, 2015, March 30, 2014 and March 31, 2013.</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Cash Flows for the fiscal years ended March 29, 2015, March 30, 2014 and March 31, 2013.</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42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 schedule for the fiscal years 2015, 2014 and 2013.</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64" w:right="2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780" w:val="left"/>
          <w:tab w:leader="none" w:pos="60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512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364" w:right="2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MARCH 29, 2015, MARCH 30, 2014, AND MARCH 31, 2013</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200" w:type="dxa"/>
            <w:vAlign w:val="bottom"/>
          </w:tcPr>
          <w:p>
            <w:pPr>
              <w:jc w:val="center"/>
              <w:ind w:right="179"/>
              <w:spacing w:after="0" w:line="153" w:lineRule="exact"/>
              <w:rPr>
                <w:sz w:val="20"/>
                <w:szCs w:val="20"/>
                <w:color w:val="auto"/>
              </w:rPr>
            </w:pPr>
            <w:r>
              <w:rPr>
                <w:rFonts w:ascii="Arial" w:cs="Arial" w:eastAsia="Arial" w:hAnsi="Arial"/>
                <w:sz w:val="14"/>
                <w:szCs w:val="14"/>
                <w:b w:val="1"/>
                <w:bCs w:val="1"/>
                <w:color w:val="auto"/>
                <w:w w:val="94"/>
              </w:rPr>
              <w:t>Charged to</w:t>
            </w:r>
          </w:p>
        </w:tc>
        <w:tc>
          <w:tcPr>
            <w:tcW w:w="38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36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Costs and</w:t>
            </w:r>
          </w:p>
        </w:tc>
        <w:tc>
          <w:tcPr>
            <w:tcW w:w="38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8" w:lineRule="exact"/>
              <w:rPr>
                <w:sz w:val="20"/>
                <w:szCs w:val="20"/>
                <w:color w:val="auto"/>
              </w:rPr>
            </w:pPr>
            <w:r>
              <w:rPr>
                <w:rFonts w:ascii="Arial" w:cs="Arial" w:eastAsia="Arial" w:hAnsi="Arial"/>
                <w:sz w:val="14"/>
                <w:szCs w:val="14"/>
                <w:b w:val="1"/>
                <w:bCs w:val="1"/>
                <w:color w:val="auto"/>
                <w:w w:val="92"/>
              </w:rPr>
              <w:t>of Year</w:t>
            </w:r>
          </w:p>
        </w:tc>
        <w:tc>
          <w:tcPr>
            <w:tcW w:w="220" w:type="dxa"/>
            <w:vAlign w:val="bottom"/>
          </w:tcPr>
          <w:p>
            <w:pPr>
              <w:spacing w:after="0"/>
              <w:rPr>
                <w:sz w:val="13"/>
                <w:szCs w:val="13"/>
                <w:color w:val="auto"/>
              </w:rPr>
            </w:pPr>
          </w:p>
        </w:tc>
        <w:tc>
          <w:tcPr>
            <w:tcW w:w="120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w w:val="88"/>
              </w:rPr>
              <w:t>Expenses</w:t>
            </w:r>
          </w:p>
        </w:tc>
        <w:tc>
          <w:tcPr>
            <w:tcW w:w="38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4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deducted from asset to which it applies:</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29, 2015:</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477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30, 2014:</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31, 2013:</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center"/>
        <w:ind w:right="-49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86"/>
        </w:trPr>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w w:val="94"/>
              </w:rPr>
              <w:t>Exhibit</w:t>
            </w:r>
          </w:p>
        </w:tc>
        <w:tc>
          <w:tcPr>
            <w:tcW w:w="706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Method of Filing</w:t>
            </w:r>
          </w:p>
        </w:tc>
      </w:tr>
      <w:tr>
        <w:trPr>
          <w:trHeight w:val="565"/>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w:t>
            </w:r>
          </w:p>
        </w:tc>
        <w:tc>
          <w:tcPr>
            <w:tcW w:w="7060" w:type="dxa"/>
            <w:vAlign w:val="bottom"/>
          </w:tcPr>
          <w:p>
            <w:pPr>
              <w:ind w:left="300"/>
              <w:spacing w:after="0"/>
              <w:rPr>
                <w:sz w:val="20"/>
                <w:szCs w:val="20"/>
                <w:color w:val="auto"/>
              </w:rPr>
            </w:pPr>
            <w:r>
              <w:rPr>
                <w:rFonts w:ascii="Arial" w:cs="Arial" w:eastAsia="Arial" w:hAnsi="Arial"/>
                <w:sz w:val="18"/>
                <w:szCs w:val="18"/>
                <w:color w:val="auto"/>
              </w:rPr>
              <w:t>Amended and Second Restated Articles of Incorporation.(1)</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7060" w:type="dxa"/>
            <w:vAlign w:val="bottom"/>
          </w:tcPr>
          <w:p>
            <w:pPr>
              <w:ind w:left="300"/>
              <w:spacing w:after="0"/>
              <w:rPr>
                <w:sz w:val="20"/>
                <w:szCs w:val="20"/>
                <w:color w:val="auto"/>
              </w:rPr>
            </w:pPr>
            <w:r>
              <w:rPr>
                <w:rFonts w:ascii="Arial" w:cs="Arial" w:eastAsia="Arial" w:hAnsi="Arial"/>
                <w:sz w:val="18"/>
                <w:szCs w:val="18"/>
                <w:color w:val="auto"/>
              </w:rPr>
              <w:t>Amended and Restated By-Laws.(2)</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060" w:type="dxa"/>
            <w:vAlign w:val="bottom"/>
          </w:tcPr>
          <w:p>
            <w:pPr>
              <w:ind w:left="300"/>
              <w:spacing w:after="0"/>
              <w:rPr>
                <w:sz w:val="20"/>
                <w:szCs w:val="20"/>
                <w:color w:val="auto"/>
              </w:rPr>
            </w:pPr>
            <w:r>
              <w:rPr>
                <w:rFonts w:ascii="Arial" w:cs="Arial" w:eastAsia="Arial" w:hAnsi="Arial"/>
                <w:sz w:val="18"/>
                <w:szCs w:val="18"/>
                <w:color w:val="auto"/>
              </w:rPr>
              <w:t>Hawkins, Inc. 2004 Omnibus Stock Plan.(3)</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10.2*</w:t>
            </w:r>
          </w:p>
        </w:tc>
        <w:tc>
          <w:tcPr>
            <w:tcW w:w="7060" w:type="dxa"/>
            <w:vAlign w:val="bottom"/>
          </w:tcPr>
          <w:p>
            <w:pPr>
              <w:ind w:left="300"/>
              <w:spacing w:after="0"/>
              <w:rPr>
                <w:sz w:val="20"/>
                <w:szCs w:val="20"/>
                <w:color w:val="auto"/>
              </w:rPr>
            </w:pPr>
            <w:r>
              <w:rPr>
                <w:rFonts w:ascii="Arial" w:cs="Arial" w:eastAsia="Arial" w:hAnsi="Arial"/>
                <w:sz w:val="18"/>
                <w:szCs w:val="18"/>
                <w:color w:val="auto"/>
                <w:w w:val="99"/>
              </w:rPr>
              <w:t>Form of Non-Statutory Stock Option Agreement under the Company’s 2004 Omnibus</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Stock Plan.(4)</w:t>
            </w: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10.3*</w:t>
            </w:r>
          </w:p>
        </w:tc>
        <w:tc>
          <w:tcPr>
            <w:tcW w:w="7060" w:type="dxa"/>
            <w:vAlign w:val="bottom"/>
          </w:tcPr>
          <w:p>
            <w:pPr>
              <w:ind w:left="300"/>
              <w:spacing w:after="0"/>
              <w:rPr>
                <w:sz w:val="20"/>
                <w:szCs w:val="20"/>
                <w:color w:val="auto"/>
              </w:rPr>
            </w:pPr>
            <w:r>
              <w:rPr>
                <w:rFonts w:ascii="Arial" w:cs="Arial" w:eastAsia="Arial" w:hAnsi="Arial"/>
                <w:sz w:val="18"/>
                <w:szCs w:val="18"/>
                <w:color w:val="auto"/>
              </w:rPr>
              <w:t>Hawkins, Inc. 2010 Omnibus Incentive Plan.(5)</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10.4*</w:t>
            </w:r>
          </w:p>
        </w:tc>
        <w:tc>
          <w:tcPr>
            <w:tcW w:w="7060" w:type="dxa"/>
            <w:vAlign w:val="bottom"/>
          </w:tcPr>
          <w:p>
            <w:pPr>
              <w:ind w:left="300"/>
              <w:spacing w:after="0"/>
              <w:rPr>
                <w:sz w:val="20"/>
                <w:szCs w:val="20"/>
                <w:color w:val="auto"/>
              </w:rPr>
            </w:pPr>
            <w:r>
              <w:rPr>
                <w:rFonts w:ascii="Arial" w:cs="Arial" w:eastAsia="Arial" w:hAnsi="Arial"/>
                <w:sz w:val="18"/>
                <w:szCs w:val="18"/>
                <w:color w:val="auto"/>
                <w:w w:val="97"/>
              </w:rPr>
              <w:t>Form of Performance-Based Unit Award Notice and Restricted Stock Agreement under</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the Company’s 2010 Omnibus Incentive Plan.(6)</w:t>
            </w: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10.5*</w:t>
            </w:r>
          </w:p>
        </w:tc>
        <w:tc>
          <w:tcPr>
            <w:tcW w:w="7060" w:type="dxa"/>
            <w:vAlign w:val="bottom"/>
          </w:tcPr>
          <w:p>
            <w:pPr>
              <w:ind w:left="300"/>
              <w:spacing w:after="0"/>
              <w:rPr>
                <w:sz w:val="20"/>
                <w:szCs w:val="20"/>
                <w:color w:val="auto"/>
              </w:rPr>
            </w:pPr>
            <w:r>
              <w:rPr>
                <w:rFonts w:ascii="Arial" w:cs="Arial" w:eastAsia="Arial" w:hAnsi="Arial"/>
                <w:sz w:val="18"/>
                <w:szCs w:val="18"/>
                <w:color w:val="auto"/>
                <w:w w:val="94"/>
              </w:rPr>
              <w:t>Form of Restricted Stock Agreement under the Company’s 2010 Omnibus Incentive Plan.</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(7)</w:t>
            </w: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10.6*</w:t>
            </w:r>
          </w:p>
        </w:tc>
        <w:tc>
          <w:tcPr>
            <w:tcW w:w="7060" w:type="dxa"/>
            <w:vAlign w:val="bottom"/>
          </w:tcPr>
          <w:p>
            <w:pPr>
              <w:ind w:left="300"/>
              <w:spacing w:after="0"/>
              <w:rPr>
                <w:sz w:val="20"/>
                <w:szCs w:val="20"/>
                <w:color w:val="auto"/>
              </w:rPr>
            </w:pPr>
            <w:r>
              <w:rPr>
                <w:rFonts w:ascii="Arial" w:cs="Arial" w:eastAsia="Arial" w:hAnsi="Arial"/>
                <w:sz w:val="18"/>
                <w:szCs w:val="18"/>
                <w:color w:val="auto"/>
              </w:rPr>
              <w:t>Hawkins, Inc. Executive Severance Plan.(8)</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7060" w:type="dxa"/>
            <w:vAlign w:val="bottom"/>
          </w:tcPr>
          <w:p>
            <w:pPr>
              <w:ind w:left="300"/>
              <w:spacing w:after="0"/>
              <w:rPr>
                <w:sz w:val="20"/>
                <w:szCs w:val="20"/>
                <w:color w:val="auto"/>
              </w:rPr>
            </w:pPr>
            <w:r>
              <w:rPr>
                <w:rFonts w:ascii="Arial" w:cs="Arial" w:eastAsia="Arial" w:hAnsi="Arial"/>
                <w:sz w:val="18"/>
                <w:szCs w:val="18"/>
                <w:color w:val="auto"/>
              </w:rPr>
              <w:t>Subsidiaries of the registrant (9)</w:t>
            </w:r>
          </w:p>
        </w:tc>
        <w:tc>
          <w:tcPr>
            <w:tcW w:w="172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405"/>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23.1</w:t>
            </w:r>
          </w:p>
        </w:tc>
        <w:tc>
          <w:tcPr>
            <w:tcW w:w="706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c>
          <w:tcPr>
            <w:tcW w:w="1720" w:type="dxa"/>
            <w:vAlign w:val="bottom"/>
          </w:tcPr>
          <w:p>
            <w:pPr>
              <w:ind w:left="280"/>
              <w:spacing w:after="0"/>
              <w:rPr>
                <w:sz w:val="20"/>
                <w:szCs w:val="20"/>
                <w:color w:val="auto"/>
              </w:rPr>
            </w:pPr>
            <w:r>
              <w:rPr>
                <w:rFonts w:ascii="Arial" w:cs="Arial" w:eastAsia="Arial" w:hAnsi="Arial"/>
                <w:sz w:val="18"/>
                <w:szCs w:val="18"/>
                <w:color w:val="auto"/>
                <w:w w:val="94"/>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31.1</w:t>
            </w:r>
          </w:p>
        </w:tc>
        <w:tc>
          <w:tcPr>
            <w:tcW w:w="7060" w:type="dxa"/>
            <w:vAlign w:val="bottom"/>
          </w:tcPr>
          <w:p>
            <w:pPr>
              <w:ind w:left="300"/>
              <w:spacing w:after="0"/>
              <w:rPr>
                <w:sz w:val="20"/>
                <w:szCs w:val="20"/>
                <w:color w:val="auto"/>
              </w:rPr>
            </w:pPr>
            <w:r>
              <w:rPr>
                <w:rFonts w:ascii="Arial" w:cs="Arial" w:eastAsia="Arial" w:hAnsi="Arial"/>
                <w:sz w:val="18"/>
                <w:szCs w:val="18"/>
                <w:color w:val="auto"/>
                <w:w w:val="96"/>
              </w:rPr>
              <w:t>Certification by Chief Executive Officer pursuant to Rule 13a-14(a) of the Exchange Act.</w:t>
            </w:r>
          </w:p>
        </w:tc>
        <w:tc>
          <w:tcPr>
            <w:tcW w:w="1720" w:type="dxa"/>
            <w:vAlign w:val="bottom"/>
          </w:tcPr>
          <w:p>
            <w:pPr>
              <w:ind w:left="280"/>
              <w:spacing w:after="0"/>
              <w:rPr>
                <w:sz w:val="20"/>
                <w:szCs w:val="20"/>
                <w:color w:val="auto"/>
              </w:rPr>
            </w:pPr>
            <w:r>
              <w:rPr>
                <w:rFonts w:ascii="Arial" w:cs="Arial" w:eastAsia="Arial" w:hAnsi="Arial"/>
                <w:sz w:val="18"/>
                <w:szCs w:val="18"/>
                <w:color w:val="auto"/>
                <w:w w:val="94"/>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31.2</w:t>
            </w:r>
          </w:p>
        </w:tc>
        <w:tc>
          <w:tcPr>
            <w:tcW w:w="7060" w:type="dxa"/>
            <w:vAlign w:val="bottom"/>
          </w:tcPr>
          <w:p>
            <w:pPr>
              <w:ind w:left="300"/>
              <w:spacing w:after="0"/>
              <w:rPr>
                <w:sz w:val="20"/>
                <w:szCs w:val="20"/>
                <w:color w:val="auto"/>
              </w:rPr>
            </w:pPr>
            <w:r>
              <w:rPr>
                <w:rFonts w:ascii="Arial" w:cs="Arial" w:eastAsia="Arial" w:hAnsi="Arial"/>
                <w:sz w:val="18"/>
                <w:szCs w:val="18"/>
                <w:color w:val="auto"/>
                <w:w w:val="97"/>
              </w:rPr>
              <w:t>Certification by Chief Financial Officer pursuant to Rule 13a-14(a) of the Exchange Act.</w:t>
            </w:r>
          </w:p>
        </w:tc>
        <w:tc>
          <w:tcPr>
            <w:tcW w:w="1720" w:type="dxa"/>
            <w:vAlign w:val="bottom"/>
          </w:tcPr>
          <w:p>
            <w:pPr>
              <w:ind w:left="280"/>
              <w:spacing w:after="0"/>
              <w:rPr>
                <w:sz w:val="20"/>
                <w:szCs w:val="20"/>
                <w:color w:val="auto"/>
              </w:rPr>
            </w:pPr>
            <w:r>
              <w:rPr>
                <w:rFonts w:ascii="Arial" w:cs="Arial" w:eastAsia="Arial" w:hAnsi="Arial"/>
                <w:sz w:val="18"/>
                <w:szCs w:val="18"/>
                <w:color w:val="auto"/>
                <w:w w:val="94"/>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32.1</w:t>
            </w:r>
          </w:p>
        </w:tc>
        <w:tc>
          <w:tcPr>
            <w:tcW w:w="7060" w:type="dxa"/>
            <w:vAlign w:val="bottom"/>
          </w:tcPr>
          <w:p>
            <w:pPr>
              <w:ind w:left="300"/>
              <w:spacing w:after="0"/>
              <w:rPr>
                <w:sz w:val="20"/>
                <w:szCs w:val="20"/>
                <w:color w:val="auto"/>
              </w:rPr>
            </w:pPr>
            <w:r>
              <w:rPr>
                <w:rFonts w:ascii="Arial" w:cs="Arial" w:eastAsia="Arial" w:hAnsi="Arial"/>
                <w:sz w:val="18"/>
                <w:szCs w:val="18"/>
                <w:color w:val="auto"/>
              </w:rPr>
              <w:t>Section 1350 Certification by Chief Executive Officer.</w:t>
            </w:r>
          </w:p>
        </w:tc>
        <w:tc>
          <w:tcPr>
            <w:tcW w:w="1720" w:type="dxa"/>
            <w:vAlign w:val="bottom"/>
          </w:tcPr>
          <w:p>
            <w:pPr>
              <w:ind w:left="280"/>
              <w:spacing w:after="0"/>
              <w:rPr>
                <w:sz w:val="20"/>
                <w:szCs w:val="20"/>
                <w:color w:val="auto"/>
              </w:rPr>
            </w:pPr>
            <w:r>
              <w:rPr>
                <w:rFonts w:ascii="Arial" w:cs="Arial" w:eastAsia="Arial" w:hAnsi="Arial"/>
                <w:sz w:val="18"/>
                <w:szCs w:val="18"/>
                <w:color w:val="auto"/>
                <w:w w:val="94"/>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32.2</w:t>
            </w:r>
          </w:p>
        </w:tc>
        <w:tc>
          <w:tcPr>
            <w:tcW w:w="7060" w:type="dxa"/>
            <w:vAlign w:val="bottom"/>
          </w:tcPr>
          <w:p>
            <w:pPr>
              <w:ind w:left="300"/>
              <w:spacing w:after="0"/>
              <w:rPr>
                <w:sz w:val="20"/>
                <w:szCs w:val="20"/>
                <w:color w:val="auto"/>
              </w:rPr>
            </w:pPr>
            <w:r>
              <w:rPr>
                <w:rFonts w:ascii="Arial" w:cs="Arial" w:eastAsia="Arial" w:hAnsi="Arial"/>
                <w:sz w:val="18"/>
                <w:szCs w:val="18"/>
                <w:color w:val="auto"/>
              </w:rPr>
              <w:t>Section 1350 Certification by Chief Financial Officer.</w:t>
            </w:r>
          </w:p>
        </w:tc>
        <w:tc>
          <w:tcPr>
            <w:tcW w:w="1720" w:type="dxa"/>
            <w:vAlign w:val="bottom"/>
          </w:tcPr>
          <w:p>
            <w:pPr>
              <w:ind w:left="280"/>
              <w:spacing w:after="0"/>
              <w:rPr>
                <w:sz w:val="20"/>
                <w:szCs w:val="20"/>
                <w:color w:val="auto"/>
              </w:rPr>
            </w:pPr>
            <w:r>
              <w:rPr>
                <w:rFonts w:ascii="Arial" w:cs="Arial" w:eastAsia="Arial" w:hAnsi="Arial"/>
                <w:sz w:val="18"/>
                <w:szCs w:val="18"/>
                <w:color w:val="auto"/>
                <w:w w:val="94"/>
              </w:rPr>
              <w:t>Filed Electronically</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060" w:type="dxa"/>
            <w:vAlign w:val="bottom"/>
          </w:tcPr>
          <w:p>
            <w:pPr>
              <w:ind w:left="300"/>
              <w:spacing w:after="0"/>
              <w:rPr>
                <w:sz w:val="20"/>
                <w:szCs w:val="20"/>
                <w:color w:val="auto"/>
              </w:rPr>
            </w:pPr>
            <w:r>
              <w:rPr>
                <w:rFonts w:ascii="Arial" w:cs="Arial" w:eastAsia="Arial" w:hAnsi="Arial"/>
                <w:sz w:val="18"/>
                <w:szCs w:val="18"/>
                <w:color w:val="auto"/>
              </w:rPr>
              <w:t>Financial statements from the Annual Report on Form 10-K of Hawkins, Inc. for the</w:t>
            </w:r>
          </w:p>
        </w:tc>
        <w:tc>
          <w:tcPr>
            <w:tcW w:w="1720" w:type="dxa"/>
            <w:vAlign w:val="bottom"/>
          </w:tcPr>
          <w:p>
            <w:pPr>
              <w:ind w:left="280"/>
              <w:spacing w:after="0"/>
              <w:rPr>
                <w:sz w:val="20"/>
                <w:szCs w:val="20"/>
                <w:color w:val="auto"/>
              </w:rPr>
            </w:pPr>
            <w:r>
              <w:rPr>
                <w:rFonts w:ascii="Arial" w:cs="Arial" w:eastAsia="Arial" w:hAnsi="Arial"/>
                <w:sz w:val="18"/>
                <w:szCs w:val="18"/>
                <w:color w:val="auto"/>
              </w:rPr>
              <w:t>Previously Filed</w:t>
            </w: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period ended March 29, 2015, filed with the SEC on May 29, 2014, formatted in</w:t>
            </w:r>
          </w:p>
        </w:tc>
        <w:tc>
          <w:tcPr>
            <w:tcW w:w="1720" w:type="dxa"/>
            <w:vAlign w:val="bottom"/>
          </w:tcPr>
          <w:p>
            <w:pPr>
              <w:ind w:left="280"/>
              <w:spacing w:after="0"/>
              <w:rPr>
                <w:sz w:val="20"/>
                <w:szCs w:val="20"/>
                <w:color w:val="auto"/>
              </w:rPr>
            </w:pPr>
            <w:r>
              <w:rPr>
                <w:rFonts w:ascii="Arial" w:cs="Arial" w:eastAsia="Arial" w:hAnsi="Arial"/>
                <w:sz w:val="18"/>
                <w:szCs w:val="18"/>
                <w:color w:val="auto"/>
              </w:rPr>
              <w:t>Electronically</w:t>
            </w: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w w:val="94"/>
              </w:rPr>
              <w:t>Extensible Business Reporting Language (XBRL); (i) the Consolidated Balance Sheets at</w:t>
            </w:r>
          </w:p>
        </w:tc>
        <w:tc>
          <w:tcPr>
            <w:tcW w:w="1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w w:val="96"/>
              </w:rPr>
              <w:t>March 29, 2015 and March 30, 2014, (ii) the Consolidated Statements of Income for the</w:t>
            </w:r>
          </w:p>
        </w:tc>
        <w:tc>
          <w:tcPr>
            <w:tcW w:w="1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fiscal years ended March 29, 2015, March 30, 2014 and March 31, 2013 (iii) the</w:t>
            </w:r>
          </w:p>
        </w:tc>
        <w:tc>
          <w:tcPr>
            <w:tcW w:w="1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w w:val="99"/>
              </w:rPr>
              <w:t>Consolidated Statements of Comprehensive Income (Loss) for the fiscal years ended</w:t>
            </w:r>
          </w:p>
        </w:tc>
        <w:tc>
          <w:tcPr>
            <w:tcW w:w="1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w w:val="94"/>
              </w:rPr>
              <w:t>March 29, 2015, March 30, 2014 and March 31, 2013 (iv) the Consolidated Statements of</w:t>
            </w:r>
          </w:p>
        </w:tc>
        <w:tc>
          <w:tcPr>
            <w:tcW w:w="1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Shareholders’ Equity for the fiscal years ended March 29, 2015, March 30, 2014 and</w:t>
            </w:r>
          </w:p>
        </w:tc>
        <w:tc>
          <w:tcPr>
            <w:tcW w:w="17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w w:val="98"/>
              </w:rPr>
              <w:t>March 31, 2013 (v) Consolidated Statements of Cash Flows for the fiscal years ended</w:t>
            </w:r>
          </w:p>
        </w:tc>
        <w:tc>
          <w:tcPr>
            <w:tcW w:w="1720" w:type="dxa"/>
            <w:vAlign w:val="bottom"/>
          </w:tcPr>
          <w:p>
            <w:pPr>
              <w:spacing w:after="0"/>
              <w:rPr>
                <w:sz w:val="20"/>
                <w:szCs w:val="20"/>
                <w:color w:val="auto"/>
              </w:rPr>
            </w:pPr>
          </w:p>
        </w:tc>
      </w:tr>
    </w:tbl>
    <w:p>
      <w:pPr>
        <w:ind w:left="2440" w:right="2500"/>
        <w:spacing w:after="0" w:line="261" w:lineRule="auto"/>
        <w:rPr>
          <w:sz w:val="20"/>
          <w:szCs w:val="20"/>
          <w:color w:val="auto"/>
        </w:rPr>
      </w:pPr>
      <w:r>
        <w:rPr>
          <w:rFonts w:ascii="Arial" w:cs="Arial" w:eastAsia="Arial" w:hAnsi="Arial"/>
          <w:sz w:val="18"/>
          <w:szCs w:val="18"/>
          <w:color w:val="auto"/>
        </w:rPr>
        <w:t>March 29, 2015, March 30, 2014 and March 31, 2013 and (iv) Notes to Condensed Consolidated Financial Statements.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915035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hanging="685"/>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ectPr>
          <w:pgSz w:w="11900" w:h="16838" w:orient="portrait"/>
          <w:cols w:equalWidth="0" w:num="1">
            <w:col w:w="10920"/>
          </w:cols>
          <w:pgMar w:left="240" w:top="364" w:right="739" w:bottom="1440" w:gutter="0" w:footer="0" w:header="0"/>
        </w:sectPr>
      </w:pPr>
    </w:p>
    <w:p>
      <w:pPr>
        <w:spacing w:after="0" w:line="291"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920"/>
          </w:cols>
          <w:pgMar w:left="240" w:top="364" w:right="739" w:bottom="1440" w:gutter="0" w:footer="0" w:header="0"/>
          <w:type w:val="continuous"/>
        </w:sectPr>
      </w:pPr>
    </w:p>
    <w:bookmarkStart w:id="47" w:name="page48"/>
    <w:bookmarkEnd w:id="47"/>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13" w:lineRule="exact"/>
        <w:rPr>
          <w:rFonts w:ascii="Arial" w:cs="Arial" w:eastAsia="Arial" w:hAnsi="Arial"/>
          <w:sz w:val="16"/>
          <w:szCs w:val="16"/>
          <w:color w:val="auto"/>
        </w:rPr>
      </w:pPr>
    </w:p>
    <w:p>
      <w:pPr>
        <w:ind w:left="316" w:hanging="316"/>
        <w:spacing w:after="0"/>
        <w:tabs>
          <w:tab w:leader="none" w:pos="31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113" w:lineRule="exact"/>
        <w:rPr>
          <w:rFonts w:ascii="Arial" w:cs="Arial" w:eastAsia="Arial" w:hAnsi="Arial"/>
          <w:sz w:val="16"/>
          <w:szCs w:val="16"/>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2008.</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21 to the Company’s Annual Report on Form 10-K for the annual period ended March 30, 2014.</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Previously filed with our Annual Report on Form 10-K filed with the Commission on May 28, 2015.</w:t>
      </w:r>
    </w:p>
    <w:p>
      <w:pPr>
        <w:spacing w:after="0" w:line="200" w:lineRule="exact"/>
        <w:rPr>
          <w:sz w:val="20"/>
          <w:szCs w:val="20"/>
          <w:color w:val="auto"/>
        </w:rPr>
      </w:pPr>
    </w:p>
    <w:p>
      <w:pPr>
        <w:spacing w:after="0" w:line="361" w:lineRule="exact"/>
        <w:rPr>
          <w:sz w:val="20"/>
          <w:szCs w:val="20"/>
          <w:color w:val="auto"/>
        </w:rPr>
      </w:pPr>
    </w:p>
    <w:p>
      <w:pPr>
        <w:jc w:val="center"/>
        <w:ind w:right="-375"/>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16"/>
          </w:cols>
          <w:pgMar w:left="464" w:top="665" w:right="8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333-87582 on Form S-8 relating to the Hawkins, Inc. Employee Stock Purchase Plan, as Amended and Restated, No. 333-172761 on Form S-8 relating to the Hawkins, Inc. Employee Stock Purchase Plan, 333-123080 on Form S-8 relating to the Hawkins, Inc. 2004 Omnibus Stock Plan, and 333-174735 on Form S-8 relating to the Hawkins, Inc. 2010 Omnibus Incentive Plan of our report dated May 28, 2015, with respect to the consolidated balance sheets of Hawkins, Inc. as of March 29, 2015 and March 30, 2014, the related consolidated statements of income, comprehensive income, shareholders’ equity, and cash flows for each of the years in the three-year period ended March 29, 2015, the related financial statement schedule, and the effectiveness of internal control over financial reporting as of March 29, 2015 which report appears in the March 29, 2015 annual report on Form 10-K of Hawkins, Inc.</w:t>
      </w:r>
    </w:p>
    <w:p>
      <w:pPr>
        <w:spacing w:after="0" w:line="324"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Our report dated May 28, 2015 on internal control over financial reporting as of March 29, 2015, contains an explanatory paragraph that states management excluded from its assessment of the effectiveness of internal control over financial reporting as of March 29, 2015, Dumont Company, Inc.’s internal control over financial reporting that comprise total assets of 4.3% and 1.6% of total revenues included in the consolidated financial statements of Hawkins, Inc. and subsidiaries as of and for the year ended March 29, 2015. Our audit of internal control over financial reporting of Hawkins, Inc. also excluded an evaluation of the internal control over financial reporting of Dumont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2015</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2015</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10-K/A for the period ended March 29, 2015,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19, 2015</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10-K/A for the period ended March 29, 2015,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19,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2019-12-29T16:14:05Z</dcterms:created>
  <dcterms:modified xsi:type="dcterms:W3CDTF">2019-12-29T16:14:05Z</dcterms:modified>
</cp:coreProperties>
</file>