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11/04/2014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88"/>
              </w:rPr>
              <w:t>5,724.2305</w:t>
            </w:r>
          </w:p>
        </w:tc>
        <w:tc>
          <w:tcPr>
            <w:tcW w:w="4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2180" w:type="dxa"/>
            <w:vAlign w:val="bottom"/>
            <w:tcBorders>
              <w:bottom w:val="single" w:sz="8" w:color="2C2C2C"/>
            </w:tcBorders>
            <w:gridSpan w:val="5"/>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38.018</w:t>
            </w:r>
            <w:r>
              <w:rPr>
                <w:rFonts w:ascii="Arial" w:cs="Arial" w:eastAsia="Arial" w:hAnsi="Arial"/>
                <w:sz w:val="22"/>
                <w:szCs w:val="22"/>
                <w:color w:val="008000"/>
                <w:w w:val="95"/>
                <w:vertAlign w:val="superscript"/>
              </w:rPr>
              <w:t>(1)</w:t>
            </w:r>
            <w:r>
              <w:rPr>
                <w:rFonts w:ascii="Arial" w:cs="Arial" w:eastAsia="Arial" w:hAnsi="Arial"/>
                <w:sz w:val="18"/>
                <w:szCs w:val="18"/>
                <w:color w:val="auto"/>
                <w:w w:val="95"/>
              </w:rPr>
              <w:t xml:space="preserve">    </w:t>
            </w:r>
            <w:r>
              <w:rPr>
                <w:rFonts w:ascii="Arial" w:cs="Arial" w:eastAsia="Arial" w:hAnsi="Arial"/>
                <w:sz w:val="18"/>
                <w:szCs w:val="18"/>
                <w:color w:val="0000FF"/>
                <w:w w:val="95"/>
              </w:rPr>
              <w:t>8,812.8035</w:t>
            </w:r>
            <w:r>
              <w:rPr>
                <w:rFonts w:ascii="Arial" w:cs="Arial" w:eastAsia="Arial" w:hAnsi="Arial"/>
                <w:sz w:val="22"/>
                <w:szCs w:val="22"/>
                <w:color w:val="008000"/>
                <w:w w:val="95"/>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ind w:left="440"/>
              <w:spacing w:after="0"/>
              <w:rPr>
                <w:sz w:val="20"/>
                <w:szCs w:val="20"/>
                <w:color w:val="auto"/>
              </w:rPr>
            </w:pPr>
            <w:r>
              <w:rPr>
                <w:rFonts w:ascii="Arial" w:cs="Arial" w:eastAsia="Arial" w:hAnsi="Arial"/>
                <w:sz w:val="18"/>
                <w:szCs w:val="18"/>
                <w:color w:val="0000FF"/>
              </w:rPr>
              <w:t>20,535.1656</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5,724.2305 shares of common stock of Hawkins, Inc. sold by the reporting person in multiple transactions on November 4, 2014 with sale prices ranging from $38.00 to $38.16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16.838 shares acquired in October 2014 pursuant to the issuer's dividend reinvestment plan, and 418 shares acquired in June 2014 pursuant to the issuer's employee stock purchase plan.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11/06/2014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2019-12-17T10:49:56Z</dcterms:created>
  <dcterms:modified xsi:type="dcterms:W3CDTF">2019-12-17T10:49:56Z</dcterms:modified>
</cp:coreProperties>
</file>