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February 9, 2005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85" w:right="299" w:bottom="300" w:gutter="0" w:footer="0" w:header="0"/>
        </w:sectPr>
      </w:pP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860" w:space="720"/>
            <w:col w:w="3480" w:space="720"/>
            <w:col w:w="1580"/>
          </w:cols>
          <w:pgMar w:left="240" w:top="585" w:right="299" w:bottom="300" w:gutter="0" w:footer="0" w:header="0"/>
          <w:type w:val="continuous"/>
        </w:sectPr>
      </w:pPr>
    </w:p>
    <w:p>
      <w:pPr>
        <w:spacing w:after="0" w:line="18"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80" w:space="720"/>
            <w:col w:w="2260"/>
          </w:cols>
          <w:pgMar w:left="240" w:top="585" w:right="299" w:bottom="30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(612) 331-6910</w:t>
      </w:r>
    </w:p>
    <w:p>
      <w:pPr>
        <w:spacing w:after="0" w:line="229"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On February 9, 2005, Hawkins, Inc. issued a press release announcing financial results for its third quarter ended December 31, 2004. A copy of the press release issued by the Registrant is furnished herewith as Exhibit 99 hereto and is incorporated herein by reference.</w:t>
      </w:r>
    </w:p>
    <w:p>
      <w:pPr>
        <w:spacing w:after="0" w:line="16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040" w:hanging="613"/>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right="100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February 9, 2005, announcing financial results of Hawkins, Inc. for its fiscal third quarter ended December 31, 2004.</w:t>
      </w:r>
    </w:p>
    <w:p>
      <w:pPr>
        <w:spacing w:after="0" w:line="1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HAWKINS, INC.</w:t>
      </w:r>
    </w:p>
    <w:p>
      <w:pPr>
        <w:sectPr>
          <w:pgSz w:w="11900" w:h="16838" w:orient="portrait"/>
          <w:cols w:equalWidth="0" w:num="1">
            <w:col w:w="11360"/>
          </w:cols>
          <w:pgMar w:left="240" w:top="585" w:right="299" w:bottom="300"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Date: February 9, 2005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 Marvin E. Dee</w:t>
      </w:r>
    </w:p>
    <w:p>
      <w:pPr>
        <w:spacing w:after="0" w:line="46" w:lineRule="exact"/>
        <w:rPr>
          <w:sz w:val="24"/>
          <w:szCs w:val="24"/>
          <w:color w:val="auto"/>
        </w:rPr>
      </w:pPr>
    </w:p>
    <w:p>
      <w:pPr>
        <w:sectPr>
          <w:pgSz w:w="11900" w:h="16838" w:orient="portrait"/>
          <w:cols w:equalWidth="0" w:num="3">
            <w:col w:w="5900" w:space="720"/>
            <w:col w:w="1240" w:space="720"/>
            <w:col w:w="2780"/>
          </w:cols>
          <w:pgMar w:left="240" w:top="585" w:right="299" w:bottom="300" w:gutter="0" w:footer="0" w:header="0"/>
          <w:type w:val="continuous"/>
        </w:sectPr>
      </w:pPr>
    </w:p>
    <w:p>
      <w:pPr>
        <w:jc w:val="center"/>
        <w:ind w:left="7020"/>
        <w:spacing w:after="0"/>
        <w:rPr>
          <w:sz w:val="20"/>
          <w:szCs w:val="20"/>
          <w:color w:val="auto"/>
        </w:rPr>
      </w:pPr>
      <w:r>
        <w:rPr>
          <w:rFonts w:ascii="Arial" w:cs="Arial" w:eastAsia="Arial" w:hAnsi="Arial"/>
          <w:sz w:val="18"/>
          <w:szCs w:val="18"/>
          <w:color w:val="auto"/>
        </w:rPr>
        <w:t>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4464685</wp:posOffset>
            </wp:positionH>
            <wp:positionV relativeFrom="paragraph">
              <wp:posOffset>-130810</wp:posOffset>
            </wp:positionV>
            <wp:extent cx="2787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4"/>
          <w:szCs w:val="24"/>
          <w:color w:val="auto"/>
        </w:rPr>
      </w:pPr>
    </w:p>
    <w:p>
      <w:pPr>
        <w:jc w:val="center"/>
        <w:ind w:left="7020"/>
        <w:spacing w:after="0"/>
        <w:rPr>
          <w:sz w:val="20"/>
          <w:szCs w:val="20"/>
          <w:color w:val="auto"/>
        </w:rPr>
      </w:pPr>
      <w:r>
        <w:rPr>
          <w:rFonts w:ascii="Arial" w:cs="Arial" w:eastAsia="Arial" w:hAnsi="Arial"/>
          <w:sz w:val="16"/>
          <w:szCs w:val="16"/>
          <w:color w:val="auto"/>
        </w:rPr>
        <w:t>Vice President, Chief Financial Officer,</w:t>
      </w:r>
    </w:p>
    <w:p>
      <w:pPr>
        <w:spacing w:after="0" w:line="32" w:lineRule="exact"/>
        <w:rPr>
          <w:sz w:val="24"/>
          <w:szCs w:val="24"/>
          <w:color w:val="auto"/>
        </w:rPr>
      </w:pPr>
    </w:p>
    <w:p>
      <w:pPr>
        <w:jc w:val="center"/>
        <w:ind w:left="70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5" w:right="299" w:bottom="30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NINE MONTHS FISCAL 2005 RESULTS</w:t>
      </w:r>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Minneapolis, MN, February 9, 2005 – Hawkins, Inc. (Nasdaq: HWKN) today announced results for the third quarter and first nine months of fiscal 2005. For the quarter ended December 31, 2004, Hawkins reported sales of $26.7 million, up from $25.0 million in sales for the same period a year ago. Net income for the third quarter of fiscal 2005 was $1.8 million, for diluted earnings per share of $0.17, versus net income of $1.2 million, for diluted earnings per share of $0.11, earned in the same period of fiscal 2004.</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nine months ended December 31, 2004, Hawkins reported sales of $85.3 million, net income of $7.1 million and diluted earnings per share of $0.70 versus sales of $82.7 million, net income of $6.5 million and diluted earnings per share of $0.64 for the nine months ended December 31, 2003.</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Chairman and Chief Executive Officer, John R. Hawkins, commented, “the increase in sales for the third quarter of fiscal 2005 was primarily driven by improved sales along several product lines within the Industrial and Water Treatment segments. Gross margins remained relatively consistent, improving slightly from 27.5% for the nine months ended December 31, 2003 to 28.0% for the nine months ended December 31, 2004 as a competitive market environment was offset by higher margins on some of the Industrial segment’s new product introductions and a more favorable product mix that incorporates the blending of certain products by Hawkins, Inc.” Hawkins also added, “this is an improved way for us to conduct this business which provides us with added control and better margins.”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Selling, general and administrative expenses increased as the Company implements a new Enterprise Resource Planning system. The Company also incurred fees for professional services to meet the requirements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“Hawkins is in excellent shape financially, with a strong balance sheet that includes $25.0 million in cash and marketable securities, strong, predictable cash flow and no debt at December 31, 2004,” Hawkins added.</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third quarter of fiscal 2005, the Company made the determination to continue to use its current accounting and information systems through the end of fiscal 2005, and the internal control certifications required by the end of fiscal 2005 pursuant to Section 404 of the Sarbanes-Oxley Act will be made on its current accounting and information systems.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28, 2004, Forms 10-Q, and other SEC filings.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58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26,703,441</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24,951,807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85,290,860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82,663,688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19,764,427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19,057,101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61,448,746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59,970,542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6,939,014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23,842,114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22,693,146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4,646,327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13,575,820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12,848,275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2,292,687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10,266,294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9,844,871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801,418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2,757,324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11,067,712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10,475,426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3,959,200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1,773,124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1,162,837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7,108,512</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6,546,426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10,216,688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10,223,464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10,220,429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rPr>
              <w:t>#  #  #</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2019-12-13T01:39:27Z</dcterms:created>
  <dcterms:modified xsi:type="dcterms:W3CDTF">2019-12-13T01:39:27Z</dcterms:modified>
</cp:coreProperties>
</file>