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67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2720"/>
        <w:spacing w:after="0"/>
        <w:rPr>
          <w:sz w:val="20"/>
          <w:szCs w:val="20"/>
          <w:color w:val="auto"/>
        </w:rPr>
      </w:pPr>
      <w:r>
        <w:rPr>
          <w:rFonts w:ascii="Arial" w:cs="Arial" w:eastAsia="Arial" w:hAnsi="Arial"/>
          <w:sz w:val="22"/>
          <w:szCs w:val="22"/>
          <w:b w:val="1"/>
          <w:bCs w:val="1"/>
          <w:color w:val="auto"/>
        </w:rPr>
        <w:t>Date of Report (Date of earliest event reported) January 30,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679"/>
        <w:spacing w:after="0"/>
        <w:rPr>
          <w:sz w:val="20"/>
          <w:szCs w:val="20"/>
          <w:color w:val="auto"/>
        </w:rPr>
      </w:pPr>
      <w:r>
        <w:rPr>
          <w:rFonts w:ascii="Arial" w:cs="Arial" w:eastAsia="Arial" w:hAnsi="Arial"/>
          <w:sz w:val="43"/>
          <w:szCs w:val="43"/>
          <w:b w:val="1"/>
          <w:bCs w:val="1"/>
          <w:color w:val="auto"/>
        </w:rPr>
        <w:t>Hawkins,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440" w:type="dxa"/>
        <w:tblCellMar>
          <w:top w:w="0" w:type="dxa"/>
          <w:left w:w="0" w:type="dxa"/>
          <w:bottom w:w="0" w:type="dxa"/>
          <w:right w:w="0" w:type="dxa"/>
        </w:tblCellMar>
      </w:tblPr>
      <w:tr>
        <w:trPr>
          <w:trHeight w:val="218"/>
        </w:trPr>
        <w:tc>
          <w:tcPr>
            <w:tcW w:w="1120" w:type="dxa"/>
            <w:vAlign w:val="bottom"/>
          </w:tcPr>
          <w:p>
            <w:pPr>
              <w:jc w:val="center"/>
              <w:ind w:right="26"/>
              <w:spacing w:after="0"/>
              <w:rPr>
                <w:sz w:val="20"/>
                <w:szCs w:val="20"/>
                <w:color w:val="auto"/>
              </w:rPr>
            </w:pPr>
            <w:r>
              <w:rPr>
                <w:rFonts w:ascii="Arial" w:cs="Arial" w:eastAsia="Arial" w:hAnsi="Arial"/>
                <w:sz w:val="18"/>
                <w:szCs w:val="18"/>
                <w:b w:val="1"/>
                <w:bCs w:val="1"/>
                <w:color w:val="auto"/>
                <w:w w:val="87"/>
              </w:rPr>
              <w:t>Minnesota</w:t>
            </w:r>
          </w:p>
        </w:tc>
        <w:tc>
          <w:tcPr>
            <w:tcW w:w="6120" w:type="dxa"/>
            <w:vAlign w:val="bottom"/>
          </w:tcPr>
          <w:p>
            <w:pPr>
              <w:jc w:val="center"/>
              <w:ind w:left="381"/>
              <w:spacing w:after="0"/>
              <w:rPr>
                <w:sz w:val="20"/>
                <w:szCs w:val="20"/>
                <w:color w:val="auto"/>
              </w:rPr>
            </w:pPr>
            <w:r>
              <w:rPr>
                <w:rFonts w:ascii="Arial" w:cs="Arial" w:eastAsia="Arial" w:hAnsi="Arial"/>
                <w:sz w:val="18"/>
                <w:szCs w:val="18"/>
                <w:b w:val="1"/>
                <w:bCs w:val="1"/>
                <w:color w:val="auto"/>
                <w:w w:val="89"/>
              </w:rPr>
              <w:t>0-7647</w:t>
            </w:r>
          </w:p>
        </w:tc>
        <w:tc>
          <w:tcPr>
            <w:tcW w:w="1440" w:type="dxa"/>
            <w:vAlign w:val="bottom"/>
          </w:tcPr>
          <w:p>
            <w:pPr>
              <w:jc w:val="right"/>
              <w:ind w:right="24"/>
              <w:spacing w:after="0"/>
              <w:rPr>
                <w:sz w:val="20"/>
                <w:szCs w:val="20"/>
                <w:color w:val="auto"/>
              </w:rPr>
            </w:pPr>
            <w:r>
              <w:rPr>
                <w:rFonts w:ascii="Arial" w:cs="Arial" w:eastAsia="Arial" w:hAnsi="Arial"/>
                <w:sz w:val="18"/>
                <w:szCs w:val="18"/>
                <w:b w:val="1"/>
                <w:bCs w:val="1"/>
                <w:color w:val="auto"/>
              </w:rPr>
              <w:t>41-0771293</w:t>
            </w:r>
          </w:p>
        </w:tc>
      </w:tr>
      <w:tr>
        <w:trPr>
          <w:trHeight w:val="149"/>
        </w:trPr>
        <w:tc>
          <w:tcPr>
            <w:tcW w:w="112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87"/>
              </w:rPr>
              <w:t>(State</w:t>
            </w:r>
          </w:p>
        </w:tc>
        <w:tc>
          <w:tcPr>
            <w:tcW w:w="6120" w:type="dxa"/>
            <w:vAlign w:val="bottom"/>
          </w:tcPr>
          <w:p>
            <w:pPr>
              <w:jc w:val="center"/>
              <w:ind w:left="361"/>
              <w:spacing w:after="0" w:line="149" w:lineRule="exact"/>
              <w:rPr>
                <w:sz w:val="20"/>
                <w:szCs w:val="20"/>
                <w:color w:val="auto"/>
              </w:rPr>
            </w:pPr>
            <w:r>
              <w:rPr>
                <w:rFonts w:ascii="Arial" w:cs="Arial" w:eastAsia="Arial" w:hAnsi="Arial"/>
                <w:sz w:val="14"/>
                <w:szCs w:val="14"/>
                <w:b w:val="1"/>
                <w:bCs w:val="1"/>
                <w:color w:val="auto"/>
                <w:w w:val="85"/>
              </w:rPr>
              <w:t>(Commission</w:t>
            </w:r>
          </w:p>
        </w:tc>
        <w:tc>
          <w:tcPr>
            <w:tcW w:w="1440" w:type="dxa"/>
            <w:vAlign w:val="bottom"/>
          </w:tcPr>
          <w:p>
            <w:pPr>
              <w:jc w:val="center"/>
              <w:ind w:left="32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1120" w:type="dxa"/>
            <w:vAlign w:val="bottom"/>
          </w:tcPr>
          <w:p>
            <w:pPr>
              <w:jc w:val="center"/>
              <w:ind w:right="46"/>
              <w:spacing w:after="0"/>
              <w:rPr>
                <w:sz w:val="20"/>
                <w:szCs w:val="20"/>
                <w:color w:val="auto"/>
              </w:rPr>
            </w:pPr>
            <w:r>
              <w:rPr>
                <w:rFonts w:ascii="Arial" w:cs="Arial" w:eastAsia="Arial" w:hAnsi="Arial"/>
                <w:sz w:val="14"/>
                <w:szCs w:val="14"/>
                <w:b w:val="1"/>
                <w:bCs w:val="1"/>
                <w:color w:val="auto"/>
                <w:w w:val="89"/>
              </w:rPr>
              <w:t>of Incorporation)</w:t>
            </w:r>
          </w:p>
        </w:tc>
        <w:tc>
          <w:tcPr>
            <w:tcW w:w="6120" w:type="dxa"/>
            <w:vAlign w:val="bottom"/>
          </w:tcPr>
          <w:p>
            <w:pPr>
              <w:jc w:val="center"/>
              <w:ind w:left="381"/>
              <w:spacing w:after="0"/>
              <w:rPr>
                <w:sz w:val="20"/>
                <w:szCs w:val="20"/>
                <w:color w:val="auto"/>
              </w:rPr>
            </w:pPr>
            <w:r>
              <w:rPr>
                <w:rFonts w:ascii="Arial" w:cs="Arial" w:eastAsia="Arial" w:hAnsi="Arial"/>
                <w:sz w:val="14"/>
                <w:szCs w:val="14"/>
                <w:b w:val="1"/>
                <w:bCs w:val="1"/>
                <w:color w:val="auto"/>
                <w:w w:val="91"/>
              </w:rPr>
              <w:t>File Number)</w:t>
            </w:r>
          </w:p>
        </w:tc>
        <w:tc>
          <w:tcPr>
            <w:tcW w:w="1440" w:type="dxa"/>
            <w:vAlign w:val="bottom"/>
          </w:tcPr>
          <w:p>
            <w:pPr>
              <w:jc w:val="center"/>
              <w:ind w:left="30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1120" w:type="dxa"/>
            <w:vAlign w:val="bottom"/>
          </w:tcPr>
          <w:p>
            <w:pPr>
              <w:spacing w:after="0"/>
              <w:rPr>
                <w:sz w:val="24"/>
                <w:szCs w:val="24"/>
                <w:color w:val="auto"/>
              </w:rPr>
            </w:pPr>
          </w:p>
        </w:tc>
        <w:tc>
          <w:tcPr>
            <w:tcW w:w="6120" w:type="dxa"/>
            <w:vAlign w:val="bottom"/>
          </w:tcPr>
          <w:p>
            <w:pPr>
              <w:jc w:val="center"/>
              <w:ind w:right="3501"/>
              <w:spacing w:after="0"/>
              <w:rPr>
                <w:sz w:val="20"/>
                <w:szCs w:val="20"/>
                <w:color w:val="auto"/>
              </w:rPr>
            </w:pPr>
            <w:r>
              <w:rPr>
                <w:rFonts w:ascii="Arial" w:cs="Arial" w:eastAsia="Arial" w:hAnsi="Arial"/>
                <w:sz w:val="18"/>
                <w:szCs w:val="18"/>
                <w:b w:val="1"/>
                <w:bCs w:val="1"/>
                <w:color w:val="auto"/>
                <w:w w:val="87"/>
              </w:rPr>
              <w:t>3100 East Hennepin Avenue</w:t>
            </w:r>
          </w:p>
        </w:tc>
        <w:tc>
          <w:tcPr>
            <w:tcW w:w="1440" w:type="dxa"/>
            <w:vAlign w:val="bottom"/>
          </w:tcPr>
          <w:p>
            <w:pPr>
              <w:spacing w:after="0"/>
              <w:rPr>
                <w:sz w:val="24"/>
                <w:szCs w:val="24"/>
                <w:color w:val="auto"/>
              </w:rPr>
            </w:pPr>
          </w:p>
        </w:tc>
      </w:tr>
      <w:tr>
        <w:trPr>
          <w:trHeight w:val="231"/>
        </w:trPr>
        <w:tc>
          <w:tcPr>
            <w:tcW w:w="1120" w:type="dxa"/>
            <w:vAlign w:val="bottom"/>
          </w:tcPr>
          <w:p>
            <w:pPr>
              <w:spacing w:after="0"/>
              <w:rPr>
                <w:sz w:val="20"/>
                <w:szCs w:val="20"/>
                <w:color w:val="auto"/>
              </w:rPr>
            </w:pPr>
          </w:p>
        </w:tc>
        <w:tc>
          <w:tcPr>
            <w:tcW w:w="6120" w:type="dxa"/>
            <w:vAlign w:val="bottom"/>
          </w:tcPr>
          <w:p>
            <w:pPr>
              <w:jc w:val="center"/>
              <w:ind w:right="3481"/>
              <w:spacing w:after="0"/>
              <w:rPr>
                <w:sz w:val="20"/>
                <w:szCs w:val="20"/>
                <w:color w:val="auto"/>
              </w:rPr>
            </w:pPr>
            <w:r>
              <w:rPr>
                <w:rFonts w:ascii="Arial" w:cs="Arial" w:eastAsia="Arial" w:hAnsi="Arial"/>
                <w:sz w:val="18"/>
                <w:szCs w:val="18"/>
                <w:b w:val="1"/>
                <w:bCs w:val="1"/>
                <w:color w:val="auto"/>
                <w:w w:val="92"/>
              </w:rPr>
              <w:t>Minneapolis, MN</w:t>
            </w:r>
          </w:p>
        </w:tc>
        <w:tc>
          <w:tcPr>
            <w:tcW w:w="1440" w:type="dxa"/>
            <w:vAlign w:val="bottom"/>
          </w:tcPr>
          <w:p>
            <w:pPr>
              <w:jc w:val="right"/>
              <w:ind w:right="224"/>
              <w:spacing w:after="0"/>
              <w:rPr>
                <w:sz w:val="20"/>
                <w:szCs w:val="20"/>
                <w:color w:val="auto"/>
              </w:rPr>
            </w:pPr>
            <w:r>
              <w:rPr>
                <w:rFonts w:ascii="Arial" w:cs="Arial" w:eastAsia="Arial" w:hAnsi="Arial"/>
                <w:sz w:val="18"/>
                <w:szCs w:val="18"/>
                <w:b w:val="1"/>
                <w:bCs w:val="1"/>
                <w:color w:val="auto"/>
              </w:rPr>
              <w:t>55413</w:t>
            </w:r>
          </w:p>
        </w:tc>
      </w:tr>
      <w:tr>
        <w:trPr>
          <w:trHeight w:val="174"/>
        </w:trPr>
        <w:tc>
          <w:tcPr>
            <w:tcW w:w="1120" w:type="dxa"/>
            <w:vAlign w:val="bottom"/>
          </w:tcPr>
          <w:p>
            <w:pPr>
              <w:spacing w:after="0"/>
              <w:rPr>
                <w:sz w:val="15"/>
                <w:szCs w:val="15"/>
                <w:color w:val="auto"/>
              </w:rPr>
            </w:pPr>
          </w:p>
        </w:tc>
        <w:tc>
          <w:tcPr>
            <w:tcW w:w="6120" w:type="dxa"/>
            <w:vAlign w:val="bottom"/>
          </w:tcPr>
          <w:p>
            <w:pPr>
              <w:jc w:val="center"/>
              <w:ind w:right="3481"/>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1440" w:type="dxa"/>
            <w:vAlign w:val="bottom"/>
          </w:tcPr>
          <w:p>
            <w:pPr>
              <w:jc w:val="center"/>
              <w:ind w:left="304"/>
              <w:spacing w:after="0"/>
              <w:rPr>
                <w:sz w:val="20"/>
                <w:szCs w:val="20"/>
                <w:color w:val="auto"/>
              </w:rPr>
            </w:pPr>
            <w:r>
              <w:rPr>
                <w:rFonts w:ascii="Arial" w:cs="Arial" w:eastAsia="Arial" w:hAnsi="Arial"/>
                <w:sz w:val="14"/>
                <w:szCs w:val="14"/>
                <w:b w:val="1"/>
                <w:bCs w:val="1"/>
                <w:color w:val="auto"/>
                <w:w w:val="89"/>
              </w:rPr>
              <w:t>(Zip Code)</w:t>
            </w:r>
          </w:p>
        </w:tc>
      </w:tr>
      <w:tr>
        <w:trPr>
          <w:trHeight w:val="363"/>
        </w:trPr>
        <w:tc>
          <w:tcPr>
            <w:tcW w:w="1120" w:type="dxa"/>
            <w:vAlign w:val="bottom"/>
          </w:tcPr>
          <w:p>
            <w:pPr>
              <w:spacing w:after="0"/>
              <w:rPr>
                <w:sz w:val="24"/>
                <w:szCs w:val="24"/>
                <w:color w:val="auto"/>
              </w:rPr>
            </w:pPr>
          </w:p>
        </w:tc>
        <w:tc>
          <w:tcPr>
            <w:tcW w:w="6120" w:type="dxa"/>
            <w:vAlign w:val="bottom"/>
          </w:tcPr>
          <w:p>
            <w:pPr>
              <w:ind w:left="580"/>
              <w:spacing w:after="0"/>
              <w:rPr>
                <w:sz w:val="20"/>
                <w:szCs w:val="20"/>
                <w:color w:val="auto"/>
              </w:rPr>
            </w:pPr>
            <w:r>
              <w:rPr>
                <w:rFonts w:ascii="Arial" w:cs="Arial" w:eastAsia="Arial" w:hAnsi="Arial"/>
                <w:sz w:val="18"/>
                <w:szCs w:val="18"/>
                <w:b w:val="1"/>
                <w:bCs w:val="1"/>
                <w:color w:val="auto"/>
                <w:w w:val="94"/>
              </w:rPr>
              <w:t>Registrant’s Telephone Number, Including Area Code (612) 331-6910</w:t>
            </w:r>
          </w:p>
        </w:tc>
        <w:tc>
          <w:tcPr>
            <w:tcW w:w="14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On January 30, 2013, Hawkins, Inc. issued a press release announcing financial results for its fiscal 2013 third quarter ended December 30, 2012. A copy of the press release issued by the Registrant is furnished herewith as Exhibit 99.1 hereto and is incorporated herein by reference.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w:t>
      </w:r>
      <w:r>
        <w:rPr>
          <w:rFonts w:ascii="Arial" w:cs="Arial" w:eastAsia="Arial" w:hAnsi="Arial"/>
          <w:sz w:val="18"/>
          <w:szCs w:val="18"/>
          <w:color w:val="auto"/>
        </w:rPr>
        <w:t>.</w:t>
      </w:r>
    </w:p>
    <w:p>
      <w:pPr>
        <w:spacing w:after="0" w:line="90" w:lineRule="exact"/>
        <w:rPr>
          <w:sz w:val="20"/>
          <w:szCs w:val="20"/>
          <w:color w:val="auto"/>
        </w:rPr>
      </w:pPr>
    </w:p>
    <w:p>
      <w:pPr>
        <w:ind w:left="920" w:right="660"/>
        <w:spacing w:after="0" w:line="268" w:lineRule="auto"/>
        <w:rPr>
          <w:sz w:val="20"/>
          <w:szCs w:val="20"/>
          <w:color w:val="auto"/>
        </w:rPr>
      </w:pPr>
      <w:r>
        <w:rPr>
          <w:rFonts w:ascii="Arial" w:cs="Arial" w:eastAsia="Arial" w:hAnsi="Arial"/>
          <w:sz w:val="18"/>
          <w:szCs w:val="18"/>
          <w:color w:val="auto"/>
        </w:rPr>
        <w:t>Exhibit 99.1—Press Release, dated January 30, 2013, announcing financial results of Hawkins, Inc. for its fiscal 2013 third quarter ended December 30, 2012.</w:t>
      </w:r>
    </w:p>
    <w:p>
      <w:pPr>
        <w:sectPr>
          <w:pgSz w:w="11900" w:h="16838" w:orient="portrait"/>
          <w:cols w:equalWidth="0" w:num="1">
            <w:col w:w="11240"/>
          </w:cols>
          <w:pgMar w:left="240" w:top="274" w:right="419" w:bottom="1440" w:gutter="0" w:footer="0" w:header="0"/>
        </w:sectPr>
      </w:pPr>
    </w:p>
    <w:bookmarkStart w:id="2" w:name="page3"/>
    <w:bookmarkEnd w:id="2"/>
    <w:p>
      <w:pPr>
        <w:jc w:val="center"/>
        <w:ind w:right="-8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HAWKINS, INC.</w:t>
      </w:r>
    </w:p>
    <w:p>
      <w:pPr>
        <w:spacing w:after="0" w:line="225" w:lineRule="exact"/>
        <w:rPr>
          <w:sz w:val="20"/>
          <w:szCs w:val="20"/>
          <w:color w:val="auto"/>
        </w:rPr>
      </w:pPr>
    </w:p>
    <w:p>
      <w:pPr>
        <w:spacing w:after="0"/>
        <w:tabs>
          <w:tab w:leader="none" w:pos="5560" w:val="left"/>
          <w:tab w:leader="none" w:pos="7900" w:val="left"/>
        </w:tabs>
        <w:rPr>
          <w:sz w:val="20"/>
          <w:szCs w:val="20"/>
          <w:color w:val="auto"/>
        </w:rPr>
      </w:pPr>
      <w:r>
        <w:rPr>
          <w:rFonts w:ascii="Arial" w:cs="Arial" w:eastAsia="Arial" w:hAnsi="Arial"/>
          <w:sz w:val="18"/>
          <w:szCs w:val="18"/>
          <w:color w:val="auto"/>
        </w:rPr>
        <w:t>Date: January 30,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Kathleen P. Pepski</w:t>
      </w:r>
    </w:p>
    <w:p>
      <w:pPr>
        <w:spacing w:after="0" w:line="15" w:lineRule="exact"/>
        <w:rPr>
          <w:sz w:val="20"/>
          <w:szCs w:val="20"/>
          <w:color w:val="auto"/>
        </w:rPr>
      </w:pPr>
    </w:p>
    <w:p>
      <w:pPr>
        <w:jc w:val="center"/>
        <w:ind w:left="5960"/>
        <w:spacing w:after="0"/>
        <w:rPr>
          <w:sz w:val="20"/>
          <w:szCs w:val="20"/>
          <w:color w:val="auto"/>
        </w:rPr>
      </w:pPr>
      <w:r>
        <w:rPr>
          <w:rFonts w:ascii="Arial" w:cs="Arial" w:eastAsia="Arial" w:hAnsi="Arial"/>
          <w:sz w:val="15"/>
          <w:szCs w:val="15"/>
          <w:color w:val="auto"/>
        </w:rPr>
        <w:t>Vice President, Chief Financial Officer, and Treasurer</w:t>
      </w:r>
    </w:p>
    <w:p>
      <w:pPr>
        <w:sectPr>
          <w:pgSz w:w="11900" w:h="16838" w:orient="portrait"/>
          <w:cols w:equalWidth="0" w:num="1">
            <w:col w:w="10580"/>
          </w:cols>
          <w:pgMar w:left="240" w:top="274" w:right="1079" w:bottom="1440" w:gutter="0" w:footer="0" w:header="0"/>
        </w:sectPr>
      </w:pPr>
    </w:p>
    <w:bookmarkStart w:id="3" w:name="page4"/>
    <w:bookmarkEnd w:id="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Index to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20"/>
                <w:szCs w:val="20"/>
                <w:color w:val="auto"/>
              </w:rPr>
            </w:pPr>
            <w:r>
              <w:rPr>
                <w:rFonts w:ascii="Arial" w:cs="Arial" w:eastAsia="Arial" w:hAnsi="Arial"/>
                <w:sz w:val="14"/>
                <w:szCs w:val="14"/>
                <w:color w:val="auto"/>
                <w:w w:val="94"/>
              </w:rPr>
              <w:t>Exhibit No.</w:t>
            </w:r>
          </w:p>
        </w:tc>
        <w:tc>
          <w:tcPr>
            <w:tcW w:w="9480" w:type="dxa"/>
            <w:vAlign w:val="bottom"/>
            <w:gridSpan w:val="2"/>
          </w:tcPr>
          <w:p>
            <w:pPr>
              <w:ind w:left="460"/>
              <w:spacing w:after="0"/>
              <w:rPr>
                <w:sz w:val="20"/>
                <w:szCs w:val="20"/>
                <w:color w:val="auto"/>
              </w:rPr>
            </w:pPr>
            <w:r>
              <w:rPr>
                <w:rFonts w:ascii="Arial" w:cs="Arial" w:eastAsia="Arial" w:hAnsi="Arial"/>
                <w:sz w:val="14"/>
                <w:szCs w:val="14"/>
                <w:color w:val="auto"/>
              </w:rPr>
              <w:t>Description</w:t>
            </w:r>
          </w:p>
        </w:tc>
      </w:tr>
      <w:tr>
        <w:trPr>
          <w:trHeight w:val="27"/>
        </w:trPr>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020" w:type="dxa"/>
            <w:vAlign w:val="bottom"/>
            <w:shd w:val="clear" w:color="auto" w:fill="000000"/>
          </w:tcPr>
          <w:p>
            <w:pPr>
              <w:spacing w:after="0"/>
              <w:rPr>
                <w:sz w:val="2"/>
                <w:szCs w:val="2"/>
                <w:color w:val="auto"/>
              </w:rPr>
            </w:pPr>
          </w:p>
        </w:tc>
      </w:tr>
      <w:tr>
        <w:trPr>
          <w:trHeight w:val="302"/>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9480" w:type="dxa"/>
            <w:vAlign w:val="bottom"/>
            <w:gridSpan w:val="2"/>
          </w:tcPr>
          <w:p>
            <w:pPr>
              <w:ind w:left="460"/>
              <w:spacing w:after="0"/>
              <w:rPr>
                <w:sz w:val="20"/>
                <w:szCs w:val="20"/>
                <w:color w:val="auto"/>
              </w:rPr>
            </w:pPr>
            <w:r>
              <w:rPr>
                <w:rFonts w:ascii="Arial" w:cs="Arial" w:eastAsia="Arial" w:hAnsi="Arial"/>
                <w:sz w:val="18"/>
                <w:szCs w:val="18"/>
                <w:color w:val="auto"/>
                <w:w w:val="92"/>
              </w:rPr>
              <w:t>Press Release, dated January 30, 2013, announcing financial results of Hawkins, Inc. for its fiscal 2013 third quarter ended</w:t>
            </w:r>
          </w:p>
        </w:tc>
      </w:tr>
      <w:tr>
        <w:trPr>
          <w:trHeight w:val="222"/>
        </w:trPr>
        <w:tc>
          <w:tcPr>
            <w:tcW w:w="660" w:type="dxa"/>
            <w:vAlign w:val="bottom"/>
          </w:tcPr>
          <w:p>
            <w:pPr>
              <w:spacing w:after="0"/>
              <w:rPr>
                <w:sz w:val="19"/>
                <w:szCs w:val="19"/>
                <w:color w:val="auto"/>
              </w:rPr>
            </w:pPr>
          </w:p>
        </w:tc>
        <w:tc>
          <w:tcPr>
            <w:tcW w:w="9480" w:type="dxa"/>
            <w:vAlign w:val="bottom"/>
            <w:gridSpan w:val="2"/>
          </w:tcPr>
          <w:p>
            <w:pPr>
              <w:ind w:left="460"/>
              <w:spacing w:after="0"/>
              <w:rPr>
                <w:sz w:val="20"/>
                <w:szCs w:val="20"/>
                <w:color w:val="auto"/>
              </w:rPr>
            </w:pPr>
            <w:r>
              <w:rPr>
                <w:rFonts w:ascii="Arial" w:cs="Arial" w:eastAsia="Arial" w:hAnsi="Arial"/>
                <w:sz w:val="18"/>
                <w:szCs w:val="18"/>
                <w:color w:val="auto"/>
              </w:rPr>
              <w:t>December 30, 2012.</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Method of Filing</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Electronic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Transmission</w:t>
      </w:r>
    </w:p>
    <w:p>
      <w:pPr>
        <w:sectPr>
          <w:pgSz w:w="11900" w:h="16838" w:orient="portrait"/>
          <w:cols w:equalWidth="0" w:num="2">
            <w:col w:w="10140" w:space="340"/>
            <w:col w:w="940"/>
          </w:cols>
          <w:pgMar w:left="240" w:top="280"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2"/>
        </w:trPr>
        <w:tc>
          <w:tcPr>
            <w:tcW w:w="48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20" w:type="dxa"/>
            <w:vAlign w:val="bottom"/>
            <w:gridSpan w:val="3"/>
          </w:tcPr>
          <w:p>
            <w:pPr>
              <w:ind w:left="2160"/>
              <w:spacing w:after="0"/>
              <w:rPr>
                <w:sz w:val="20"/>
                <w:szCs w:val="20"/>
                <w:color w:val="auto"/>
              </w:rPr>
            </w:pPr>
            <w:r>
              <w:rPr>
                <w:rFonts w:ascii="Arial" w:cs="Arial" w:eastAsia="Arial" w:hAnsi="Arial"/>
                <w:sz w:val="18"/>
                <w:szCs w:val="18"/>
                <w:color w:val="auto"/>
                <w:w w:val="89"/>
              </w:rPr>
              <w:t>Exhibit 99.1</w:t>
            </w:r>
          </w:p>
        </w:tc>
        <w:tc>
          <w:tcPr>
            <w:tcW w:w="0" w:type="dxa"/>
            <w:vAlign w:val="bottom"/>
          </w:tcPr>
          <w:p>
            <w:pPr>
              <w:spacing w:after="0"/>
              <w:rPr>
                <w:sz w:val="1"/>
                <w:szCs w:val="1"/>
                <w:color w:val="auto"/>
              </w:rPr>
            </w:pPr>
          </w:p>
        </w:tc>
      </w:tr>
      <w:tr>
        <w:trPr>
          <w:trHeight w:val="412"/>
        </w:trPr>
        <w:tc>
          <w:tcPr>
            <w:tcW w:w="4860" w:type="dxa"/>
            <w:vAlign w:val="bottom"/>
          </w:tcPr>
          <w:p>
            <w:pPr>
              <w:spacing w:after="0"/>
              <w:rPr>
                <w:sz w:val="20"/>
                <w:szCs w:val="20"/>
                <w:color w:val="auto"/>
              </w:rPr>
            </w:pPr>
            <w:r>
              <w:rPr>
                <w:rFonts w:ascii="Arial" w:cs="Arial" w:eastAsia="Arial" w:hAnsi="Arial"/>
                <w:sz w:val="18"/>
                <w:szCs w:val="18"/>
                <w:b w:val="1"/>
                <w:bCs w:val="1"/>
                <w:color w:val="auto"/>
              </w:rPr>
              <w:t>FOR IMMEDIATE RELEASE</w:t>
            </w:r>
          </w:p>
        </w:tc>
        <w:tc>
          <w:tcPr>
            <w:tcW w:w="3340" w:type="dxa"/>
            <w:vAlign w:val="bottom"/>
          </w:tcPr>
          <w:p>
            <w:pPr>
              <w:ind w:left="2500"/>
              <w:spacing w:after="0"/>
              <w:rPr>
                <w:sz w:val="20"/>
                <w:szCs w:val="20"/>
                <w:color w:val="auto"/>
              </w:rPr>
            </w:pPr>
            <w:r>
              <w:rPr>
                <w:rFonts w:ascii="Arial" w:cs="Arial" w:eastAsia="Arial" w:hAnsi="Arial"/>
                <w:sz w:val="18"/>
                <w:szCs w:val="18"/>
                <w:color w:val="auto"/>
              </w:rPr>
              <w:t>Contacts:</w:t>
            </w:r>
          </w:p>
        </w:tc>
        <w:tc>
          <w:tcPr>
            <w:tcW w:w="3220" w:type="dxa"/>
            <w:vAlign w:val="bottom"/>
            <w:gridSpan w:val="4"/>
          </w:tcPr>
          <w:p>
            <w:pPr>
              <w:ind w:left="160"/>
              <w:spacing w:after="0"/>
              <w:rPr>
                <w:sz w:val="20"/>
                <w:szCs w:val="20"/>
                <w:color w:val="auto"/>
              </w:rPr>
            </w:pPr>
            <w:r>
              <w:rPr>
                <w:rFonts w:ascii="Arial" w:cs="Arial" w:eastAsia="Arial" w:hAnsi="Arial"/>
                <w:sz w:val="18"/>
                <w:szCs w:val="18"/>
                <w:color w:val="auto"/>
              </w:rPr>
              <w:t>Patrick H. Hawkins</w:t>
            </w:r>
          </w:p>
        </w:tc>
        <w:tc>
          <w:tcPr>
            <w:tcW w:w="0" w:type="dxa"/>
            <w:vAlign w:val="bottom"/>
          </w:tcPr>
          <w:p>
            <w:pPr>
              <w:spacing w:after="0"/>
              <w:rPr>
                <w:sz w:val="1"/>
                <w:szCs w:val="1"/>
                <w:color w:val="auto"/>
              </w:rPr>
            </w:pPr>
          </w:p>
        </w:tc>
      </w:tr>
      <w:tr>
        <w:trPr>
          <w:trHeight w:val="216"/>
        </w:trPr>
        <w:tc>
          <w:tcPr>
            <w:tcW w:w="4860" w:type="dxa"/>
            <w:vAlign w:val="bottom"/>
            <w:vMerge w:val="restart"/>
          </w:tcPr>
          <w:p>
            <w:pPr>
              <w:spacing w:after="0"/>
              <w:rPr>
                <w:sz w:val="20"/>
                <w:szCs w:val="20"/>
                <w:color w:val="auto"/>
              </w:rPr>
            </w:pPr>
            <w:r>
              <w:rPr>
                <w:rFonts w:ascii="Arial" w:cs="Arial" w:eastAsia="Arial" w:hAnsi="Arial"/>
                <w:sz w:val="18"/>
                <w:szCs w:val="18"/>
                <w:color w:val="auto"/>
              </w:rPr>
              <w:t>January 30, 2013</w:t>
            </w:r>
          </w:p>
        </w:tc>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20" w:type="dxa"/>
            <w:vAlign w:val="bottom"/>
            <w:gridSpan w:val="3"/>
          </w:tcPr>
          <w:p>
            <w:pPr>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03"/>
        </w:trPr>
        <w:tc>
          <w:tcPr>
            <w:tcW w:w="4860" w:type="dxa"/>
            <w:vAlign w:val="bottom"/>
            <w:vMerge w:val="continue"/>
          </w:tcPr>
          <w:p>
            <w:pPr>
              <w:spacing w:after="0"/>
              <w:rPr>
                <w:sz w:val="17"/>
                <w:szCs w:val="17"/>
                <w:color w:val="auto"/>
              </w:rPr>
            </w:pPr>
          </w:p>
        </w:tc>
        <w:tc>
          <w:tcPr>
            <w:tcW w:w="3340" w:type="dxa"/>
            <w:vAlign w:val="bottom"/>
          </w:tcPr>
          <w:p>
            <w:pPr>
              <w:spacing w:after="0"/>
              <w:rPr>
                <w:sz w:val="17"/>
                <w:szCs w:val="17"/>
                <w:color w:val="auto"/>
              </w:rPr>
            </w:pPr>
          </w:p>
        </w:tc>
        <w:tc>
          <w:tcPr>
            <w:tcW w:w="27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612/617-8524</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860" w:type="dxa"/>
            <w:vAlign w:val="bottom"/>
          </w:tcPr>
          <w:p>
            <w:pPr>
              <w:spacing w:after="0" w:line="197" w:lineRule="exact"/>
              <w:rPr>
                <w:sz w:val="20"/>
                <w:szCs w:val="20"/>
                <w:color w:val="auto"/>
              </w:rPr>
            </w:pPr>
            <w:r>
              <w:rPr>
                <w:rFonts w:ascii="Arial" w:cs="Arial" w:eastAsia="Arial" w:hAnsi="Arial"/>
                <w:sz w:val="18"/>
                <w:szCs w:val="18"/>
                <w:color w:val="auto"/>
              </w:rPr>
              <w:t>Hawkins, Inc.</w:t>
            </w:r>
          </w:p>
        </w:tc>
        <w:tc>
          <w:tcPr>
            <w:tcW w:w="3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20" w:type="dxa"/>
            <w:vAlign w:val="bottom"/>
            <w:gridSpan w:val="3"/>
          </w:tcPr>
          <w:p>
            <w:pPr>
              <w:spacing w:after="0" w:line="197" w:lineRule="exact"/>
              <w:rPr>
                <w:sz w:val="20"/>
                <w:szCs w:val="20"/>
                <w:color w:val="auto"/>
              </w:rPr>
            </w:pPr>
            <w:r>
              <w:rPr>
                <w:rFonts w:ascii="Arial" w:cs="Arial" w:eastAsia="Arial" w:hAnsi="Arial"/>
                <w:sz w:val="18"/>
                <w:szCs w:val="18"/>
                <w:color w:val="auto"/>
              </w:rPr>
              <w:t>Patrick.Hawkins@HawkinsInc.com</w:t>
            </w:r>
          </w:p>
        </w:tc>
        <w:tc>
          <w:tcPr>
            <w:tcW w:w="0" w:type="dxa"/>
            <w:vAlign w:val="bottom"/>
          </w:tcPr>
          <w:p>
            <w:pPr>
              <w:spacing w:after="0"/>
              <w:rPr>
                <w:sz w:val="1"/>
                <w:szCs w:val="1"/>
                <w:color w:val="auto"/>
              </w:rPr>
            </w:pPr>
          </w:p>
        </w:tc>
      </w:tr>
      <w:tr>
        <w:trPr>
          <w:trHeight w:val="215"/>
        </w:trPr>
        <w:tc>
          <w:tcPr>
            <w:tcW w:w="4860" w:type="dxa"/>
            <w:vAlign w:val="bottom"/>
          </w:tcPr>
          <w:p>
            <w:pPr>
              <w:spacing w:after="0"/>
              <w:rPr>
                <w:sz w:val="20"/>
                <w:szCs w:val="20"/>
                <w:color w:val="auto"/>
              </w:rPr>
            </w:pPr>
            <w:r>
              <w:rPr>
                <w:rFonts w:ascii="Arial" w:cs="Arial" w:eastAsia="Arial" w:hAnsi="Arial"/>
                <w:sz w:val="18"/>
                <w:szCs w:val="18"/>
                <w:color w:val="auto"/>
              </w:rPr>
              <w:t>3100 East Hennepin Avenue</w:t>
            </w:r>
          </w:p>
        </w:tc>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Minneapolis, MN 55413</w:t>
            </w:r>
          </w:p>
        </w:tc>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20" w:type="dxa"/>
            <w:vAlign w:val="bottom"/>
            <w:gridSpan w:val="3"/>
          </w:tcPr>
          <w:p>
            <w:pPr>
              <w:spacing w:after="0"/>
              <w:rPr>
                <w:sz w:val="20"/>
                <w:szCs w:val="20"/>
                <w:color w:val="auto"/>
              </w:rPr>
            </w:pPr>
            <w:r>
              <w:rPr>
                <w:rFonts w:ascii="Arial" w:cs="Arial" w:eastAsia="Arial" w:hAnsi="Arial"/>
                <w:sz w:val="18"/>
                <w:szCs w:val="18"/>
                <w:color w:val="auto"/>
              </w:rPr>
              <w:t>Kathleen P. Pepski</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20" w:type="dxa"/>
            <w:vAlign w:val="bottom"/>
            <w:gridSpan w:val="3"/>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700" w:type="dxa"/>
            <w:vAlign w:val="bottom"/>
            <w:gridSpan w:val="2"/>
          </w:tcPr>
          <w:p>
            <w:pPr>
              <w:ind w:left="200"/>
              <w:spacing w:after="0"/>
              <w:rPr>
                <w:sz w:val="20"/>
                <w:szCs w:val="20"/>
                <w:color w:val="auto"/>
              </w:rPr>
            </w:pPr>
            <w:r>
              <w:rPr>
                <w:rFonts w:ascii="Arial" w:cs="Arial" w:eastAsia="Arial" w:hAnsi="Arial"/>
                <w:sz w:val="18"/>
                <w:szCs w:val="18"/>
                <w:color w:val="auto"/>
              </w:rPr>
              <w:t>612/617-8571</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486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00" w:type="dxa"/>
            <w:vAlign w:val="bottom"/>
            <w:tcBorders>
              <w:bottom w:val="single" w:sz="8" w:color="auto"/>
            </w:tcBorders>
          </w:tcPr>
          <w:p>
            <w:pPr>
              <w:spacing w:after="0" w:line="184" w:lineRule="exact"/>
              <w:rPr>
                <w:sz w:val="20"/>
                <w:szCs w:val="20"/>
                <w:color w:val="auto"/>
              </w:rPr>
            </w:pPr>
            <w:r>
              <w:rPr>
                <w:rFonts w:ascii="Arial" w:cs="Arial" w:eastAsia="Arial" w:hAnsi="Arial"/>
                <w:sz w:val="18"/>
                <w:szCs w:val="18"/>
                <w:color w:val="auto"/>
                <w:w w:val="88"/>
              </w:rPr>
              <w:t>Kathleen.Pepski@HawkinsInc.com</w:t>
            </w:r>
          </w:p>
        </w:tc>
        <w:tc>
          <w:tcPr>
            <w:tcW w:w="5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 REPORTS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QUARTER, NINE MONTHS FISCAL 2013 RESULTS</w:t>
      </w:r>
    </w:p>
    <w:p>
      <w:pPr>
        <w:spacing w:after="0" w:line="16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Minneapolis, MN, January 30, 2013 – Hawkins, Inc. (Nasdaq: HWKN) today announced third quarter and nine months results for fiscal 2013. Sales of $85.5 million for the quarter ended December 30, 2012 represented an increase of 1.6% from $84.2 million in sales for the same period of the prior year. Adjusted net income from continuing operations was $5.8 million, or $0.56 per share, fully diluted. Adjusted net income from continuing operations for the three months ended December 30, 2012 excludes a pre-tax charge of $7.2 million (approximately $4.5 million after tax, or $0.43 per share, fully diluted) related to our anticipated withdrawal from a collectively bargained multiemployer pension plan during the third quarter of fiscal 2013. Including the pension withdrawal charge, net income from continuing operations for the third quarter of fiscal 2013 was $1.3 million, or $0.13 per share, fully diluted, compared to net income from continuing operations for the same period of fiscal 2012 of $5.3 million, or $0.51 per share, fully diluted (see reconciliation table).</w:t>
      </w:r>
    </w:p>
    <w:p>
      <w:pPr>
        <w:spacing w:after="0" w:line="118"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For the nine months ended December 30, 2012, Hawkins, Inc. reported sales of $262.8 million as compared to sales of $260.6 million for the same period a year ago. Adjusted net income from continuing operations for the first nine months of fiscal 2013 was $19.4 million, or $1.85 per share, fully diluted, compared to adjusted net income from continuing operations of $18.4 million or $1.76 per share, fully diluted, for the first nine months of fiscal 2012. Fiscal 2013 adjusted earnings exclude pretax charges totaling $10.4 million (approximately $6.5 million after tax, or $0.62 per share, fully diluted), consisting of the pension withdrawal charge as well as a previously announced litigation settlement charge. Including these charges, net income from continuing operations for the first nine months of fiscal 2013 was $12.9 million, or $1.23 per share, fully diluted (see reconciliation table).</w:t>
      </w:r>
    </w:p>
    <w:p>
      <w:pPr>
        <w:spacing w:after="0" w:line="12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“While we enjoyed significant sales growth in our Water Treatment segment, increased sales of lower-margin commodity products negatively impacted our margins,” said Patrick Hawkins, Chief Executive Officer and President. “Recognizing that our business has gone through similar cycles in the past, our Industrial segment continued to experience heightened competition, resulting in slightly lower sales and margins compared to the prior year.” Mr. Hawkins continued, “We also recorded a charge that negatively impacted our results for the quarter related to our anticipated withdrawal from a collectively bargained multiemployer pension plan. The liability had increased significantly over the last few years, and we are pleased that our withdrawal will help to mitigate that risk going forward. In addition, we are excited that the build-out of our new Rosemount facility is progressing well and we continue to target the end of fiscal 2013 for the start of production at this site.”</w:t>
      </w:r>
    </w:p>
    <w:p>
      <w:pPr>
        <w:spacing w:after="0" w:line="14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For the quarter, Industrial segment sales were $63.1 million, a decrease of 1.0% from third quarter fiscal 2012 sales of $63.7 million. The decrease was primarily due to a shift in product mix to more bulk products, which carry lower per-unit selling prices. Water Treatment segment sales were $22.4 million for the quarter, an increase of 9.8% over last year’s third quarter sales of $20.4 million. The increase in sales was primarily due to volume growth of lower-priced commodity products.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20"/>
          </w:cols>
          <w:pgMar w:left="240" w:top="13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HAWKINS, INC. REPORTS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NINE MONTHS FISCAL 2013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30,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151" w:lineRule="exact"/>
        <w:rPr>
          <w:sz w:val="20"/>
          <w:szCs w:val="20"/>
          <w:color w:val="auto"/>
        </w:rPr>
      </w:pPr>
    </w:p>
    <w:p>
      <w:pPr>
        <w:jc w:val="both"/>
        <w:ind w:right="60"/>
        <w:spacing w:after="0" w:line="284" w:lineRule="auto"/>
        <w:rPr>
          <w:sz w:val="20"/>
          <w:szCs w:val="20"/>
          <w:color w:val="auto"/>
        </w:rPr>
      </w:pPr>
      <w:r>
        <w:rPr>
          <w:rFonts w:ascii="Arial" w:cs="Arial" w:eastAsia="Arial" w:hAnsi="Arial"/>
          <w:sz w:val="16"/>
          <w:szCs w:val="16"/>
          <w:color w:val="auto"/>
        </w:rPr>
        <w:t>Company-wide gross profit for the quarter was $8.1 million, or 9.5% of sales, compared to $15.7 million, or 18.6% of sales, for the same period in the prior year. Gross profit was negatively impacted primarily by the pension withdrawal charge of $7.2 million. The LIFO method of valuing inventory decreased gross profit by $0.1 million for the three months ended December 30, 2012 whereas it increased gross profit by $0.6 million for the three months ended January 1, 2012.</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Gross profit for the Industrial segment was $2.6 million, or 4.2% of sales, for the quarter, as compared to $10.2 million, or 16.0% of sales, for the same period in fiscal 2012. Gross profit in this segment was negatively impacted primarily by the pension withdrawal charge and by incremental expenses of $0.3 million related to the new Rosemount facility. Gross profit for the Water Treatment segment was $5.5 million, or 24.5% of sales, for the quarter, as compared to $5.5 million, or 26.8% of sales, for the same period in fiscal 2012. Gross profit as a percentage of sales for this segment was negatively impacted by a shift in product mix to sales of more lower-margin commodity products.</w:t>
      </w:r>
    </w:p>
    <w:p>
      <w:pPr>
        <w:spacing w:after="0" w:line="14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Company-wide SG&amp;A expenses of $7.6 million increased $0.5 million for the quarter as compared to the same period of the prior year primarily as a result of higher selling costs due to additional sales staff expenses.</w:t>
      </w:r>
    </w:p>
    <w:p>
      <w:pPr>
        <w:spacing w:after="0" w:line="132"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Our effective income tax rate was 33.4% for the nine months ended December 30, 2012, compared to 38.0% for the nine months ended January 1, 2012. The effective tax rate is generally impacted by projected levels of taxable income, permanent items, and state taxes. The reduction in our effective tax rate in the current fiscal year is primarily due to a $0.8 million non-recurring increase in the benefits recorded related to the domestic manufacturing deduction and investment tax credits.</w:t>
      </w:r>
    </w:p>
    <w:p>
      <w:pPr>
        <w:spacing w:after="0" w:line="14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Hawkins, Inc. distributes, blends and manufactures bulk and specialty chemicals for its customers in a wide variety of industries. Headquartered in Minneapolis, Minnesota, and with 25 facilities in 13 states, the Company creates value for its customers through superb customer service and support, quality products and personalized applications.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Reconciliation of Non-GAAP Financial Measures</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reports its consolidated financial results in accordance with U.S. generally accepted accounting principles (GAAP). To assist investors in understanding the Company’s financial performance between periods, the Company has provided certain non-GAAP financial measures, including adjusted net income from continuing operations and adjusted diluted earnings per share. These non-GAAP financial measures are not meant to be considered in isolation or as a substitute for comparable GAAP measures. The method we use to produce non-GAAP results is not computed according to GAAP and may differ from the methods used by other companies.</w:t>
      </w:r>
    </w:p>
    <w:p>
      <w:pPr>
        <w:spacing w:after="0" w:line="143"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Management uses these non-GAAP financial measures internally to understand, manage and evaluate our business and to make operating decisions. Management believes that these non-GAAP financial measures reflect an additional way of viewing aspects of the Company’s operations that, when viewed with our GAAP results, provides a more complete understanding of the factors and trends affecting our financial condition and results of operations.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00"/>
          </w:cols>
          <w:pgMar w:left="240" w:top="274"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HAWKINS, INC. REPORTS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NINE MONTHS FISCAL 2013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30,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Three.</w:t>
      </w:r>
    </w:p>
    <w:p>
      <w:pPr>
        <w:spacing w:after="0" w:line="15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 reconciliation of each non-GAAP financial measure used in this release to its most directly comparable financial measure calculated in accordance with GAAP is presented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60" w:type="dxa"/>
            <w:vAlign w:val="bottom"/>
            <w:gridSpan w:val="12"/>
          </w:tcPr>
          <w:p>
            <w:pPr>
              <w:jc w:val="right"/>
              <w:spacing w:after="0"/>
              <w:rPr>
                <w:sz w:val="20"/>
                <w:szCs w:val="20"/>
                <w:color w:val="auto"/>
              </w:rPr>
            </w:pPr>
            <w:r>
              <w:rPr>
                <w:rFonts w:ascii="Arial" w:cs="Arial" w:eastAsia="Arial" w:hAnsi="Arial"/>
                <w:sz w:val="14"/>
                <w:szCs w:val="14"/>
                <w:b w:val="1"/>
                <w:bCs w:val="1"/>
                <w:color w:val="auto"/>
                <w:w w:val="86"/>
              </w:rPr>
              <w:t>Three months ended December 30, 2012</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40" w:type="dxa"/>
            <w:vAlign w:val="bottom"/>
            <w:gridSpan w:val="10"/>
          </w:tcPr>
          <w:p>
            <w:pPr>
              <w:ind w:left="240"/>
              <w:spacing w:after="0"/>
              <w:rPr>
                <w:sz w:val="20"/>
                <w:szCs w:val="20"/>
                <w:color w:val="auto"/>
              </w:rPr>
            </w:pPr>
            <w:r>
              <w:rPr>
                <w:rFonts w:ascii="Arial" w:cs="Arial" w:eastAsia="Arial" w:hAnsi="Arial"/>
                <w:sz w:val="14"/>
                <w:szCs w:val="14"/>
                <w:b w:val="1"/>
                <w:bCs w:val="1"/>
                <w:color w:val="auto"/>
              </w:rPr>
              <w:t>Three months ended January 1, 2012</w:t>
            </w:r>
          </w:p>
        </w:tc>
        <w:tc>
          <w:tcPr>
            <w:tcW w:w="0" w:type="dxa"/>
            <w:vAlign w:val="bottom"/>
          </w:tcPr>
          <w:p>
            <w:pPr>
              <w:spacing w:after="0"/>
              <w:rPr>
                <w:sz w:val="1"/>
                <w:szCs w:val="1"/>
                <w:color w:val="auto"/>
              </w:rPr>
            </w:pPr>
          </w:p>
        </w:tc>
      </w:tr>
      <w:tr>
        <w:trPr>
          <w:trHeight w:val="131"/>
        </w:trPr>
        <w:tc>
          <w:tcPr>
            <w:tcW w:w="4720" w:type="dxa"/>
            <w:vAlign w:val="bottom"/>
          </w:tcPr>
          <w:p>
            <w:pPr>
              <w:spacing w:after="0"/>
              <w:rPr>
                <w:sz w:val="11"/>
                <w:szCs w:val="11"/>
                <w:color w:val="auto"/>
              </w:rPr>
            </w:pPr>
          </w:p>
        </w:tc>
        <w:tc>
          <w:tcPr>
            <w:tcW w:w="1240" w:type="dxa"/>
            <w:vAlign w:val="bottom"/>
            <w:tcBorders>
              <w:top w:val="single" w:sz="8" w:color="auto"/>
            </w:tcBorders>
            <w:gridSpan w:val="6"/>
          </w:tcPr>
          <w:p>
            <w:pPr>
              <w:jc w:val="center"/>
              <w:ind w:right="460"/>
              <w:spacing w:after="0" w:line="131" w:lineRule="exact"/>
              <w:rPr>
                <w:sz w:val="20"/>
                <w:szCs w:val="20"/>
                <w:color w:val="auto"/>
              </w:rPr>
            </w:pPr>
            <w:r>
              <w:rPr>
                <w:rFonts w:ascii="Arial" w:cs="Arial" w:eastAsia="Arial" w:hAnsi="Arial"/>
                <w:sz w:val="14"/>
                <w:szCs w:val="14"/>
                <w:color w:val="auto"/>
                <w:w w:val="89"/>
              </w:rPr>
              <w:t>Income from</w:t>
            </w:r>
          </w:p>
        </w:tc>
        <w:tc>
          <w:tcPr>
            <w:tcW w:w="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Borders>
              <w:top w:val="single" w:sz="8" w:color="auto"/>
            </w:tcBorders>
            <w:gridSpan w:val="5"/>
          </w:tcPr>
          <w:p>
            <w:pPr>
              <w:jc w:val="center"/>
              <w:ind w:right="460"/>
              <w:spacing w:after="0" w:line="131" w:lineRule="exact"/>
              <w:rPr>
                <w:sz w:val="20"/>
                <w:szCs w:val="20"/>
                <w:color w:val="auto"/>
              </w:rPr>
            </w:pPr>
            <w:r>
              <w:rPr>
                <w:rFonts w:ascii="Arial" w:cs="Arial" w:eastAsia="Arial" w:hAnsi="Arial"/>
                <w:sz w:val="14"/>
                <w:szCs w:val="14"/>
                <w:color w:val="auto"/>
                <w:w w:val="89"/>
              </w:rPr>
              <w:t>Income from</w:t>
            </w: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5"/>
          </w:tcPr>
          <w:p>
            <w:pPr>
              <w:jc w:val="center"/>
              <w:ind w:right="560"/>
              <w:spacing w:after="0" w:line="149" w:lineRule="exact"/>
              <w:rPr>
                <w:sz w:val="20"/>
                <w:szCs w:val="20"/>
                <w:color w:val="auto"/>
              </w:rPr>
            </w:pPr>
            <w:r>
              <w:rPr>
                <w:rFonts w:ascii="Arial" w:cs="Arial" w:eastAsia="Arial" w:hAnsi="Arial"/>
                <w:sz w:val="14"/>
                <w:szCs w:val="14"/>
                <w:color w:val="auto"/>
                <w:w w:val="90"/>
              </w:rPr>
              <w:t>continuing</w:t>
            </w:r>
          </w:p>
        </w:tc>
        <w:tc>
          <w:tcPr>
            <w:tcW w:w="1160" w:type="dxa"/>
            <w:vAlign w:val="bottom"/>
            <w:gridSpan w:val="6"/>
          </w:tcPr>
          <w:p>
            <w:pPr>
              <w:jc w:val="right"/>
              <w:ind w:right="460"/>
              <w:spacing w:after="0" w:line="149" w:lineRule="exact"/>
              <w:rPr>
                <w:sz w:val="20"/>
                <w:szCs w:val="20"/>
                <w:color w:val="auto"/>
              </w:rPr>
            </w:pPr>
            <w:r>
              <w:rPr>
                <w:rFonts w:ascii="Arial" w:cs="Arial" w:eastAsia="Arial" w:hAnsi="Arial"/>
                <w:sz w:val="14"/>
                <w:szCs w:val="14"/>
                <w:color w:val="auto"/>
                <w:w w:val="87"/>
              </w:rPr>
              <w:t>Income from</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5"/>
          </w:tcPr>
          <w:p>
            <w:pPr>
              <w:jc w:val="center"/>
              <w:ind w:right="460"/>
              <w:spacing w:after="0" w:line="149" w:lineRule="exact"/>
              <w:rPr>
                <w:sz w:val="20"/>
                <w:szCs w:val="20"/>
                <w:color w:val="auto"/>
              </w:rPr>
            </w:pPr>
            <w:r>
              <w:rPr>
                <w:rFonts w:ascii="Arial" w:cs="Arial" w:eastAsia="Arial" w:hAnsi="Arial"/>
                <w:sz w:val="14"/>
                <w:szCs w:val="14"/>
                <w:color w:val="auto"/>
                <w:w w:val="90"/>
              </w:rPr>
              <w:t>continuing</w:t>
            </w:r>
          </w:p>
        </w:tc>
        <w:tc>
          <w:tcPr>
            <w:tcW w:w="1180" w:type="dxa"/>
            <w:vAlign w:val="bottom"/>
            <w:gridSpan w:val="4"/>
          </w:tcPr>
          <w:p>
            <w:pPr>
              <w:jc w:val="right"/>
              <w:ind w:right="460"/>
              <w:spacing w:after="0" w:line="149" w:lineRule="exact"/>
              <w:rPr>
                <w:sz w:val="20"/>
                <w:szCs w:val="20"/>
                <w:color w:val="auto"/>
              </w:rPr>
            </w:pPr>
            <w:r>
              <w:rPr>
                <w:rFonts w:ascii="Arial" w:cs="Arial" w:eastAsia="Arial" w:hAnsi="Arial"/>
                <w:sz w:val="14"/>
                <w:szCs w:val="14"/>
                <w:color w:val="auto"/>
                <w:w w:val="89"/>
              </w:rPr>
              <w:t>Income from</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5"/>
          </w:tcPr>
          <w:p>
            <w:pPr>
              <w:jc w:val="center"/>
              <w:ind w:right="540"/>
              <w:spacing w:after="0" w:line="149" w:lineRule="exact"/>
              <w:rPr>
                <w:sz w:val="20"/>
                <w:szCs w:val="20"/>
                <w:color w:val="auto"/>
              </w:rPr>
            </w:pPr>
            <w:r>
              <w:rPr>
                <w:rFonts w:ascii="Arial" w:cs="Arial" w:eastAsia="Arial" w:hAnsi="Arial"/>
                <w:sz w:val="14"/>
                <w:szCs w:val="14"/>
                <w:color w:val="auto"/>
                <w:w w:val="85"/>
              </w:rPr>
              <w:t>operations</w:t>
            </w:r>
          </w:p>
        </w:tc>
        <w:tc>
          <w:tcPr>
            <w:tcW w:w="1160" w:type="dxa"/>
            <w:vAlign w:val="bottom"/>
            <w:gridSpan w:val="6"/>
          </w:tcPr>
          <w:p>
            <w:pPr>
              <w:jc w:val="center"/>
              <w:ind w:right="460"/>
              <w:spacing w:after="0" w:line="149" w:lineRule="exact"/>
              <w:rPr>
                <w:sz w:val="20"/>
                <w:szCs w:val="20"/>
                <w:color w:val="auto"/>
              </w:rPr>
            </w:pPr>
            <w:r>
              <w:rPr>
                <w:rFonts w:ascii="Arial" w:cs="Arial" w:eastAsia="Arial" w:hAnsi="Arial"/>
                <w:sz w:val="14"/>
                <w:szCs w:val="14"/>
                <w:color w:val="auto"/>
                <w:w w:val="90"/>
              </w:rPr>
              <w:t>continuing</w:t>
            </w:r>
          </w:p>
        </w:tc>
        <w:tc>
          <w:tcPr>
            <w:tcW w:w="860" w:type="dxa"/>
            <w:vAlign w:val="bottom"/>
            <w:gridSpan w:val="4"/>
          </w:tcPr>
          <w:p>
            <w:pPr>
              <w:jc w:val="right"/>
              <w:ind w:right="320"/>
              <w:spacing w:after="0" w:line="149" w:lineRule="exact"/>
              <w:rPr>
                <w:sz w:val="20"/>
                <w:szCs w:val="20"/>
                <w:color w:val="auto"/>
              </w:rPr>
            </w:pPr>
            <w:r>
              <w:rPr>
                <w:rFonts w:ascii="Arial" w:cs="Arial" w:eastAsia="Arial" w:hAnsi="Arial"/>
                <w:sz w:val="14"/>
                <w:szCs w:val="14"/>
                <w:color w:val="auto"/>
              </w:rPr>
              <w:t>Diluted</w:t>
            </w:r>
          </w:p>
        </w:tc>
        <w:tc>
          <w:tcPr>
            <w:tcW w:w="260" w:type="dxa"/>
            <w:vAlign w:val="bottom"/>
          </w:tcPr>
          <w:p>
            <w:pPr>
              <w:spacing w:after="0"/>
              <w:rPr>
                <w:sz w:val="12"/>
                <w:szCs w:val="12"/>
                <w:color w:val="auto"/>
              </w:rPr>
            </w:pPr>
          </w:p>
        </w:tc>
        <w:tc>
          <w:tcPr>
            <w:tcW w:w="1240" w:type="dxa"/>
            <w:vAlign w:val="bottom"/>
            <w:gridSpan w:val="5"/>
          </w:tcPr>
          <w:p>
            <w:pPr>
              <w:jc w:val="center"/>
              <w:ind w:right="440"/>
              <w:spacing w:after="0" w:line="149" w:lineRule="exact"/>
              <w:rPr>
                <w:sz w:val="20"/>
                <w:szCs w:val="20"/>
                <w:color w:val="auto"/>
              </w:rPr>
            </w:pPr>
            <w:r>
              <w:rPr>
                <w:rFonts w:ascii="Arial" w:cs="Arial" w:eastAsia="Arial" w:hAnsi="Arial"/>
                <w:sz w:val="14"/>
                <w:szCs w:val="14"/>
                <w:color w:val="auto"/>
                <w:w w:val="85"/>
              </w:rPr>
              <w:t>operations</w:t>
            </w:r>
          </w:p>
        </w:tc>
        <w:tc>
          <w:tcPr>
            <w:tcW w:w="1180" w:type="dxa"/>
            <w:vAlign w:val="bottom"/>
            <w:gridSpan w:val="4"/>
          </w:tcPr>
          <w:p>
            <w:pPr>
              <w:ind w:left="80"/>
              <w:spacing w:after="0" w:line="149" w:lineRule="exact"/>
              <w:rPr>
                <w:sz w:val="20"/>
                <w:szCs w:val="20"/>
                <w:color w:val="auto"/>
              </w:rPr>
            </w:pPr>
            <w:r>
              <w:rPr>
                <w:rFonts w:ascii="Arial" w:cs="Arial" w:eastAsia="Arial" w:hAnsi="Arial"/>
                <w:sz w:val="14"/>
                <w:szCs w:val="14"/>
                <w:color w:val="auto"/>
              </w:rPr>
              <w:t>continuing</w:t>
            </w:r>
          </w:p>
        </w:tc>
        <w:tc>
          <w:tcPr>
            <w:tcW w:w="8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6"/>
              </w:rPr>
              <w:t>Diluted</w:t>
            </w: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240" w:type="dxa"/>
            <w:vAlign w:val="bottom"/>
            <w:gridSpan w:val="6"/>
          </w:tcPr>
          <w:p>
            <w:pPr>
              <w:jc w:val="center"/>
              <w:ind w:right="460"/>
              <w:spacing w:after="0" w:line="149" w:lineRule="exact"/>
              <w:rPr>
                <w:sz w:val="20"/>
                <w:szCs w:val="20"/>
                <w:color w:val="auto"/>
              </w:rPr>
            </w:pPr>
            <w:r>
              <w:rPr>
                <w:rFonts w:ascii="Arial" w:cs="Arial" w:eastAsia="Arial" w:hAnsi="Arial"/>
                <w:sz w:val="14"/>
                <w:szCs w:val="14"/>
                <w:color w:val="auto"/>
                <w:w w:val="87"/>
              </w:rPr>
              <w:t>before income</w:t>
            </w:r>
          </w:p>
        </w:tc>
        <w:tc>
          <w:tcPr>
            <w:tcW w:w="1160" w:type="dxa"/>
            <w:vAlign w:val="bottom"/>
            <w:gridSpan w:val="6"/>
          </w:tcPr>
          <w:p>
            <w:pPr>
              <w:jc w:val="center"/>
              <w:ind w:right="480"/>
              <w:spacing w:after="0" w:line="149" w:lineRule="exact"/>
              <w:rPr>
                <w:sz w:val="20"/>
                <w:szCs w:val="20"/>
                <w:color w:val="auto"/>
              </w:rPr>
            </w:pPr>
            <w:r>
              <w:rPr>
                <w:rFonts w:ascii="Arial" w:cs="Arial" w:eastAsia="Arial" w:hAnsi="Arial"/>
                <w:sz w:val="14"/>
                <w:szCs w:val="14"/>
                <w:color w:val="auto"/>
                <w:w w:val="86"/>
              </w:rPr>
              <w:t>operations,</w:t>
            </w:r>
          </w:p>
        </w:tc>
        <w:tc>
          <w:tcPr>
            <w:tcW w:w="860" w:type="dxa"/>
            <w:vAlign w:val="bottom"/>
            <w:gridSpan w:val="4"/>
          </w:tcPr>
          <w:p>
            <w:pPr>
              <w:spacing w:after="0" w:line="149" w:lineRule="exact"/>
              <w:rPr>
                <w:sz w:val="20"/>
                <w:szCs w:val="20"/>
                <w:color w:val="auto"/>
              </w:rPr>
            </w:pPr>
            <w:r>
              <w:rPr>
                <w:rFonts w:ascii="Arial" w:cs="Arial" w:eastAsia="Arial" w:hAnsi="Arial"/>
                <w:sz w:val="14"/>
                <w:szCs w:val="14"/>
                <w:color w:val="auto"/>
              </w:rPr>
              <w:t>earnings per</w:t>
            </w:r>
          </w:p>
        </w:tc>
        <w:tc>
          <w:tcPr>
            <w:tcW w:w="260" w:type="dxa"/>
            <w:vAlign w:val="bottom"/>
          </w:tcPr>
          <w:p>
            <w:pPr>
              <w:spacing w:after="0"/>
              <w:rPr>
                <w:sz w:val="12"/>
                <w:szCs w:val="12"/>
                <w:color w:val="auto"/>
              </w:rPr>
            </w:pPr>
          </w:p>
        </w:tc>
        <w:tc>
          <w:tcPr>
            <w:tcW w:w="1240" w:type="dxa"/>
            <w:vAlign w:val="bottom"/>
            <w:gridSpan w:val="5"/>
          </w:tcPr>
          <w:p>
            <w:pPr>
              <w:jc w:val="center"/>
              <w:ind w:right="460"/>
              <w:spacing w:after="0" w:line="149" w:lineRule="exact"/>
              <w:rPr>
                <w:sz w:val="20"/>
                <w:szCs w:val="20"/>
                <w:color w:val="auto"/>
              </w:rPr>
            </w:pPr>
            <w:r>
              <w:rPr>
                <w:rFonts w:ascii="Arial" w:cs="Arial" w:eastAsia="Arial" w:hAnsi="Arial"/>
                <w:sz w:val="14"/>
                <w:szCs w:val="14"/>
                <w:color w:val="auto"/>
                <w:w w:val="87"/>
              </w:rPr>
              <w:t>before income</w:t>
            </w:r>
          </w:p>
        </w:tc>
        <w:tc>
          <w:tcPr>
            <w:tcW w:w="1180" w:type="dxa"/>
            <w:vAlign w:val="bottom"/>
            <w:gridSpan w:val="4"/>
          </w:tcPr>
          <w:p>
            <w:pPr>
              <w:ind w:left="60"/>
              <w:spacing w:after="0" w:line="149" w:lineRule="exact"/>
              <w:rPr>
                <w:sz w:val="20"/>
                <w:szCs w:val="20"/>
                <w:color w:val="auto"/>
              </w:rPr>
            </w:pPr>
            <w:r>
              <w:rPr>
                <w:rFonts w:ascii="Arial" w:cs="Arial" w:eastAsia="Arial" w:hAnsi="Arial"/>
                <w:sz w:val="14"/>
                <w:szCs w:val="14"/>
                <w:color w:val="auto"/>
              </w:rPr>
              <w:t>operations,</w:t>
            </w:r>
          </w:p>
        </w:tc>
        <w:tc>
          <w:tcPr>
            <w:tcW w:w="760" w:type="dxa"/>
            <w:vAlign w:val="bottom"/>
            <w:gridSpan w:val="3"/>
          </w:tcPr>
          <w:p>
            <w:pPr>
              <w:spacing w:after="0" w:line="149" w:lineRule="exact"/>
              <w:rPr>
                <w:sz w:val="20"/>
                <w:szCs w:val="20"/>
                <w:color w:val="auto"/>
              </w:rPr>
            </w:pPr>
            <w:r>
              <w:rPr>
                <w:rFonts w:ascii="Arial" w:cs="Arial" w:eastAsia="Arial" w:hAnsi="Arial"/>
                <w:sz w:val="14"/>
                <w:szCs w:val="14"/>
                <w:color w:val="auto"/>
                <w:w w:val="95"/>
              </w:rPr>
              <w:t>earnings per</w:t>
            </w:r>
          </w:p>
        </w:tc>
        <w:tc>
          <w:tcPr>
            <w:tcW w:w="0" w:type="dxa"/>
            <w:vAlign w:val="bottom"/>
          </w:tcPr>
          <w:p>
            <w:pPr>
              <w:spacing w:after="0"/>
              <w:rPr>
                <w:sz w:val="1"/>
                <w:szCs w:val="1"/>
                <w:color w:val="auto"/>
              </w:rPr>
            </w:pPr>
          </w:p>
        </w:tc>
      </w:tr>
      <w:tr>
        <w:trPr>
          <w:trHeight w:val="159"/>
        </w:trPr>
        <w:tc>
          <w:tcPr>
            <w:tcW w:w="4720" w:type="dxa"/>
            <w:vAlign w:val="bottom"/>
          </w:tcPr>
          <w:p>
            <w:pPr>
              <w:spacing w:after="0" w:line="159" w:lineRule="exact"/>
              <w:rPr>
                <w:sz w:val="20"/>
                <w:szCs w:val="20"/>
                <w:color w:val="auto"/>
              </w:rPr>
            </w:pPr>
            <w:r>
              <w:rPr>
                <w:rFonts w:ascii="Arial" w:cs="Arial" w:eastAsia="Arial" w:hAnsi="Arial"/>
                <w:sz w:val="14"/>
                <w:szCs w:val="14"/>
                <w:i w:val="1"/>
                <w:iCs w:val="1"/>
                <w:color w:val="auto"/>
              </w:rPr>
              <w:t>(In thousands, except share and per share data)</w:t>
            </w:r>
          </w:p>
        </w:tc>
        <w:tc>
          <w:tcPr>
            <w:tcW w:w="100" w:type="dxa"/>
            <w:vAlign w:val="bottom"/>
          </w:tcPr>
          <w:p>
            <w:pPr>
              <w:spacing w:after="0"/>
              <w:rPr>
                <w:sz w:val="13"/>
                <w:szCs w:val="13"/>
                <w:color w:val="auto"/>
              </w:rPr>
            </w:pPr>
          </w:p>
        </w:tc>
        <w:tc>
          <w:tcPr>
            <w:tcW w:w="1140" w:type="dxa"/>
            <w:vAlign w:val="bottom"/>
            <w:gridSpan w:val="5"/>
          </w:tcPr>
          <w:p>
            <w:pPr>
              <w:jc w:val="center"/>
              <w:ind w:right="540"/>
              <w:spacing w:after="0" w:line="159" w:lineRule="exact"/>
              <w:rPr>
                <w:sz w:val="20"/>
                <w:szCs w:val="20"/>
                <w:color w:val="auto"/>
              </w:rPr>
            </w:pPr>
            <w:r>
              <w:rPr>
                <w:rFonts w:ascii="Arial" w:cs="Arial" w:eastAsia="Arial" w:hAnsi="Arial"/>
                <w:sz w:val="14"/>
                <w:szCs w:val="14"/>
                <w:color w:val="auto"/>
                <w:w w:val="83"/>
              </w:rPr>
              <w:t>taxes</w:t>
            </w:r>
          </w:p>
        </w:tc>
        <w:tc>
          <w:tcPr>
            <w:tcW w:w="80" w:type="dxa"/>
            <w:vAlign w:val="bottom"/>
          </w:tcPr>
          <w:p>
            <w:pPr>
              <w:spacing w:after="0"/>
              <w:rPr>
                <w:sz w:val="13"/>
                <w:szCs w:val="13"/>
                <w:color w:val="auto"/>
              </w:rPr>
            </w:pPr>
          </w:p>
        </w:tc>
        <w:tc>
          <w:tcPr>
            <w:tcW w:w="1080" w:type="dxa"/>
            <w:vAlign w:val="bottom"/>
            <w:gridSpan w:val="5"/>
          </w:tcPr>
          <w:p>
            <w:pPr>
              <w:jc w:val="center"/>
              <w:ind w:right="560"/>
              <w:spacing w:after="0" w:line="159" w:lineRule="exact"/>
              <w:rPr>
                <w:sz w:val="20"/>
                <w:szCs w:val="20"/>
                <w:color w:val="auto"/>
              </w:rPr>
            </w:pPr>
            <w:r>
              <w:rPr>
                <w:rFonts w:ascii="Arial" w:cs="Arial" w:eastAsia="Arial" w:hAnsi="Arial"/>
                <w:sz w:val="14"/>
                <w:szCs w:val="14"/>
                <w:color w:val="auto"/>
                <w:w w:val="90"/>
              </w:rPr>
              <w:t>net of tax</w:t>
            </w:r>
          </w:p>
        </w:tc>
        <w:tc>
          <w:tcPr>
            <w:tcW w:w="860" w:type="dxa"/>
            <w:vAlign w:val="bottom"/>
            <w:gridSpan w:val="4"/>
          </w:tcPr>
          <w:p>
            <w:pPr>
              <w:jc w:val="right"/>
              <w:ind w:right="300"/>
              <w:spacing w:after="0" w:line="159" w:lineRule="exact"/>
              <w:rPr>
                <w:sz w:val="20"/>
                <w:szCs w:val="20"/>
                <w:color w:val="auto"/>
              </w:rPr>
            </w:pPr>
            <w:r>
              <w:rPr>
                <w:rFonts w:ascii="Arial" w:cs="Arial" w:eastAsia="Arial" w:hAnsi="Arial"/>
                <w:sz w:val="14"/>
                <w:szCs w:val="14"/>
                <w:color w:val="auto"/>
                <w:w w:val="96"/>
              </w:rPr>
              <w:t>share (1)</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jc w:val="center"/>
              <w:ind w:right="680"/>
              <w:spacing w:after="0" w:line="159" w:lineRule="exact"/>
              <w:rPr>
                <w:sz w:val="20"/>
                <w:szCs w:val="20"/>
                <w:color w:val="auto"/>
              </w:rPr>
            </w:pPr>
            <w:r>
              <w:rPr>
                <w:rFonts w:ascii="Arial" w:cs="Arial" w:eastAsia="Arial" w:hAnsi="Arial"/>
                <w:sz w:val="14"/>
                <w:szCs w:val="14"/>
                <w:color w:val="auto"/>
                <w:w w:val="83"/>
              </w:rPr>
              <w:t>taxes</w:t>
            </w:r>
          </w:p>
        </w:tc>
        <w:tc>
          <w:tcPr>
            <w:tcW w:w="80" w:type="dxa"/>
            <w:vAlign w:val="bottom"/>
          </w:tcPr>
          <w:p>
            <w:pPr>
              <w:spacing w:after="0"/>
              <w:rPr>
                <w:sz w:val="13"/>
                <w:szCs w:val="13"/>
                <w:color w:val="auto"/>
              </w:rPr>
            </w:pPr>
          </w:p>
        </w:tc>
        <w:tc>
          <w:tcPr>
            <w:tcW w:w="1100" w:type="dxa"/>
            <w:vAlign w:val="bottom"/>
            <w:gridSpan w:val="3"/>
          </w:tcPr>
          <w:p>
            <w:pPr>
              <w:jc w:val="center"/>
              <w:ind w:right="540"/>
              <w:spacing w:after="0" w:line="159" w:lineRule="exact"/>
              <w:rPr>
                <w:sz w:val="20"/>
                <w:szCs w:val="20"/>
                <w:color w:val="auto"/>
              </w:rPr>
            </w:pPr>
            <w:r>
              <w:rPr>
                <w:rFonts w:ascii="Arial" w:cs="Arial" w:eastAsia="Arial" w:hAnsi="Arial"/>
                <w:sz w:val="14"/>
                <w:szCs w:val="14"/>
                <w:color w:val="auto"/>
                <w:w w:val="90"/>
              </w:rPr>
              <w:t>net of tax</w:t>
            </w:r>
          </w:p>
        </w:tc>
        <w:tc>
          <w:tcPr>
            <w:tcW w:w="80" w:type="dxa"/>
            <w:vAlign w:val="bottom"/>
          </w:tcPr>
          <w:p>
            <w:pPr>
              <w:spacing w:after="0"/>
              <w:rPr>
                <w:sz w:val="13"/>
                <w:szCs w:val="13"/>
                <w:color w:val="auto"/>
              </w:rPr>
            </w:pPr>
          </w:p>
        </w:tc>
        <w:tc>
          <w:tcPr>
            <w:tcW w:w="68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5"/>
              </w:rPr>
              <w:t>share (2)</w:t>
            </w: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Reported</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0.13</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79"/>
              </w:rPr>
              <w:t>8,542</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5,285</w:t>
            </w: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center"/>
              <w:ind w:left="199"/>
              <w:spacing w:after="0"/>
              <w:rPr>
                <w:sz w:val="20"/>
                <w:szCs w:val="20"/>
                <w:color w:val="auto"/>
              </w:rPr>
            </w:pPr>
            <w:r>
              <w:rPr>
                <w:rFonts w:ascii="Arial" w:cs="Arial" w:eastAsia="Arial" w:hAnsi="Arial"/>
                <w:sz w:val="18"/>
                <w:szCs w:val="18"/>
                <w:color w:val="auto"/>
                <w:w w:val="85"/>
              </w:rPr>
              <w:t>0.51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Add Impact of Litigation Settlement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680" w:type="dxa"/>
            <w:vAlign w:val="bottom"/>
            <w:gridSpan w:val="2"/>
          </w:tcPr>
          <w:p>
            <w:pPr>
              <w:jc w:val="center"/>
              <w:ind w:left="59"/>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Add Impact of Pension Withdrawal</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7,210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4,485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0.43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right w:val="single" w:sz="8" w:color="CCEEFF"/>
            </w:tcBorders>
            <w:shd w:val="clear" w:color="auto" w:fill="CCEEFF"/>
          </w:tcPr>
          <w:p>
            <w:pPr>
              <w:jc w:val="center"/>
              <w:ind w:left="34"/>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center"/>
              <w:ind w:left="159"/>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720" w:type="dxa"/>
            <w:vAlign w:val="bottom"/>
          </w:tcPr>
          <w:p>
            <w:pPr>
              <w:spacing w:after="0"/>
              <w:rPr>
                <w:sz w:val="20"/>
                <w:szCs w:val="20"/>
                <w:color w:val="auto"/>
              </w:rPr>
            </w:pPr>
            <w:r>
              <w:rPr>
                <w:rFonts w:ascii="Arial" w:cs="Arial" w:eastAsia="Arial" w:hAnsi="Arial"/>
                <w:sz w:val="18"/>
                <w:szCs w:val="18"/>
                <w:b w:val="1"/>
                <w:bCs w:val="1"/>
                <w:color w:val="auto"/>
              </w:rPr>
              <w:t>As Adjusted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7,754</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5,833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85"/>
              </w:rPr>
              <w:t>0.56</w:t>
            </w:r>
          </w:p>
        </w:tc>
        <w:tc>
          <w:tcPr>
            <w:tcW w:w="20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ind w:left="160"/>
              <w:spacing w:after="0"/>
              <w:rPr>
                <w:sz w:val="20"/>
                <w:szCs w:val="20"/>
                <w:color w:val="auto"/>
              </w:rPr>
            </w:pPr>
            <w:r>
              <w:rPr>
                <w:rFonts w:ascii="Arial" w:cs="Arial" w:eastAsia="Arial" w:hAnsi="Arial"/>
                <w:sz w:val="18"/>
                <w:szCs w:val="18"/>
                <w:color w:val="auto"/>
              </w:rPr>
              <w:t>8,542</w:t>
            </w:r>
          </w:p>
        </w:tc>
        <w:tc>
          <w:tcPr>
            <w:tcW w:w="3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5,285</w:t>
            </w:r>
          </w:p>
        </w:tc>
        <w:tc>
          <w:tcPr>
            <w:tcW w:w="40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center"/>
              <w:ind w:left="199"/>
              <w:spacing w:after="0"/>
              <w:rPr>
                <w:sz w:val="20"/>
                <w:szCs w:val="20"/>
                <w:color w:val="auto"/>
              </w:rPr>
            </w:pPr>
            <w:r>
              <w:rPr>
                <w:rFonts w:ascii="Arial" w:cs="Arial" w:eastAsia="Arial" w:hAnsi="Arial"/>
                <w:sz w:val="18"/>
                <w:szCs w:val="18"/>
                <w:color w:val="auto"/>
                <w:w w:val="85"/>
              </w:rPr>
              <w:t>0.51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4720" w:type="dxa"/>
            <w:vAlign w:val="bottom"/>
          </w:tcPr>
          <w:p>
            <w:pPr>
              <w:spacing w:after="0"/>
              <w:rPr>
                <w:sz w:val="20"/>
                <w:szCs w:val="20"/>
                <w:color w:val="auto"/>
              </w:rPr>
            </w:pPr>
            <w:r>
              <w:rPr>
                <w:rFonts w:ascii="Arial" w:cs="Arial" w:eastAsia="Arial" w:hAnsi="Arial"/>
                <w:sz w:val="18"/>
                <w:szCs w:val="18"/>
                <w:color w:val="auto"/>
                <w:w w:val="94"/>
              </w:rPr>
              <w:t>(1)   10,535,549 shares used in calculating earnings per share.</w:t>
            </w: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720" w:type="dxa"/>
            <w:vAlign w:val="bottom"/>
          </w:tcPr>
          <w:p>
            <w:pPr>
              <w:spacing w:after="0"/>
              <w:rPr>
                <w:sz w:val="20"/>
                <w:szCs w:val="20"/>
                <w:color w:val="auto"/>
              </w:rPr>
            </w:pPr>
            <w:r>
              <w:rPr>
                <w:rFonts w:ascii="Arial" w:cs="Arial" w:eastAsia="Arial" w:hAnsi="Arial"/>
                <w:sz w:val="18"/>
                <w:szCs w:val="18"/>
                <w:color w:val="auto"/>
                <w:w w:val="94"/>
              </w:rPr>
              <w:t>(2)   10,410,533 shares used in calculating earnings per share.</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4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gridSpan w:val="13"/>
          </w:tcPr>
          <w:p>
            <w:pPr>
              <w:jc w:val="right"/>
              <w:ind w:right="340"/>
              <w:spacing w:after="0"/>
              <w:rPr>
                <w:sz w:val="20"/>
                <w:szCs w:val="20"/>
                <w:color w:val="auto"/>
              </w:rPr>
            </w:pPr>
            <w:r>
              <w:rPr>
                <w:rFonts w:ascii="Arial" w:cs="Arial" w:eastAsia="Arial" w:hAnsi="Arial"/>
                <w:sz w:val="14"/>
                <w:szCs w:val="14"/>
                <w:b w:val="1"/>
                <w:bCs w:val="1"/>
                <w:color w:val="auto"/>
                <w:w w:val="94"/>
              </w:rPr>
              <w:t>Nine months ended December 30, 2012</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40" w:type="dxa"/>
            <w:vAlign w:val="bottom"/>
            <w:gridSpan w:val="10"/>
          </w:tcPr>
          <w:p>
            <w:pPr>
              <w:jc w:val="center"/>
              <w:ind w:right="200"/>
              <w:spacing w:after="0"/>
              <w:rPr>
                <w:sz w:val="20"/>
                <w:szCs w:val="20"/>
                <w:color w:val="auto"/>
              </w:rPr>
            </w:pPr>
            <w:r>
              <w:rPr>
                <w:rFonts w:ascii="Arial" w:cs="Arial" w:eastAsia="Arial" w:hAnsi="Arial"/>
                <w:sz w:val="14"/>
                <w:szCs w:val="14"/>
                <w:b w:val="1"/>
                <w:bCs w:val="1"/>
                <w:color w:val="auto"/>
                <w:w w:val="86"/>
              </w:rPr>
              <w:t>Nine months ended Janaury 1, 2012</w:t>
            </w:r>
          </w:p>
        </w:tc>
        <w:tc>
          <w:tcPr>
            <w:tcW w:w="0" w:type="dxa"/>
            <w:vAlign w:val="bottom"/>
          </w:tcPr>
          <w:p>
            <w:pPr>
              <w:spacing w:after="0"/>
              <w:rPr>
                <w:sz w:val="1"/>
                <w:szCs w:val="1"/>
                <w:color w:val="auto"/>
              </w:rPr>
            </w:pPr>
          </w:p>
        </w:tc>
      </w:tr>
      <w:tr>
        <w:trPr>
          <w:trHeight w:val="131"/>
        </w:trPr>
        <w:tc>
          <w:tcPr>
            <w:tcW w:w="4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Borders>
              <w:top w:val="single" w:sz="8" w:color="auto"/>
            </w:tcBorders>
            <w:gridSpan w:val="4"/>
          </w:tcPr>
          <w:p>
            <w:pPr>
              <w:jc w:val="center"/>
              <w:ind w:right="120"/>
              <w:spacing w:after="0" w:line="131" w:lineRule="exact"/>
              <w:rPr>
                <w:sz w:val="20"/>
                <w:szCs w:val="20"/>
                <w:color w:val="auto"/>
              </w:rPr>
            </w:pPr>
            <w:r>
              <w:rPr>
                <w:rFonts w:ascii="Arial" w:cs="Arial" w:eastAsia="Arial" w:hAnsi="Arial"/>
                <w:sz w:val="14"/>
                <w:szCs w:val="14"/>
                <w:color w:val="auto"/>
                <w:w w:val="89"/>
              </w:rPr>
              <w:t>Income from</w:t>
            </w:r>
          </w:p>
        </w:tc>
        <w:tc>
          <w:tcPr>
            <w:tcW w:w="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Borders>
              <w:top w:val="single" w:sz="8" w:color="auto"/>
            </w:tcBorders>
            <w:gridSpan w:val="4"/>
          </w:tcPr>
          <w:p>
            <w:pPr>
              <w:jc w:val="center"/>
              <w:ind w:right="320"/>
              <w:spacing w:after="0" w:line="131" w:lineRule="exact"/>
              <w:rPr>
                <w:sz w:val="20"/>
                <w:szCs w:val="20"/>
                <w:color w:val="auto"/>
              </w:rPr>
            </w:pPr>
            <w:r>
              <w:rPr>
                <w:rFonts w:ascii="Arial" w:cs="Arial" w:eastAsia="Arial" w:hAnsi="Arial"/>
                <w:sz w:val="14"/>
                <w:szCs w:val="14"/>
                <w:color w:val="auto"/>
                <w:w w:val="89"/>
              </w:rPr>
              <w:t>Income from</w:t>
            </w: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90"/>
              </w:rPr>
              <w:t>continuing</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4"/>
          </w:tcPr>
          <w:p>
            <w:pPr>
              <w:jc w:val="center"/>
              <w:ind w:right="200"/>
              <w:spacing w:after="0" w:line="149" w:lineRule="exact"/>
              <w:rPr>
                <w:sz w:val="20"/>
                <w:szCs w:val="20"/>
                <w:color w:val="auto"/>
              </w:rPr>
            </w:pPr>
            <w:r>
              <w:rPr>
                <w:rFonts w:ascii="Arial" w:cs="Arial" w:eastAsia="Arial" w:hAnsi="Arial"/>
                <w:sz w:val="14"/>
                <w:szCs w:val="14"/>
                <w:color w:val="auto"/>
                <w:w w:val="89"/>
              </w:rPr>
              <w:t>Income from</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420"/>
              <w:spacing w:after="0" w:line="149" w:lineRule="exact"/>
              <w:rPr>
                <w:sz w:val="20"/>
                <w:szCs w:val="20"/>
                <w:color w:val="auto"/>
              </w:rPr>
            </w:pPr>
            <w:r>
              <w:rPr>
                <w:rFonts w:ascii="Arial" w:cs="Arial" w:eastAsia="Arial" w:hAnsi="Arial"/>
                <w:sz w:val="14"/>
                <w:szCs w:val="14"/>
                <w:color w:val="auto"/>
                <w:w w:val="90"/>
              </w:rPr>
              <w:t>continuing</w:t>
            </w:r>
          </w:p>
        </w:tc>
        <w:tc>
          <w:tcPr>
            <w:tcW w:w="8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color w:val="auto"/>
              </w:rPr>
              <w:t>Income from</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88"/>
              </w:rPr>
              <w:t>operations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4"/>
          </w:tcPr>
          <w:p>
            <w:pPr>
              <w:jc w:val="center"/>
              <w:ind w:right="200"/>
              <w:spacing w:after="0" w:line="149" w:lineRule="exact"/>
              <w:rPr>
                <w:sz w:val="20"/>
                <w:szCs w:val="20"/>
                <w:color w:val="auto"/>
              </w:rPr>
            </w:pPr>
            <w:r>
              <w:rPr>
                <w:rFonts w:ascii="Arial" w:cs="Arial" w:eastAsia="Arial" w:hAnsi="Arial"/>
                <w:sz w:val="14"/>
                <w:szCs w:val="14"/>
                <w:color w:val="auto"/>
                <w:w w:val="90"/>
              </w:rPr>
              <w:t>continuing</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Diluted</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400"/>
              <w:spacing w:after="0" w:line="149" w:lineRule="exact"/>
              <w:rPr>
                <w:sz w:val="20"/>
                <w:szCs w:val="20"/>
                <w:color w:val="auto"/>
              </w:rPr>
            </w:pPr>
            <w:r>
              <w:rPr>
                <w:rFonts w:ascii="Arial" w:cs="Arial" w:eastAsia="Arial" w:hAnsi="Arial"/>
                <w:sz w:val="14"/>
                <w:szCs w:val="14"/>
                <w:color w:val="auto"/>
                <w:w w:val="85"/>
              </w:rPr>
              <w:t>operations</w:t>
            </w:r>
          </w:p>
        </w:tc>
        <w:tc>
          <w:tcPr>
            <w:tcW w:w="80" w:type="dxa"/>
            <w:vAlign w:val="bottom"/>
          </w:tcPr>
          <w:p>
            <w:pPr>
              <w:spacing w:after="0"/>
              <w:rPr>
                <w:sz w:val="12"/>
                <w:szCs w:val="12"/>
                <w:color w:val="auto"/>
              </w:rPr>
            </w:pPr>
          </w:p>
        </w:tc>
        <w:tc>
          <w:tcPr>
            <w:tcW w:w="110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w w:val="97"/>
              </w:rPr>
              <w:t>continuing</w:t>
            </w:r>
          </w:p>
        </w:tc>
        <w:tc>
          <w:tcPr>
            <w:tcW w:w="8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6"/>
              </w:rPr>
              <w:t>Diluted</w:t>
            </w: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4"/>
          </w:tcPr>
          <w:p>
            <w:pPr>
              <w:jc w:val="center"/>
              <w:ind w:right="120"/>
              <w:spacing w:after="0" w:line="149" w:lineRule="exact"/>
              <w:rPr>
                <w:sz w:val="20"/>
                <w:szCs w:val="20"/>
                <w:color w:val="auto"/>
              </w:rPr>
            </w:pPr>
            <w:r>
              <w:rPr>
                <w:rFonts w:ascii="Arial" w:cs="Arial" w:eastAsia="Arial" w:hAnsi="Arial"/>
                <w:sz w:val="14"/>
                <w:szCs w:val="14"/>
                <w:color w:val="auto"/>
                <w:w w:val="87"/>
              </w:rPr>
              <w:t>before income</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4"/>
          </w:tcPr>
          <w:p>
            <w:pPr>
              <w:jc w:val="center"/>
              <w:ind w:right="200"/>
              <w:spacing w:after="0" w:line="149" w:lineRule="exact"/>
              <w:rPr>
                <w:sz w:val="20"/>
                <w:szCs w:val="20"/>
                <w:color w:val="auto"/>
              </w:rPr>
            </w:pPr>
            <w:r>
              <w:rPr>
                <w:rFonts w:ascii="Arial" w:cs="Arial" w:eastAsia="Arial" w:hAnsi="Arial"/>
                <w:sz w:val="14"/>
                <w:szCs w:val="14"/>
                <w:color w:val="auto"/>
                <w:w w:val="83"/>
              </w:rPr>
              <w:t>operations,</w:t>
            </w:r>
          </w:p>
        </w:tc>
        <w:tc>
          <w:tcPr>
            <w:tcW w:w="200" w:type="dxa"/>
            <w:vAlign w:val="bottom"/>
          </w:tcPr>
          <w:p>
            <w:pPr>
              <w:spacing w:after="0"/>
              <w:rPr>
                <w:sz w:val="12"/>
                <w:szCs w:val="12"/>
                <w:color w:val="auto"/>
              </w:rPr>
            </w:pPr>
          </w:p>
        </w:tc>
        <w:tc>
          <w:tcPr>
            <w:tcW w:w="6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4"/>
              </w:rPr>
              <w:t>earnings per</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4"/>
          </w:tcPr>
          <w:p>
            <w:pPr>
              <w:jc w:val="center"/>
              <w:ind w:right="320"/>
              <w:spacing w:after="0" w:line="149" w:lineRule="exact"/>
              <w:rPr>
                <w:sz w:val="20"/>
                <w:szCs w:val="20"/>
                <w:color w:val="auto"/>
              </w:rPr>
            </w:pPr>
            <w:r>
              <w:rPr>
                <w:rFonts w:ascii="Arial" w:cs="Arial" w:eastAsia="Arial" w:hAnsi="Arial"/>
                <w:sz w:val="14"/>
                <w:szCs w:val="14"/>
                <w:color w:val="auto"/>
                <w:w w:val="87"/>
              </w:rPr>
              <w:t>before income</w:t>
            </w:r>
          </w:p>
        </w:tc>
        <w:tc>
          <w:tcPr>
            <w:tcW w:w="80" w:type="dxa"/>
            <w:vAlign w:val="bottom"/>
          </w:tcPr>
          <w:p>
            <w:pPr>
              <w:spacing w:after="0"/>
              <w:rPr>
                <w:sz w:val="12"/>
                <w:szCs w:val="12"/>
                <w:color w:val="auto"/>
              </w:rPr>
            </w:pPr>
          </w:p>
        </w:tc>
        <w:tc>
          <w:tcPr>
            <w:tcW w:w="110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w w:val="89"/>
              </w:rPr>
              <w:t>operations,</w:t>
            </w:r>
          </w:p>
        </w:tc>
        <w:tc>
          <w:tcPr>
            <w:tcW w:w="760" w:type="dxa"/>
            <w:vAlign w:val="bottom"/>
            <w:gridSpan w:val="3"/>
          </w:tcPr>
          <w:p>
            <w:pPr>
              <w:spacing w:after="0" w:line="149" w:lineRule="exact"/>
              <w:rPr>
                <w:sz w:val="20"/>
                <w:szCs w:val="20"/>
                <w:color w:val="auto"/>
              </w:rPr>
            </w:pPr>
            <w:r>
              <w:rPr>
                <w:rFonts w:ascii="Arial" w:cs="Arial" w:eastAsia="Arial" w:hAnsi="Arial"/>
                <w:sz w:val="14"/>
                <w:szCs w:val="14"/>
                <w:color w:val="auto"/>
                <w:w w:val="95"/>
              </w:rPr>
              <w:t>earnings per</w:t>
            </w:r>
          </w:p>
        </w:tc>
        <w:tc>
          <w:tcPr>
            <w:tcW w:w="0" w:type="dxa"/>
            <w:vAlign w:val="bottom"/>
          </w:tcPr>
          <w:p>
            <w:pPr>
              <w:spacing w:after="0"/>
              <w:rPr>
                <w:sz w:val="1"/>
                <w:szCs w:val="1"/>
                <w:color w:val="auto"/>
              </w:rPr>
            </w:pPr>
          </w:p>
        </w:tc>
      </w:tr>
      <w:tr>
        <w:trPr>
          <w:trHeight w:val="159"/>
        </w:trPr>
        <w:tc>
          <w:tcPr>
            <w:tcW w:w="4720" w:type="dxa"/>
            <w:vAlign w:val="bottom"/>
          </w:tcPr>
          <w:p>
            <w:pPr>
              <w:spacing w:after="0" w:line="159" w:lineRule="exact"/>
              <w:rPr>
                <w:sz w:val="20"/>
                <w:szCs w:val="20"/>
                <w:color w:val="auto"/>
              </w:rPr>
            </w:pPr>
            <w:r>
              <w:rPr>
                <w:rFonts w:ascii="Arial" w:cs="Arial" w:eastAsia="Arial" w:hAnsi="Arial"/>
                <w:sz w:val="14"/>
                <w:szCs w:val="14"/>
                <w:i w:val="1"/>
                <w:iCs w:val="1"/>
                <w:color w:val="auto"/>
              </w:rPr>
              <w:t>(In thousands, except share and per share data)</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3"/>
          </w:tcPr>
          <w:p>
            <w:pPr>
              <w:jc w:val="center"/>
              <w:ind w:right="220"/>
              <w:spacing w:after="0" w:line="159" w:lineRule="exact"/>
              <w:rPr>
                <w:sz w:val="20"/>
                <w:szCs w:val="20"/>
                <w:color w:val="auto"/>
              </w:rPr>
            </w:pPr>
            <w:r>
              <w:rPr>
                <w:rFonts w:ascii="Arial" w:cs="Arial" w:eastAsia="Arial" w:hAnsi="Arial"/>
                <w:sz w:val="14"/>
                <w:szCs w:val="14"/>
                <w:color w:val="auto"/>
                <w:w w:val="77"/>
              </w:rPr>
              <w:t>taxes</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3"/>
          </w:tcPr>
          <w:p>
            <w:pPr>
              <w:jc w:val="center"/>
              <w:ind w:right="300"/>
              <w:spacing w:after="0" w:line="159" w:lineRule="exact"/>
              <w:rPr>
                <w:sz w:val="20"/>
                <w:szCs w:val="20"/>
                <w:color w:val="auto"/>
              </w:rPr>
            </w:pPr>
            <w:r>
              <w:rPr>
                <w:rFonts w:ascii="Arial" w:cs="Arial" w:eastAsia="Arial" w:hAnsi="Arial"/>
                <w:sz w:val="14"/>
                <w:szCs w:val="14"/>
                <w:color w:val="auto"/>
                <w:w w:val="86"/>
              </w:rPr>
              <w:t>net of tax</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center"/>
              <w:ind w:right="80"/>
              <w:spacing w:after="0" w:line="159" w:lineRule="exact"/>
              <w:rPr>
                <w:sz w:val="20"/>
                <w:szCs w:val="20"/>
                <w:color w:val="auto"/>
              </w:rPr>
            </w:pPr>
            <w:r>
              <w:rPr>
                <w:rFonts w:ascii="Arial" w:cs="Arial" w:eastAsia="Arial" w:hAnsi="Arial"/>
                <w:sz w:val="14"/>
                <w:szCs w:val="14"/>
                <w:color w:val="auto"/>
                <w:w w:val="85"/>
              </w:rPr>
              <w:t>share (3)</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jc w:val="center"/>
              <w:ind w:right="400"/>
              <w:spacing w:after="0" w:line="159" w:lineRule="exact"/>
              <w:rPr>
                <w:sz w:val="20"/>
                <w:szCs w:val="20"/>
                <w:color w:val="auto"/>
              </w:rPr>
            </w:pPr>
            <w:r>
              <w:rPr>
                <w:rFonts w:ascii="Arial" w:cs="Arial" w:eastAsia="Arial" w:hAnsi="Arial"/>
                <w:sz w:val="14"/>
                <w:szCs w:val="14"/>
                <w:color w:val="auto"/>
                <w:w w:val="83"/>
              </w:rPr>
              <w:t>taxes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net of tax</w:t>
            </w:r>
          </w:p>
        </w:tc>
        <w:tc>
          <w:tcPr>
            <w:tcW w:w="80" w:type="dxa"/>
            <w:vAlign w:val="bottom"/>
          </w:tcPr>
          <w:p>
            <w:pPr>
              <w:spacing w:after="0"/>
              <w:rPr>
                <w:sz w:val="13"/>
                <w:szCs w:val="13"/>
                <w:color w:val="auto"/>
              </w:rPr>
            </w:pPr>
          </w:p>
        </w:tc>
        <w:tc>
          <w:tcPr>
            <w:tcW w:w="68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5"/>
              </w:rPr>
              <w:t>share (4)</w:t>
            </w: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Reported</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19,429</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12,943</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40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gridSpan w:val="2"/>
            <w:shd w:val="clear" w:color="auto" w:fill="CCEEFF"/>
          </w:tcPr>
          <w:p>
            <w:pPr>
              <w:ind w:left="200"/>
              <w:spacing w:after="0"/>
              <w:rPr>
                <w:sz w:val="20"/>
                <w:szCs w:val="20"/>
                <w:color w:val="auto"/>
              </w:rPr>
            </w:pPr>
            <w:r>
              <w:rPr>
                <w:rFonts w:ascii="Arial" w:cs="Arial" w:eastAsia="Arial" w:hAnsi="Arial"/>
                <w:sz w:val="18"/>
                <w:szCs w:val="18"/>
                <w:color w:val="auto"/>
                <w:w w:val="83"/>
              </w:rPr>
              <w:t>29,611</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right w:val="single" w:sz="8" w:color="CCEEFF"/>
            </w:tcBorders>
            <w:shd w:val="clear" w:color="auto" w:fill="CCEEFF"/>
          </w:tcPr>
          <w:p>
            <w:pPr>
              <w:jc w:val="center"/>
              <w:ind w:left="54"/>
              <w:spacing w:after="0"/>
              <w:rPr>
                <w:sz w:val="20"/>
                <w:szCs w:val="20"/>
                <w:color w:val="auto"/>
              </w:rPr>
            </w:pPr>
            <w:r>
              <w:rPr>
                <w:rFonts w:ascii="Arial" w:cs="Arial" w:eastAsia="Arial" w:hAnsi="Arial"/>
                <w:sz w:val="18"/>
                <w:szCs w:val="18"/>
                <w:color w:val="auto"/>
                <w:w w:val="87"/>
              </w:rPr>
              <w:t>18,356</w:t>
            </w: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center"/>
              <w:ind w:left="199"/>
              <w:spacing w:after="0"/>
              <w:rPr>
                <w:sz w:val="20"/>
                <w:szCs w:val="20"/>
                <w:color w:val="auto"/>
              </w:rPr>
            </w:pPr>
            <w:r>
              <w:rPr>
                <w:rFonts w:ascii="Arial" w:cs="Arial" w:eastAsia="Arial" w:hAnsi="Arial"/>
                <w:sz w:val="18"/>
                <w:szCs w:val="18"/>
                <w:color w:val="auto"/>
                <w:w w:val="85"/>
              </w:rPr>
              <w:t>1.76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Add Impact of Litigation Settlement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3,200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1,990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0.19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center"/>
              <w:ind w:left="59"/>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Add Impact of Pension Withdrawal</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7,210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4,485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left="59"/>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b w:val="1"/>
                <w:bCs w:val="1"/>
                <w:color w:val="auto"/>
              </w:rPr>
              <w:t>As Adjusted</w:t>
            </w: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gridSpan w:val="2"/>
          </w:tcPr>
          <w:p>
            <w:pPr>
              <w:jc w:val="center"/>
              <w:ind w:left="142"/>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29,839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19,418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1.85</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tcPr>
          <w:p>
            <w:pPr>
              <w:ind w:left="200"/>
              <w:spacing w:after="0"/>
              <w:rPr>
                <w:sz w:val="20"/>
                <w:szCs w:val="20"/>
                <w:color w:val="auto"/>
              </w:rPr>
            </w:pPr>
            <w:r>
              <w:rPr>
                <w:rFonts w:ascii="Arial" w:cs="Arial" w:eastAsia="Arial" w:hAnsi="Arial"/>
                <w:sz w:val="18"/>
                <w:szCs w:val="18"/>
                <w:color w:val="auto"/>
              </w:rPr>
              <w:t>29,611</w:t>
            </w: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18,356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center"/>
              <w:ind w:left="199"/>
              <w:spacing w:after="0"/>
              <w:rPr>
                <w:sz w:val="20"/>
                <w:szCs w:val="20"/>
                <w:color w:val="auto"/>
              </w:rPr>
            </w:pPr>
            <w:r>
              <w:rPr>
                <w:rFonts w:ascii="Arial" w:cs="Arial" w:eastAsia="Arial" w:hAnsi="Arial"/>
                <w:sz w:val="18"/>
                <w:szCs w:val="18"/>
                <w:color w:val="auto"/>
                <w:w w:val="85"/>
              </w:rPr>
              <w:t>1.76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w:t>
        <w:tab/>
        <w:t>10,528,150 shares used in calculating earnings per share.</w:t>
      </w:r>
    </w:p>
    <w:p>
      <w:pPr>
        <w:spacing w:after="0" w:line="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w:t>
        <w:tab/>
        <w:t>10,403,711 shares used in calculating earnings per share.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20"/>
          </w:cols>
          <w:pgMar w:left="240" w:top="27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HAWKINS, INC. REPORTS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NINE MONTHS FISCAL 2013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30,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Four.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and per-share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2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9"/>
        </w:trPr>
        <w:tc>
          <w:tcPr>
            <w:tcW w:w="5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380" w:type="dxa"/>
            <w:vAlign w:val="bottom"/>
            <w:tcBorders>
              <w:top w:val="single" w:sz="8" w:color="auto"/>
            </w:tcBorders>
            <w:gridSpan w:val="3"/>
          </w:tcPr>
          <w:p>
            <w:pPr>
              <w:jc w:val="right"/>
              <w:ind w:right="540"/>
              <w:spacing w:after="0" w:line="129" w:lineRule="exact"/>
              <w:rPr>
                <w:sz w:val="20"/>
                <w:szCs w:val="20"/>
                <w:color w:val="auto"/>
              </w:rPr>
            </w:pPr>
            <w:r>
              <w:rPr>
                <w:rFonts w:ascii="Arial" w:cs="Arial" w:eastAsia="Arial" w:hAnsi="Arial"/>
                <w:sz w:val="14"/>
                <w:szCs w:val="14"/>
                <w:b w:val="1"/>
                <w:bCs w:val="1"/>
                <w:color w:val="auto"/>
                <w:w w:val="90"/>
              </w:rPr>
              <w:t>December 30,</w:t>
            </w: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54"/>
              <w:spacing w:after="0" w:line="129" w:lineRule="exact"/>
              <w:rPr>
                <w:sz w:val="20"/>
                <w:szCs w:val="20"/>
                <w:color w:val="auto"/>
              </w:rPr>
            </w:pPr>
            <w:r>
              <w:rPr>
                <w:rFonts w:ascii="Arial" w:cs="Arial" w:eastAsia="Arial" w:hAnsi="Arial"/>
                <w:sz w:val="14"/>
                <w:szCs w:val="14"/>
                <w:b w:val="1"/>
                <w:bCs w:val="1"/>
                <w:color w:val="auto"/>
                <w:w w:val="92"/>
              </w:rPr>
              <w:t>January 1,</w:t>
            </w:r>
          </w:p>
        </w:tc>
        <w:tc>
          <w:tcPr>
            <w:tcW w:w="480" w:type="dxa"/>
            <w:vAlign w:val="bottom"/>
          </w:tcPr>
          <w:p>
            <w:pPr>
              <w:spacing w:after="0"/>
              <w:rPr>
                <w:sz w:val="11"/>
                <w:szCs w:val="11"/>
                <w:color w:val="auto"/>
              </w:rPr>
            </w:pPr>
          </w:p>
        </w:tc>
        <w:tc>
          <w:tcPr>
            <w:tcW w:w="1360" w:type="dxa"/>
            <w:vAlign w:val="bottom"/>
            <w:tcBorders>
              <w:top w:val="single" w:sz="8" w:color="auto"/>
            </w:tcBorders>
            <w:gridSpan w:val="3"/>
          </w:tcPr>
          <w:p>
            <w:pPr>
              <w:jc w:val="right"/>
              <w:ind w:right="520"/>
              <w:spacing w:after="0" w:line="129" w:lineRule="exact"/>
              <w:rPr>
                <w:sz w:val="20"/>
                <w:szCs w:val="20"/>
                <w:color w:val="auto"/>
              </w:rPr>
            </w:pPr>
            <w:r>
              <w:rPr>
                <w:rFonts w:ascii="Arial" w:cs="Arial" w:eastAsia="Arial" w:hAnsi="Arial"/>
                <w:sz w:val="14"/>
                <w:szCs w:val="14"/>
                <w:b w:val="1"/>
                <w:bCs w:val="1"/>
                <w:color w:val="auto"/>
                <w:w w:val="90"/>
              </w:rPr>
              <w:t>December 30,</w:t>
            </w: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54"/>
              <w:spacing w:after="0" w:line="129" w:lineRule="exact"/>
              <w:rPr>
                <w:sz w:val="20"/>
                <w:szCs w:val="20"/>
                <w:color w:val="auto"/>
              </w:rPr>
            </w:pPr>
            <w:r>
              <w:rPr>
                <w:rFonts w:ascii="Arial" w:cs="Arial" w:eastAsia="Arial" w:hAnsi="Arial"/>
                <w:sz w:val="14"/>
                <w:szCs w:val="14"/>
                <w:b w:val="1"/>
                <w:bCs w:val="1"/>
                <w:color w:val="auto"/>
                <w:w w:val="92"/>
              </w:rPr>
              <w:t>January 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140" w:type="dxa"/>
            <w:vAlign w:val="bottom"/>
            <w:tcBorders>
              <w:bottom w:val="single" w:sz="8" w:color="CCEEFF"/>
            </w:tcBorders>
          </w:tcPr>
          <w:p>
            <w:pPr>
              <w:spacing w:after="0"/>
              <w:rPr>
                <w:sz w:val="14"/>
                <w:szCs w:val="14"/>
                <w:color w:val="auto"/>
              </w:rPr>
            </w:pPr>
          </w:p>
        </w:tc>
        <w:tc>
          <w:tcPr>
            <w:tcW w:w="1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2012</w:t>
            </w:r>
          </w:p>
        </w:tc>
        <w:tc>
          <w:tcPr>
            <w:tcW w:w="4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2012</w:t>
            </w: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2012</w:t>
            </w: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85,527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84,160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262,786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Cost of sales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(70,191)</w:t>
            </w:r>
          </w:p>
        </w:tc>
        <w:tc>
          <w:tcPr>
            <w:tcW w:w="8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(68,481)</w:t>
            </w:r>
          </w:p>
        </w:tc>
        <w:tc>
          <w:tcPr>
            <w:tcW w:w="1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(212,947)</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(208,268)</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Pension withdrawal</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(7,210)</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(7,210)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5140" w:type="dxa"/>
            <w:vAlign w:val="bottom"/>
          </w:tcPr>
          <w:p>
            <w:pPr>
              <w:spacing w:after="0"/>
              <w:rPr>
                <w:sz w:val="20"/>
                <w:szCs w:val="20"/>
                <w:color w:val="auto"/>
              </w:rPr>
            </w:pPr>
            <w:r>
              <w:rPr>
                <w:rFonts w:ascii="Arial" w:cs="Arial" w:eastAsia="Arial" w:hAnsi="Arial"/>
                <w:sz w:val="18"/>
                <w:szCs w:val="18"/>
                <w:color w:val="auto"/>
              </w:rPr>
              <w:t>Gross profit</w:t>
            </w:r>
          </w:p>
        </w:tc>
        <w:tc>
          <w:tcPr>
            <w:tcW w:w="1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8,126</w:t>
            </w:r>
          </w:p>
        </w:tc>
        <w:tc>
          <w:tcPr>
            <w:tcW w:w="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15,679</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42,629</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52,356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(7,617)</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(7,163)</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(23,299)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(22,864)</w:t>
            </w:r>
          </w:p>
        </w:tc>
        <w:tc>
          <w:tcPr>
            <w:tcW w:w="0" w:type="dxa"/>
            <w:vAlign w:val="bottom"/>
          </w:tcPr>
          <w:p>
            <w:pPr>
              <w:spacing w:after="0"/>
              <w:rPr>
                <w:sz w:val="1"/>
                <w:szCs w:val="1"/>
                <w:color w:val="auto"/>
              </w:rPr>
            </w:pPr>
          </w:p>
        </w:tc>
      </w:tr>
      <w:tr>
        <w:trPr>
          <w:trHeight w:val="221"/>
        </w:trPr>
        <w:tc>
          <w:tcPr>
            <w:tcW w:w="5140" w:type="dxa"/>
            <w:vAlign w:val="bottom"/>
          </w:tcPr>
          <w:p>
            <w:pPr>
              <w:spacing w:after="0"/>
              <w:rPr>
                <w:sz w:val="20"/>
                <w:szCs w:val="20"/>
                <w:color w:val="auto"/>
              </w:rPr>
            </w:pPr>
            <w:r>
              <w:rPr>
                <w:rFonts w:ascii="Arial" w:cs="Arial" w:eastAsia="Arial" w:hAnsi="Arial"/>
                <w:sz w:val="18"/>
                <w:szCs w:val="18"/>
                <w:color w:val="auto"/>
              </w:rPr>
              <w:t>Operating income</w:t>
            </w:r>
          </w:p>
        </w:tc>
        <w:tc>
          <w:tcPr>
            <w:tcW w:w="1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8,516</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19,330</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40" w:type="dxa"/>
            <w:vAlign w:val="bottom"/>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544</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8,542</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19,429</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29,611</w:t>
            </w:r>
          </w:p>
        </w:tc>
        <w:tc>
          <w:tcPr>
            <w:tcW w:w="0" w:type="dxa"/>
            <w:vAlign w:val="bottom"/>
          </w:tcPr>
          <w:p>
            <w:pPr>
              <w:spacing w:after="0"/>
              <w:rPr>
                <w:sz w:val="1"/>
                <w:szCs w:val="1"/>
                <w:color w:val="auto"/>
              </w:rPr>
            </w:pPr>
          </w:p>
        </w:tc>
      </w:tr>
      <w:tr>
        <w:trPr>
          <w:trHeight w:val="218"/>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 (expense)</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(3,257)</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(6,486)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(11,255)</w:t>
            </w:r>
          </w:p>
        </w:tc>
        <w:tc>
          <w:tcPr>
            <w:tcW w:w="0" w:type="dxa"/>
            <w:vAlign w:val="bottom"/>
          </w:tcPr>
          <w:p>
            <w:pPr>
              <w:spacing w:after="0"/>
              <w:rPr>
                <w:sz w:val="1"/>
                <w:szCs w:val="1"/>
                <w:color w:val="auto"/>
              </w:rPr>
            </w:pPr>
          </w:p>
        </w:tc>
      </w:tr>
      <w:tr>
        <w:trPr>
          <w:trHeight w:val="221"/>
        </w:trPr>
        <w:tc>
          <w:tcPr>
            <w:tcW w:w="514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1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1,348</w:t>
            </w:r>
          </w:p>
        </w:tc>
        <w:tc>
          <w:tcPr>
            <w:tcW w:w="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5,285</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12,943</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1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40" w:type="dxa"/>
            <w:vAlign w:val="bottom"/>
          </w:tcPr>
          <w:p>
            <w:pPr>
              <w:spacing w:after="0"/>
              <w:rPr>
                <w:sz w:val="20"/>
                <w:szCs w:val="20"/>
                <w:color w:val="auto"/>
              </w:rPr>
            </w:pPr>
            <w:r>
              <w:rPr>
                <w:rFonts w:ascii="Arial" w:cs="Arial" w:eastAsia="Arial" w:hAnsi="Arial"/>
                <w:sz w:val="18"/>
                <w:szCs w:val="18"/>
                <w:color w:val="auto"/>
              </w:rPr>
              <w:t>Net income</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1,348</w:t>
            </w:r>
          </w:p>
        </w:tc>
        <w:tc>
          <w:tcPr>
            <w:tcW w:w="4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5,552</w:t>
            </w:r>
          </w:p>
        </w:tc>
        <w:tc>
          <w:tcPr>
            <w:tcW w:w="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12,961</w:t>
            </w:r>
          </w:p>
        </w:tc>
        <w:tc>
          <w:tcPr>
            <w:tcW w:w="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19,180</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outstanding-basic</w:t>
            </w:r>
          </w:p>
        </w:tc>
        <w:tc>
          <w:tcPr>
            <w:tcW w:w="1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10,474,214</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10,332,480</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10,454,669</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10,320,810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 outstanding-diluted</w:t>
            </w:r>
          </w:p>
        </w:tc>
        <w:tc>
          <w:tcPr>
            <w:tcW w:w="1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4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10,535,549</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10,410,533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10,528,150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10,403,711</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440"/>
              <w:spacing w:after="0"/>
              <w:rPr>
                <w:sz w:val="20"/>
                <w:szCs w:val="20"/>
                <w:color w:val="auto"/>
              </w:rPr>
            </w:pPr>
            <w:r>
              <w:rPr>
                <w:rFonts w:ascii="Arial" w:cs="Arial" w:eastAsia="Arial" w:hAnsi="Arial"/>
                <w:sz w:val="18"/>
                <w:szCs w:val="18"/>
                <w:color w:val="auto"/>
              </w:rPr>
              <w:t>Earnings per share from continuing operations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0.13</w:t>
            </w:r>
          </w:p>
        </w:tc>
        <w:tc>
          <w:tcPr>
            <w:tcW w:w="4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0.51</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1.24</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Earnings per share from discontinued operations</w:t>
            </w:r>
          </w:p>
        </w:tc>
        <w:tc>
          <w:tcPr>
            <w:tcW w:w="1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40" w:type="dxa"/>
            <w:vAlign w:val="bottom"/>
          </w:tcPr>
          <w:p>
            <w:pPr>
              <w:ind w:left="440"/>
              <w:spacing w:after="0"/>
              <w:rPr>
                <w:sz w:val="20"/>
                <w:szCs w:val="20"/>
                <w:color w:val="auto"/>
              </w:rPr>
            </w:pPr>
            <w:r>
              <w:rPr>
                <w:rFonts w:ascii="Arial" w:cs="Arial" w:eastAsia="Arial" w:hAnsi="Arial"/>
                <w:sz w:val="18"/>
                <w:szCs w:val="18"/>
                <w:color w:val="auto"/>
              </w:rPr>
              <w:t>Basic earnings per share</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0.13</w:t>
            </w:r>
          </w:p>
        </w:tc>
        <w:tc>
          <w:tcPr>
            <w:tcW w:w="4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0.54</w:t>
            </w:r>
          </w:p>
        </w:tc>
        <w:tc>
          <w:tcPr>
            <w:tcW w:w="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1.24</w:t>
            </w:r>
          </w:p>
        </w:tc>
        <w:tc>
          <w:tcPr>
            <w:tcW w:w="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440"/>
              <w:spacing w:after="0"/>
              <w:rPr>
                <w:sz w:val="20"/>
                <w:szCs w:val="20"/>
                <w:color w:val="auto"/>
              </w:rPr>
            </w:pPr>
            <w:r>
              <w:rPr>
                <w:rFonts w:ascii="Arial" w:cs="Arial" w:eastAsia="Arial" w:hAnsi="Arial"/>
                <w:sz w:val="18"/>
                <w:szCs w:val="18"/>
                <w:color w:val="auto"/>
              </w:rPr>
              <w:t>Earnings per share from continuing operations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0.13</w:t>
            </w:r>
          </w:p>
        </w:tc>
        <w:tc>
          <w:tcPr>
            <w:tcW w:w="4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0.51</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1.23</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Earnings per share from discontinued operations</w:t>
            </w:r>
          </w:p>
        </w:tc>
        <w:tc>
          <w:tcPr>
            <w:tcW w:w="1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40" w:type="dxa"/>
            <w:vAlign w:val="bottom"/>
          </w:tcPr>
          <w:p>
            <w:pPr>
              <w:ind w:left="440"/>
              <w:spacing w:after="0"/>
              <w:rPr>
                <w:sz w:val="20"/>
                <w:szCs w:val="20"/>
                <w:color w:val="auto"/>
              </w:rPr>
            </w:pPr>
            <w:r>
              <w:rPr>
                <w:rFonts w:ascii="Arial" w:cs="Arial" w:eastAsia="Arial" w:hAnsi="Arial"/>
                <w:sz w:val="18"/>
                <w:szCs w:val="18"/>
                <w:color w:val="auto"/>
              </w:rPr>
              <w:t>Diluted earnings per share</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0.13</w:t>
            </w:r>
          </w:p>
        </w:tc>
        <w:tc>
          <w:tcPr>
            <w:tcW w:w="4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0.53</w:t>
            </w:r>
          </w:p>
        </w:tc>
        <w:tc>
          <w:tcPr>
            <w:tcW w:w="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1.23</w:t>
            </w:r>
          </w:p>
        </w:tc>
        <w:tc>
          <w:tcPr>
            <w:tcW w:w="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2019-12-05T11:12:16Z</dcterms:created>
  <dcterms:modified xsi:type="dcterms:W3CDTF">2019-12-05T11:12:16Z</dcterms:modified>
</cp:coreProperties>
</file>