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November 2, 2018.</w:t>
      </w:r>
    </w:p>
    <w:p>
      <w:pPr>
        <w:spacing w:after="0" w:line="27" w:lineRule="exact"/>
        <w:rPr>
          <w:sz w:val="24"/>
          <w:szCs w:val="24"/>
          <w:color w:val="auto"/>
        </w:rPr>
      </w:pPr>
    </w:p>
    <w:p>
      <w:pPr>
        <w:ind w:left="88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229"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31" w:lineRule="exact"/>
        <w:rPr>
          <w:sz w:val="24"/>
          <w:szCs w:val="24"/>
          <w:color w:val="auto"/>
        </w:rPr>
      </w:pPr>
    </w:p>
    <w:p>
      <w:pPr>
        <w:sectPr>
          <w:pgSz w:w="11900" w:h="16838" w:orient="portrait"/>
          <w:cols w:equalWidth="0" w:num="2">
            <w:col w:w="7200" w:space="720"/>
            <w:col w:w="3120"/>
          </w:cols>
          <w:pgMar w:left="440" w:top="229" w:right="41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60"/>
          </w:cols>
          <w:pgMar w:left="440" w:top="229" w:right="419" w:bottom="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2381 Rosegate</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040"/>
          </w:cols>
          <w:pgMar w:left="440" w:top="229" w:right="419" w:bottom="0" w:gutter="0" w:footer="0" w:header="0"/>
          <w:type w:val="continuous"/>
        </w:sectPr>
      </w:pP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 Employee Stock Purchase Plan, as amended on August 2, 2018</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plan(s))</w:t>
      </w: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Richard G. Erstad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2381 Rosegate, Roseville, MN 55113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6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PROPOSED</w:t>
            </w:r>
          </w:p>
        </w:tc>
        <w:tc>
          <w:tcPr>
            <w:tcW w:w="15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PROPOSED</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170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OFFERING PRICE</w:t>
            </w:r>
          </w:p>
        </w:tc>
        <w:tc>
          <w:tcPr>
            <w:tcW w:w="156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rPr>
              <w:t>AGGREGATE</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 (1)(2)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 (3)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PRICE(3)</w:t>
            </w:r>
          </w:p>
        </w:tc>
        <w:tc>
          <w:tcPr>
            <w:tcW w:w="17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REGISTRATION FEE(4)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$.05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250,000 shares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$33.14</w:t>
            </w:r>
          </w:p>
        </w:tc>
        <w:tc>
          <w:tcPr>
            <w:tcW w:w="15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90"/>
              </w:rPr>
              <w:t>$8,285,000.00</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180" w:hanging="436"/>
        <w:spacing w:after="0" w:line="255"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described in the Explanatory Note in this registration statement, the number of shares of common stock, $.05 par value per share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registered hereby consists of 250,000 shares being registered for the first time pursuant to Hawkins, Inc. Employee Stock Purchase Plan and First Amendment to the Hawkins, Inc. Employee Stock Purchase Plan.</w:t>
      </w:r>
    </w:p>
    <w:p>
      <w:pPr>
        <w:spacing w:after="0" w:line="1" w:lineRule="exact"/>
        <w:rPr>
          <w:rFonts w:ascii="Arial" w:cs="Arial" w:eastAsia="Arial" w:hAnsi="Arial"/>
          <w:sz w:val="18"/>
          <w:szCs w:val="18"/>
          <w:color w:val="auto"/>
        </w:rPr>
      </w:pPr>
    </w:p>
    <w:p>
      <w:pPr>
        <w:ind w:left="440" w:right="12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of the Securities Act of 1933, this Registration Statement includes an indeterminate number of additional shares of common stock as may be issuable pursuant to a stock split, stock dividend or similar adjustment of the outstanding common stock of the Company and additional shares of common stock that may become issuable pursuant to anti-dilution provisions of the Plan.</w:t>
      </w:r>
    </w:p>
    <w:p>
      <w:pPr>
        <w:ind w:left="440" w:right="12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of 1933, based on the average of the high and low sales price per share reported on the Nasdaq Capital Market on October 30, 2018.</w:t>
      </w: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paying registration fees solely with respect to the 250,000 shares of Common Stock newly registered hereby.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29" w:right="41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On August 2, 2018, the stockholders of Hawkins, Inc. (the “</w:t>
      </w:r>
      <w:r>
        <w:rPr>
          <w:rFonts w:ascii="Arial" w:cs="Arial" w:eastAsia="Arial" w:hAnsi="Arial"/>
          <w:sz w:val="18"/>
          <w:szCs w:val="18"/>
          <w:u w:val="single" w:color="auto"/>
          <w:color w:val="auto"/>
        </w:rPr>
        <w:t>Company</w:t>
      </w:r>
      <w:r>
        <w:rPr>
          <w:rFonts w:ascii="Arial" w:cs="Arial" w:eastAsia="Arial" w:hAnsi="Arial"/>
          <w:sz w:val="18"/>
          <w:szCs w:val="18"/>
          <w:color w:val="auto"/>
        </w:rPr>
        <w:t>”) approved an amendment to the Company’s Employee Stock Purchase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is incorporated by reference to this Form S-8, whereby the number of shares issuable under the Plan was increased by 250,000 shares of Common Stock. This Registration Statement on Form S-8 is being filed for the purpose of registering 250,000 shares of the Company’s Common Stock to be issued pursuant to its Plan.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information specified in Part I of Form S-8 is not required to be filed with the Securities and Exchange Commission either as part of this Registration Statement or as prospectuses or prospectus supplements pursuant to the introductory Note to Part I of Form S-8 and Rule 424 under the Securities Act. The information required in the Section 10(a) prospectus is included in the documents being maintained and delivered by the Company as required by Part I of Form S-8 and by Rule 428 under the Securities 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jc w:val="both"/>
        <w:ind w:right="340" w:firstLine="441"/>
        <w:spacing w:after="0" w:line="342" w:lineRule="auto"/>
        <w:rPr>
          <w:sz w:val="20"/>
          <w:szCs w:val="20"/>
          <w:color w:val="auto"/>
        </w:rPr>
      </w:pPr>
      <w:r>
        <w:rPr>
          <w:rFonts w:ascii="Arial" w:cs="Arial" w:eastAsia="Arial" w:hAnsi="Arial"/>
          <w:sz w:val="16"/>
          <w:szCs w:val="16"/>
          <w:color w:val="auto"/>
        </w:rPr>
        <w:t>The following documents of the Company,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are, as of their respective dates, incorporated herein by reference and made a part hereof:</w:t>
      </w:r>
    </w:p>
    <w:p>
      <w:pPr>
        <w:spacing w:after="0" w:line="29" w:lineRule="exact"/>
        <w:rPr>
          <w:sz w:val="20"/>
          <w:szCs w:val="20"/>
          <w:color w:val="auto"/>
        </w:rPr>
      </w:pPr>
    </w:p>
    <w:p>
      <w:pPr>
        <w:ind w:left="860" w:right="420" w:hanging="424"/>
        <w:spacing w:after="0" w:line="342"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April 1, 2018 (File No. 000-07647), which incorporates by reference certain portions of the Company’s definitive proxy statement for its 2018 Annual Meeting of Stockholders;</w:t>
      </w:r>
    </w:p>
    <w:p>
      <w:pPr>
        <w:spacing w:after="0" w:line="29" w:lineRule="exact"/>
        <w:rPr>
          <w:rFonts w:ascii="Arial" w:cs="Arial" w:eastAsia="Arial" w:hAnsi="Arial"/>
          <w:sz w:val="16"/>
          <w:szCs w:val="16"/>
          <w:color w:val="auto"/>
        </w:rPr>
      </w:pPr>
    </w:p>
    <w:p>
      <w:pPr>
        <w:ind w:left="860" w:right="140" w:hanging="4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Annual Report referred to in (1) above (other than information deemed to have been “furnished” rather than “filed” in accordance with the Commission’s rules);</w:t>
      </w:r>
    </w:p>
    <w:p>
      <w:pPr>
        <w:spacing w:after="0" w:line="86" w:lineRule="exact"/>
        <w:rPr>
          <w:rFonts w:ascii="Arial" w:cs="Arial" w:eastAsia="Arial" w:hAnsi="Arial"/>
          <w:sz w:val="18"/>
          <w:szCs w:val="18"/>
          <w:color w:val="auto"/>
        </w:rPr>
      </w:pPr>
    </w:p>
    <w:p>
      <w:pPr>
        <w:ind w:left="860" w:right="26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descriptions of the Company’s Common Stock contained in registration statements filed pursuant to the Exchange Act, together with any amendments or reports filed for the purpose of updating those descriptions.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All reports and other documents filed by the Company pursuant to Sections 13(a), 13(c), 14 or 15(d) of the Exchange Act subsequent to the date of this Registration Statement and prior to the filing of a post-effective amendment that indicates that all of the securities offered have been sold or that deregisters all securities then remaining unsold shall be deemed to be incorporated by reference in and a part of this Registration Statement from the date of filing of such documents.</w:t>
      </w:r>
    </w:p>
    <w:p>
      <w:pPr>
        <w:spacing w:after="0" w:line="187"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incorporated herein by reference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302A.521 of Minnesota Statutes requires the Company to indemnify a person made or threatened to be made a party to a proceeding by reason of the former or present official capacity of the person with respect to the Company, against judgments, penalties, fines, including, without limitation, excise taxes assessed against the person with respect to an employee benefit plan, settlements and reasonable expenses, including attorneys’ fees and disbursements, incurred by the person in connection with the proceeding, if such person (1) has not been indemnified by another organization or employee benefit plan for the same judgments, penalties, fines, including, without limitation, excise taxes assessed against the person with respect to an employee benefit plan, settlements, and reasonable expenses, including attorneys’ fees and disbursements, incurred by the person in connection with the proceeding with respect to the same acts or omissions; (2) acted in good faith; (3) received no improper personal benefit, and statutory procedure has been followed in the case of any conflict of interest by a director; (4) in the case of a criminal proceeding, had no reasonable cause to believe the conduct was unlawful; and (5) in the case of acts or omissions occurring in the person’s performance in the official capacity of director or, for a person not a director, in the official capacity of officer, committee member or employee, reasonably believed that the conduct was in the best interests of the Company, or, in the case of performance by a director, officer or employee of the Company as a director, officer, partner, trustee, employee or agent of another organization or employee benefit plan, reasonably believed that the conduct was not opposed to the best interests of the Company. In addition, Section 302A.521, subd. 3, requires payment by the Company, upon written request, of reasonable expenses in advance of final disposition in certain instances. A decision as to required indemnification is made by a disinterested majority of the Board of Directors present at a meeting at which a disinterested quorum is present, or by a designated committee of the Board, by special legal counsel, by the shareholders or by a court. The Company’s Amended and Second Restated Articles of Incorporation and Amended and Restated By-Laws provide for indemnification of officers, directors, employees, and agents to the fullest extent provided by Section 302A.521. Insofar as indemnification for liabilities arising under the Securities Act may be permitted to directors, officers and controlling persons of the Company pursuant to the provisions referenced in Item 6 of this Registration Statement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hereunder,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historically maintained directors’ and officers’ liability insurance.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270"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5600" w:type="dxa"/>
            <w:vAlign w:val="bottom"/>
            <w:gridSpan w:val="7"/>
          </w:tcPr>
          <w:p>
            <w:pPr>
              <w:ind w:left="220"/>
              <w:spacing w:after="0"/>
              <w:rPr>
                <w:sz w:val="20"/>
                <w:szCs w:val="20"/>
                <w:color w:val="auto"/>
              </w:rPr>
            </w:pPr>
            <w:r>
              <w:rPr>
                <w:rFonts w:ascii="Arial" w:cs="Arial" w:eastAsia="Arial" w:hAnsi="Arial"/>
                <w:sz w:val="18"/>
                <w:szCs w:val="18"/>
                <w:b w:val="1"/>
                <w:bCs w:val="1"/>
                <w:color w:val="auto"/>
              </w:rPr>
              <w:t>Exhibits.</w:t>
            </w:r>
          </w:p>
        </w:tc>
        <w:tc>
          <w:tcPr>
            <w:tcW w:w="3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4"/>
                <w:szCs w:val="14"/>
                <w:color w:val="auto"/>
                <w:w w:val="99"/>
              </w:rPr>
              <w:t>Exhibit</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w w:val="94"/>
              </w:rPr>
              <w:t>Description</w:t>
            </w:r>
          </w:p>
        </w:tc>
        <w:tc>
          <w:tcPr>
            <w:tcW w:w="1300" w:type="dxa"/>
            <w:vAlign w:val="bottom"/>
            <w:gridSpan w:val="2"/>
          </w:tcPr>
          <w:p>
            <w:pPr>
              <w:spacing w:after="0"/>
              <w:rPr>
                <w:sz w:val="24"/>
                <w:szCs w:val="24"/>
                <w:color w:val="auto"/>
              </w:rPr>
            </w:pPr>
          </w:p>
        </w:tc>
        <w:tc>
          <w:tcPr>
            <w:tcW w:w="4600" w:type="dxa"/>
            <w:vAlign w:val="bottom"/>
            <w:gridSpan w:val="3"/>
          </w:tcPr>
          <w:p>
            <w:pPr>
              <w:ind w:left="3120"/>
              <w:spacing w:after="0"/>
              <w:rPr>
                <w:sz w:val="20"/>
                <w:szCs w:val="20"/>
                <w:color w:val="auto"/>
              </w:rPr>
            </w:pPr>
            <w:r>
              <w:rPr>
                <w:rFonts w:ascii="Arial" w:cs="Arial" w:eastAsia="Arial" w:hAnsi="Arial"/>
                <w:sz w:val="14"/>
                <w:szCs w:val="14"/>
                <w:color w:val="auto"/>
              </w:rPr>
              <w:t>Method of Filing</w:t>
            </w:r>
          </w:p>
        </w:tc>
      </w:tr>
      <w:tr>
        <w:trPr>
          <w:trHeight w:val="20"/>
        </w:trPr>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77"/>
        </w:trPr>
        <w:tc>
          <w:tcPr>
            <w:tcW w:w="440" w:type="dxa"/>
            <w:vAlign w:val="bottom"/>
          </w:tcPr>
          <w:p>
            <w:pPr>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27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Opinion of Faegre Baker Daniels LLP</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4600" w:type="dxa"/>
            <w:vAlign w:val="bottom"/>
            <w:gridSpan w:val="3"/>
          </w:tcPr>
          <w:p>
            <w:pPr>
              <w:ind w:left="2540"/>
              <w:spacing w:after="0"/>
              <w:rPr>
                <w:sz w:val="20"/>
                <w:szCs w:val="20"/>
                <w:color w:val="auto"/>
              </w:rPr>
            </w:pPr>
            <w:r>
              <w:rPr>
                <w:rFonts w:ascii="Arial" w:cs="Arial" w:eastAsia="Arial" w:hAnsi="Arial"/>
                <w:sz w:val="18"/>
                <w:szCs w:val="18"/>
                <w:color w:val="auto"/>
              </w:rPr>
              <w:t>Filed Electronically</w:t>
            </w: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5600" w:type="dxa"/>
            <w:vAlign w:val="bottom"/>
            <w:gridSpan w:val="7"/>
          </w:tcPr>
          <w:p>
            <w:pPr>
              <w:spacing w:after="0"/>
              <w:rPr>
                <w:sz w:val="20"/>
                <w:szCs w:val="20"/>
                <w:color w:val="auto"/>
              </w:rPr>
            </w:pPr>
            <w:r>
              <w:rPr>
                <w:rFonts w:ascii="Arial" w:cs="Arial" w:eastAsia="Arial" w:hAnsi="Arial"/>
                <w:sz w:val="18"/>
                <w:szCs w:val="18"/>
                <w:color w:val="0000EE"/>
              </w:rPr>
              <w:t>Consent of KPMG LLP, independent registered public accounting firm</w:t>
            </w:r>
          </w:p>
        </w:tc>
        <w:tc>
          <w:tcPr>
            <w:tcW w:w="4600" w:type="dxa"/>
            <w:vAlign w:val="bottom"/>
            <w:gridSpan w:val="3"/>
          </w:tcPr>
          <w:p>
            <w:pPr>
              <w:ind w:left="2540"/>
              <w:spacing w:after="0"/>
              <w:rPr>
                <w:sz w:val="20"/>
                <w:szCs w:val="20"/>
                <w:color w:val="auto"/>
              </w:rPr>
            </w:pPr>
            <w:r>
              <w:rPr>
                <w:rFonts w:ascii="Arial" w:cs="Arial" w:eastAsia="Arial" w:hAnsi="Arial"/>
                <w:sz w:val="18"/>
                <w:szCs w:val="18"/>
                <w:color w:val="auto"/>
              </w:rPr>
              <w:t>Filed Electronically</w:t>
            </w: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0"/>
              </w:rPr>
              <w:t>Consent of Faegre Baker Daniels LLP</w:t>
            </w:r>
          </w:p>
        </w:tc>
        <w:tc>
          <w:tcPr>
            <w:tcW w:w="2340" w:type="dxa"/>
            <w:vAlign w:val="bottom"/>
            <w:tcBorders>
              <w:top w:val="single" w:sz="8" w:color="0000EE"/>
            </w:tcBorders>
            <w:gridSpan w:val="4"/>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gridSpan w:val="3"/>
          </w:tcPr>
          <w:p>
            <w:pPr>
              <w:ind w:left="2540"/>
              <w:spacing w:after="0"/>
              <w:rPr>
                <w:sz w:val="20"/>
                <w:szCs w:val="20"/>
                <w:color w:val="auto"/>
              </w:rPr>
            </w:pPr>
            <w:r>
              <w:rPr>
                <w:rFonts w:ascii="Arial" w:cs="Arial" w:eastAsia="Arial" w:hAnsi="Arial"/>
                <w:sz w:val="18"/>
                <w:szCs w:val="18"/>
                <w:color w:val="auto"/>
              </w:rPr>
              <w:t>Contained in Exhibit 5.1</w:t>
            </w: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1420" w:type="dxa"/>
            <w:vAlign w:val="bottom"/>
            <w:tcBorders>
              <w:bottom w:val="single" w:sz="8" w:color="0000EE"/>
            </w:tcBorders>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Powers of Attorney</w:t>
              </w:r>
            </w:hyperlink>
          </w:p>
        </w:tc>
        <w:tc>
          <w:tcPr>
            <w:tcW w:w="4180" w:type="dxa"/>
            <w:vAlign w:val="bottom"/>
            <w:gridSpan w:val="6"/>
          </w:tcPr>
          <w:p>
            <w:pPr>
              <w:spacing w:after="0"/>
              <w:rPr>
                <w:sz w:val="24"/>
                <w:szCs w:val="24"/>
                <w:color w:val="auto"/>
              </w:rPr>
            </w:pPr>
          </w:p>
        </w:tc>
        <w:tc>
          <w:tcPr>
            <w:tcW w:w="4600" w:type="dxa"/>
            <w:vAlign w:val="bottom"/>
            <w:gridSpan w:val="3"/>
          </w:tcPr>
          <w:p>
            <w:pPr>
              <w:ind w:left="2540"/>
              <w:spacing w:after="0"/>
              <w:rPr>
                <w:sz w:val="20"/>
                <w:szCs w:val="20"/>
                <w:color w:val="auto"/>
              </w:rPr>
            </w:pPr>
            <w:r>
              <w:rPr>
                <w:rFonts w:ascii="Arial" w:cs="Arial" w:eastAsia="Arial" w:hAnsi="Arial"/>
                <w:sz w:val="18"/>
                <w:szCs w:val="18"/>
                <w:color w:val="auto"/>
                <w:w w:val="89"/>
              </w:rPr>
              <w:t>(included on signature page)</w:t>
            </w: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56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Hawkins, Inc. Employee Stock Purchase Plan, as amended on August 2, 2018</w:t>
            </w:r>
          </w:p>
        </w:tc>
        <w:tc>
          <w:tcPr>
            <w:tcW w:w="4600" w:type="dxa"/>
            <w:vAlign w:val="bottom"/>
            <w:gridSpan w:val="3"/>
          </w:tcPr>
          <w:p>
            <w:pPr>
              <w:ind w:left="2540"/>
              <w:spacing w:after="0"/>
              <w:rPr>
                <w:sz w:val="20"/>
                <w:szCs w:val="20"/>
                <w:color w:val="auto"/>
              </w:rPr>
            </w:pPr>
            <w:r>
              <w:rPr>
                <w:rFonts w:ascii="Arial" w:cs="Arial" w:eastAsia="Arial" w:hAnsi="Arial"/>
                <w:sz w:val="18"/>
                <w:szCs w:val="18"/>
                <w:color w:val="auto"/>
              </w:rPr>
              <w:t>Filed Electronically</w:t>
            </w: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Company hereby undertakes:</w:t>
      </w:r>
    </w:p>
    <w:p>
      <w:pPr>
        <w:spacing w:after="0" w:line="117" w:lineRule="exact"/>
        <w:rPr>
          <w:sz w:val="20"/>
          <w:szCs w:val="20"/>
          <w:color w:val="auto"/>
        </w:rPr>
      </w:pPr>
    </w:p>
    <w:p>
      <w:pPr>
        <w:ind w:left="1120" w:hanging="252"/>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500" w:hanging="209"/>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880" w:firstLine="411"/>
        <w:spacing w:after="0" w:line="272" w:lineRule="auto"/>
        <w:tabs>
          <w:tab w:leader="none" w:pos="155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880" w:right="80" w:firstLine="411"/>
        <w:spacing w:after="0" w:line="277" w:lineRule="auto"/>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above do not apply if the Registration Statement is on Form S-8,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Commission by the Company pursuant to Section 13 or Section 15(d) of the Securities Exchange Act of 1934 that are incorporated by reference in the Registration Statement.</w:t>
      </w:r>
    </w:p>
    <w:p>
      <w:pPr>
        <w:spacing w:after="0" w:line="79" w:lineRule="exact"/>
        <w:rPr>
          <w:sz w:val="20"/>
          <w:szCs w:val="20"/>
          <w:color w:val="auto"/>
        </w:rPr>
      </w:pPr>
    </w:p>
    <w:p>
      <w:pPr>
        <w:jc w:val="both"/>
        <w:ind w:left="440" w:right="20" w:firstLine="428"/>
        <w:spacing w:after="0" w:line="264" w:lineRule="auto"/>
        <w:tabs>
          <w:tab w:leader="none" w:pos="1118"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40" w:right="220" w:firstLine="428"/>
        <w:spacing w:after="0" w:line="277" w:lineRule="auto"/>
        <w:tabs>
          <w:tab w:leader="none" w:pos="111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00" w:firstLine="444"/>
        <w:spacing w:after="0" w:line="257"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Company hereby undertakes that, for purposes of determining any liability under the Securities Act of 1933, each filing of the Company’s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ectPr>
          <w:pgSz w:w="11900" w:h="16838" w:orient="portrait"/>
          <w:cols w:equalWidth="0" w:num="1">
            <w:col w:w="11020"/>
          </w:cols>
          <w:pgMar w:left="440" w:top="270" w:right="439" w:bottom="1440" w:gutter="0" w:footer="0" w:header="0"/>
        </w:sectPr>
      </w:pPr>
    </w:p>
    <w:bookmarkStart w:id="4" w:name="page5"/>
    <w:bookmarkEnd w:id="4"/>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980"/>
          </w:cols>
          <w:pgMar w:left="440" w:top="274"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Company certifies that it has reasonable grounds to believe that it meets all of the requirements for filing on Form S-8 and has duly caused this Registration Statement to be signed on its behalf by the undersigned, thereunto duly authorized, in the city of Roseville, Minnesota, on November 2, 2018.</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w:t>
      </w:r>
      <w:r>
        <w:rPr>
          <w:rFonts w:ascii="Arial" w:cs="Arial" w:eastAsia="Arial" w:hAnsi="Arial"/>
          <w:sz w:val="15"/>
          <w:szCs w:val="15"/>
          <w:color w:val="auto"/>
        </w:rPr>
        <w:t>AWKINS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Patrick H. Hawkins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-130810</wp:posOffset>
            </wp:positionV>
            <wp:extent cx="26327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Each person whose signature appears below also constitutes and appoints Patrick H. Hawkins, Jeffrey P. Oldenkamp and Richard G. Erstad, or any of them, his true and lawful attorney-in-fact and agent with full powers of substitution and resubstitution for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7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November 2, 2018:</w:t>
      </w:r>
    </w:p>
    <w:p>
      <w:pPr>
        <w:sectPr>
          <w:pgSz w:w="11900" w:h="16838" w:orient="portrait"/>
          <w:cols w:equalWidth="0" w:num="1">
            <w:col w:w="11020"/>
          </w:cols>
          <w:pgMar w:left="440" w:top="270" w:right="439" w:bottom="1440" w:gutter="0" w:footer="0" w:header="0"/>
        </w:sectPr>
      </w:pPr>
    </w:p>
    <w:p>
      <w:pPr>
        <w:spacing w:after="0" w:line="193"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u w:val="single" w:color="auto"/>
          <w:color w:val="auto"/>
        </w:rPr>
        <w:t>Signature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Patrick H.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Jeffrey P. Oldenkamp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John S. McKeon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S.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Daniel J. Stauber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Duane M. Jergenson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Duane M. Jergenson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James A. Faulconbridge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James T.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Jeffrey L. Wright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Mary J. Schumacher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Mary J.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576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400"/>
        <w:spacing w:after="0"/>
        <w:rPr>
          <w:sz w:val="20"/>
          <w:szCs w:val="20"/>
          <w:color w:val="auto"/>
        </w:rPr>
      </w:pPr>
      <w:r>
        <w:rPr>
          <w:rFonts w:ascii="Arial" w:cs="Arial" w:eastAsia="Arial" w:hAnsi="Arial"/>
          <w:sz w:val="18"/>
          <w:szCs w:val="18"/>
          <w:b w:val="1"/>
          <w:bCs w:val="1"/>
          <w:u w:val="single" w:color="auto"/>
          <w:color w:val="auto"/>
        </w:rPr>
        <w:t>Title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President and Director</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p>
      <w:pPr>
        <w:spacing w:after="0" w:line="249" w:lineRule="exact"/>
        <w:rPr>
          <w:sz w:val="20"/>
          <w:szCs w:val="20"/>
          <w:color w:val="auto"/>
        </w:rPr>
      </w:pPr>
    </w:p>
    <w:p>
      <w:pPr>
        <w:jc w:val="center"/>
        <w:ind w:right="2560"/>
        <w:spacing w:after="0"/>
        <w:rPr>
          <w:sz w:val="20"/>
          <w:szCs w:val="20"/>
          <w:color w:val="auto"/>
        </w:rPr>
      </w:pPr>
      <w:r>
        <w:rPr>
          <w:rFonts w:ascii="Arial" w:cs="Arial" w:eastAsia="Arial" w:hAnsi="Arial"/>
          <w:sz w:val="16"/>
          <w:szCs w:val="16"/>
          <w:color w:val="auto"/>
        </w:rPr>
        <w:t>Director and Chairman of the Board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140" w:space="720"/>
            <w:col w:w="5160"/>
          </w:cols>
          <w:pgMar w:left="440" w:top="270" w:right="4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Faegre Baker Daniels LLP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2200 Wells Fargo Center, 90 South Seventh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Minneapolis </w:t>
      </w:r>
      <w:r>
        <w:rPr>
          <w:rFonts w:ascii="Arial" w:cs="Arial" w:eastAsia="Arial" w:hAnsi="Arial"/>
          <w:sz w:val="11"/>
          <w:szCs w:val="11"/>
          <w:color w:val="auto"/>
        </w:rPr>
        <w:t>q</w:t>
      </w:r>
      <w:r>
        <w:rPr>
          <w:rFonts w:ascii="Arial" w:cs="Arial" w:eastAsia="Arial" w:hAnsi="Arial"/>
          <w:sz w:val="18"/>
          <w:szCs w:val="18"/>
          <w:color w:val="auto"/>
        </w:rPr>
        <w:t xml:space="preserve"> Minnesota 55402-3901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Phone </w:t>
      </w:r>
      <w:r>
        <w:rPr>
          <w:rFonts w:ascii="Arial" w:cs="Arial" w:eastAsia="Arial" w:hAnsi="Arial"/>
          <w:sz w:val="18"/>
          <w:szCs w:val="18"/>
          <w:b w:val="1"/>
          <w:bCs w:val="1"/>
          <w:color w:val="auto"/>
        </w:rPr>
        <w:t>+1 612 766 7000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Fax </w:t>
      </w:r>
      <w:r>
        <w:rPr>
          <w:rFonts w:ascii="Arial" w:cs="Arial" w:eastAsia="Arial" w:hAnsi="Arial"/>
          <w:sz w:val="18"/>
          <w:szCs w:val="18"/>
          <w:b w:val="1"/>
          <w:bCs w:val="1"/>
          <w:color w:val="auto"/>
        </w:rPr>
        <w:t>+1 612 766 1600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2381 Rosegate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Roseville, MN 55113</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counsel to Hawkins, Inc., a Minnesota corporation (the “Company”), in connection with the preparation and filing with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“Commission”) of the Company’s Registration Statement on Form S-8 (the “Registration Statement”)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of 1933, as amended (the “Act”), registering the offer and sale of up to 250,000 shares of the Company’s common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per share (the “Shares”), pursuant to the Hawkins, Inc. Employee Stock Purchase Plan, as amended by the First Amendment, dated August 2,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For purposes of this opinion letter, we have examined the Plan, the Registration Statement, the Articles of Incorporation, as currently in effect, and the Bylaws, as currently in effect, of the Company, and the resolutions of the Company’s board of directors authorizing the issuance of the Shares. We have also examined a certificate of the Secretary of the Company dated the date hereof (the “Certificate”) and originals, or copies certified or otherwise authenticated to our satisfaction, of such corporate and other records, agreements, instruments, certificates of public officials and documents as we have deemed necessary as a basis for the opinions hereinafter expressed and have made such examination of statutes and decisions and reviewed such questions of law as we have deemed relevant and necessary in connection with the opinions hereinafter expressed. As to facts material to this opinion letter, we have relied upon certificates, statements or representations of public officials, of officers and representatives of the Company (including the Certificate) and of others, without any independent verification thereof.</w:t>
      </w:r>
    </w:p>
    <w:p>
      <w:pPr>
        <w:spacing w:after="0" w:line="179"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records, documents, instruments, certificates and records we have reviewed; and (vii) the absence of any undisclosed modifications to the agreements and instruments reviewed by us.</w:t>
      </w:r>
    </w:p>
    <w:p>
      <w:pPr>
        <w:spacing w:after="0" w:line="18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Based on and subject to the foregoing and to the other qualifications, assumptions and limitations set forth herein, we are of the opinion that all necessary corporate action on the part of the Company has been taken to authorize the issuance and sale of the Shares to be issued in accordance with the Plan and that, when (a) the Shares have been issued and sold as contemplated in the Registration Statement and related prospectus and in accordance with the Plan, and (b) the consideration for the Shares specified in the Plan has been received by the Company, the Shares will be validly issued, fully paid and nonassessable.</w:t>
      </w:r>
    </w:p>
    <w:p>
      <w:pPr>
        <w:sectPr>
          <w:pgSz w:w="11900" w:h="16838" w:orient="portrait"/>
          <w:cols w:equalWidth="0" w:num="1">
            <w:col w:w="11020"/>
          </w:cols>
          <w:pgMar w:left="440" w:top="121" w:right="439" w:bottom="1440" w:gutter="0" w:footer="0" w:header="0"/>
        </w:sectPr>
      </w:pPr>
    </w:p>
    <w:bookmarkStart w:id="7" w:name="page8"/>
    <w:bookmarkEnd w:id="7"/>
    <w:p>
      <w:pPr>
        <w:ind w:right="2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admitted to the practice of law in the State of Minnesota and this opinion, subject to the limitations and assumptions contained herein, is limited to the laws of that State.</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spacing w:after="0" w:line="181"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such consent, we do not thereby admit that we are within the category of persons whose consent is required under Section 7 of the Act or the rules and regulations of the Commission thereunder.</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FAEGRE BAKER DANIELS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Joshua L. Colburn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Joshua L. Colburn,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consent to the incorporation by reference in this registration on Form S-8 of Hawkins, Inc. of our report dated May 31, 2018, with respect to the consolidated balance sheets of Hawkins, Inc. as of April 1, 2018 and April 2, 2017, and the related consolidated statements of (loss) income, comprehensive (loss) income, shareholders’ equity, and cash flows for each of the years in the three-year period then ended and the related notes and financial statement schedule II (collectively, the consolidated financial statements), and the effectiveness of internal control over financial reporting as of April 1, 2018, which report appears in the April 1, 2018 annual report on Form 10-K of Hawkins, Inc.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 2018</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 AS AMENDED</w:t>
      </w:r>
    </w:p>
    <w:p>
      <w:pPr>
        <w:spacing w:after="0" w:line="211" w:lineRule="exact"/>
        <w:rPr>
          <w:sz w:val="20"/>
          <w:szCs w:val="20"/>
          <w:color w:val="auto"/>
        </w:rPr>
      </w:pPr>
    </w:p>
    <w:p>
      <w:pPr>
        <w:ind w:right="80" w:firstLine="4"/>
        <w:spacing w:after="0" w:line="259"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Purpose of the Plan. </w:t>
      </w:r>
      <w:r>
        <w:rPr>
          <w:rFonts w:ascii="Arial" w:cs="Arial" w:eastAsia="Arial" w:hAnsi="Arial"/>
          <w:sz w:val="18"/>
          <w:szCs w:val="18"/>
          <w:color w:val="auto"/>
        </w:rPr>
        <w:t>The purpose of this Hawkins, Inc. Employee Stock Purchase Plan (the “Plan”) is to provide the employees of Hawkins,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participating subsidiaries with a convenient means of purchasing shares of the Company’s common stock from time to time at a discount to market prices through the use of payroll deductions. The Company intends that the Plan shall qualify as an “employee stock purchase plan” under Section 423 of the Code.</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The terms defined in this section are used (and capitalized) elsewhere in this Plan.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u w:val="single" w:color="auto"/>
          <w:color w:val="auto"/>
        </w:rPr>
        <w:t>Affiliate</w:t>
      </w:r>
      <w:r>
        <w:rPr>
          <w:rFonts w:ascii="Arial" w:cs="Arial" w:eastAsia="Arial" w:hAnsi="Arial"/>
          <w:sz w:val="18"/>
          <w:szCs w:val="18"/>
          <w:color w:val="auto"/>
        </w:rPr>
        <w:t>” means each domestic or foreign corporation that is a “parent corporation” or “subsidiary corporation” of the Company, as defined in Code Sections 424(e) and 424(f) or any successor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u w:val="single" w:color="auto"/>
          <w:color w:val="auto"/>
        </w:rPr>
        <w:t>Code</w:t>
      </w:r>
      <w:r>
        <w:rPr>
          <w:rFonts w:ascii="Arial" w:cs="Arial" w:eastAsia="Arial" w:hAnsi="Arial"/>
          <w:sz w:val="18"/>
          <w:szCs w:val="18"/>
          <w:color w:val="auto"/>
        </w:rPr>
        <w:t>” means the Internal Revenue Code of 1986, as amended from time to time, and the regulations promulgated thereunder.</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u w:val="single" w:color="auto"/>
          <w:color w:val="auto"/>
        </w:rPr>
        <w:t>Committee</w:t>
      </w:r>
      <w:r>
        <w:rPr>
          <w:rFonts w:ascii="Arial" w:cs="Arial" w:eastAsia="Arial" w:hAnsi="Arial"/>
          <w:sz w:val="18"/>
          <w:szCs w:val="18"/>
          <w:color w:val="auto"/>
        </w:rPr>
        <w:t>” means the Compensation Committee of the Board or such other committee of non-employee directors appointed by the Board to administer the Plan as provided in Section 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u w:val="single" w:color="auto"/>
          <w:color w:val="auto"/>
        </w:rPr>
        <w:t>Common Stock</w:t>
      </w:r>
      <w:r>
        <w:rPr>
          <w:rFonts w:ascii="Arial" w:cs="Arial" w:eastAsia="Arial" w:hAnsi="Arial"/>
          <w:sz w:val="18"/>
          <w:szCs w:val="18"/>
          <w:color w:val="auto"/>
        </w:rPr>
        <w:t>” means the common stock, par value $.05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means Hawkins, Inc., a Minnesota corporation.</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2.7 “</w:t>
      </w:r>
      <w:r>
        <w:rPr>
          <w:rFonts w:ascii="Arial" w:cs="Arial" w:eastAsia="Arial" w:hAnsi="Arial"/>
          <w:sz w:val="18"/>
          <w:szCs w:val="18"/>
          <w:i w:val="1"/>
          <w:iCs w:val="1"/>
          <w:u w:val="single" w:color="auto"/>
          <w:color w:val="auto"/>
        </w:rPr>
        <w:t>Corporate Transaction</w:t>
      </w:r>
      <w:r>
        <w:rPr>
          <w:rFonts w:ascii="Arial" w:cs="Arial" w:eastAsia="Arial" w:hAnsi="Arial"/>
          <w:sz w:val="18"/>
          <w:szCs w:val="18"/>
          <w:color w:val="auto"/>
        </w:rPr>
        <w:t>” means (i) a merger, consolidation or statutory share exchange in which the Company is not the continuing or surviving corporation (other than a merger involving the Company in which the shareholders of the Company immediately prior to the merger have the same proportionate ownership interest in the outstanding voting stock of the surviving corporation immediately after the merger), or (ii) the sale of substantially all of the assets of the Company.</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i w:val="1"/>
          <w:iCs w:val="1"/>
          <w:u w:val="single" w:color="auto"/>
          <w:color w:val="auto"/>
        </w:rPr>
        <w:t>Designated Affiliate</w:t>
      </w:r>
      <w:r>
        <w:rPr>
          <w:rFonts w:ascii="Arial" w:cs="Arial" w:eastAsia="Arial" w:hAnsi="Arial"/>
          <w:sz w:val="18"/>
          <w:szCs w:val="18"/>
          <w:color w:val="auto"/>
        </w:rPr>
        <w:t>” means any Affiliate which has been expressly designated by the Board or Committee as a corporation whose Eligible Employees may participate in the Plan.</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u w:val="single" w:color="auto"/>
          <w:color w:val="auto"/>
        </w:rPr>
        <w:t>Eligible Compensation</w:t>
      </w:r>
      <w:r>
        <w:rPr>
          <w:rFonts w:ascii="Arial" w:cs="Arial" w:eastAsia="Arial" w:hAnsi="Arial"/>
          <w:sz w:val="18"/>
          <w:szCs w:val="18"/>
          <w:color w:val="auto"/>
        </w:rPr>
        <w:t>” means the gross cash compensation (including wages, salary, commission, bonus, and overtime earnings) paid by the Company or any Affiliate to a Participant in accordance with the Participant’s terms of employment, but shall not include any employer contributions to a 401(k) or other retirement plan, stock option gains or other any amount included in income with respect to equity-based incentive awards, or any similar extraordinary remuneration received by such Participant.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i w:val="1"/>
          <w:iCs w:val="1"/>
          <w:u w:val="single" w:color="auto"/>
          <w:color w:val="auto"/>
        </w:rPr>
        <w:t>Eligible Employee</w:t>
      </w:r>
      <w:r>
        <w:rPr>
          <w:rFonts w:ascii="Arial" w:cs="Arial" w:eastAsia="Arial" w:hAnsi="Arial"/>
          <w:sz w:val="18"/>
          <w:szCs w:val="18"/>
          <w:color w:val="auto"/>
        </w:rPr>
        <w:t>” means any employee of the Company or a Designated Affiliate who has completed at least 90 days of employment with the Company or a Designated Affiliate and whose customary employment with the Company or a Designated Affiliate is for more than five months in any calendar year, except for any employee who, immediately after a right to purchase is granted under the Plan, would be deemed, for purposes of Code Section 423(b)(3), to own stock possessing 5% or more of the total combined voting power or value of all classes of stock of the Company or any Affiliate.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2.11 “</w:t>
      </w:r>
      <w:r>
        <w:rPr>
          <w:rFonts w:ascii="Arial" w:cs="Arial" w:eastAsia="Arial" w:hAnsi="Arial"/>
          <w:sz w:val="17"/>
          <w:szCs w:val="17"/>
          <w:i w:val="1"/>
          <w:iCs w:val="1"/>
          <w:u w:val="single" w:color="auto"/>
          <w:color w:val="auto"/>
        </w:rPr>
        <w:t>Exchange Act</w:t>
      </w:r>
      <w:r>
        <w:rPr>
          <w:rFonts w:ascii="Arial" w:cs="Arial" w:eastAsia="Arial" w:hAnsi="Arial"/>
          <w:sz w:val="17"/>
          <w:szCs w:val="17"/>
          <w:color w:val="auto"/>
        </w:rPr>
        <w:t>” means the Securities Exchange Act of 1934, as amended from time to time, and the regulations promulgated thereunder.</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u w:val="single" w:color="auto"/>
          <w:color w:val="auto"/>
        </w:rPr>
        <w:t>Fair Market Value</w:t>
      </w:r>
      <w:r>
        <w:rPr>
          <w:rFonts w:ascii="Arial" w:cs="Arial" w:eastAsia="Arial" w:hAnsi="Arial"/>
          <w:sz w:val="18"/>
          <w:szCs w:val="18"/>
          <w:color w:val="auto"/>
        </w:rPr>
        <w:t>” of a share of Common Stock as of any date means (i) if the Company’s Common Stock is then listed on a national securities exchange, the closing price for a share of such Common Stock on such exchange on said date, or, if no sale has been made on such exchange on said date, on the last preceding day on which any sale shall have been made; or (ii) if the Company’s Common Stock is not then listed on a national securities exchange, such value as the Committee in its discretion may in good faith determine. The determination of Fair Market Value shall be subject to adjustment as provided in Section 14.1.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i w:val="1"/>
          <w:iCs w:val="1"/>
          <w:u w:val="single" w:color="auto"/>
          <w:color w:val="auto"/>
        </w:rPr>
        <w:t>Offering</w:t>
      </w:r>
      <w:r>
        <w:rPr>
          <w:rFonts w:ascii="Arial" w:cs="Arial" w:eastAsia="Arial" w:hAnsi="Arial"/>
          <w:sz w:val="18"/>
          <w:szCs w:val="18"/>
          <w:color w:val="auto"/>
        </w:rPr>
        <w:t>” means the right provided to Participants to purchase Shares under the Plan with respect to a Purchase Period.</w:t>
      </w:r>
    </w:p>
    <w:p>
      <w:pPr>
        <w:sectPr>
          <w:pgSz w:w="11900" w:h="16838" w:orient="portrait"/>
          <w:cols w:equalWidth="0" w:num="1">
            <w:col w:w="11020"/>
          </w:cols>
          <w:pgMar w:left="440" w:top="121" w:right="439" w:bottom="1440" w:gutter="0" w:footer="0" w:header="0"/>
        </w:sectPr>
      </w:pPr>
    </w:p>
    <w:bookmarkStart w:id="10" w:name="page11"/>
    <w:bookmarkEnd w:id="1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2.14 “</w:t>
      </w:r>
      <w:r>
        <w:rPr>
          <w:rFonts w:ascii="Arial" w:cs="Arial" w:eastAsia="Arial" w:hAnsi="Arial"/>
          <w:sz w:val="18"/>
          <w:szCs w:val="18"/>
          <w:i w:val="1"/>
          <w:iCs w:val="1"/>
          <w:u w:val="single" w:color="auto"/>
          <w:color w:val="auto"/>
        </w:rPr>
        <w:t>Participant</w:t>
      </w:r>
      <w:r>
        <w:rPr>
          <w:rFonts w:ascii="Arial" w:cs="Arial" w:eastAsia="Arial" w:hAnsi="Arial"/>
          <w:sz w:val="18"/>
          <w:szCs w:val="18"/>
          <w:color w:val="auto"/>
        </w:rPr>
        <w:t>” means an Eligible Employee who has elected to participate in the Plan in the manner set forth in Section 4 and whose participation has not ended pursuant to Section 8.1 or Section 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u w:val="single" w:color="auto"/>
          <w:color w:val="auto"/>
        </w:rPr>
        <w:t>Plan</w:t>
      </w:r>
      <w:r>
        <w:rPr>
          <w:rFonts w:ascii="Arial" w:cs="Arial" w:eastAsia="Arial" w:hAnsi="Arial"/>
          <w:sz w:val="18"/>
          <w:szCs w:val="18"/>
          <w:color w:val="auto"/>
        </w:rPr>
        <w:t>” means this Hawkins, Inc. Employee Stock Purchase Plan, as it may be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i w:val="1"/>
          <w:iCs w:val="1"/>
          <w:u w:val="single" w:color="auto"/>
          <w:color w:val="auto"/>
        </w:rPr>
        <w:t>Purchase Date</w:t>
      </w:r>
      <w:r>
        <w:rPr>
          <w:rFonts w:ascii="Arial" w:cs="Arial" w:eastAsia="Arial" w:hAnsi="Arial"/>
          <w:sz w:val="18"/>
          <w:szCs w:val="18"/>
          <w:color w:val="auto"/>
        </w:rPr>
        <w:t>” means the last Trading Day of a Purchase Period.</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u w:val="single" w:color="auto"/>
          <w:color w:val="auto"/>
        </w:rPr>
        <w:t>Purchase Period</w:t>
      </w:r>
      <w:r>
        <w:rPr>
          <w:rFonts w:ascii="Arial" w:cs="Arial" w:eastAsia="Arial" w:hAnsi="Arial"/>
          <w:sz w:val="18"/>
          <w:szCs w:val="18"/>
          <w:color w:val="auto"/>
        </w:rPr>
        <w:t>” means a period of six months beginning either (i) on January 1 of each calendar year and ending on the next June 30, or (ii) on July 1 in each calendar year and ending on the next December 31, or such other period of time (but not to exceed 27 months or such longer period as may be permitted under Code Section 423) as may be established by the Committee.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i w:val="1"/>
          <w:iCs w:val="1"/>
          <w:u w:val="single" w:color="auto"/>
          <w:color w:val="auto"/>
        </w:rPr>
        <w:t>Recordkeeping Account</w:t>
      </w:r>
      <w:r>
        <w:rPr>
          <w:rFonts w:ascii="Arial" w:cs="Arial" w:eastAsia="Arial" w:hAnsi="Arial"/>
          <w:sz w:val="18"/>
          <w:szCs w:val="18"/>
          <w:color w:val="auto"/>
        </w:rPr>
        <w:t>” means the account maintained in the books and records of the Company recording the amount contributed to the Plan by each Participant through payroll deductions</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u w:val="single" w:color="auto"/>
          <w:color w:val="auto"/>
        </w:rPr>
        <w:t>Shares</w:t>
      </w:r>
      <w:r>
        <w:rPr>
          <w:rFonts w:ascii="Arial" w:cs="Arial" w:eastAsia="Arial" w:hAnsi="Arial"/>
          <w:sz w:val="18"/>
          <w:szCs w:val="18"/>
          <w:color w:val="auto"/>
        </w:rPr>
        <w:t>” means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i w:val="1"/>
          <w:iCs w:val="1"/>
          <w:u w:val="single" w:color="auto"/>
          <w:color w:val="auto"/>
        </w:rPr>
        <w:t>Trading Day</w:t>
      </w:r>
      <w:r>
        <w:rPr>
          <w:rFonts w:ascii="Arial" w:cs="Arial" w:eastAsia="Arial" w:hAnsi="Arial"/>
          <w:sz w:val="18"/>
          <w:szCs w:val="18"/>
          <w:color w:val="auto"/>
        </w:rPr>
        <w:t>” means a day on which the national stock exchanges in the United States are open for trading.</w:t>
      </w:r>
    </w:p>
    <w:p>
      <w:pPr>
        <w:spacing w:after="0" w:line="225" w:lineRule="exact"/>
        <w:rPr>
          <w:sz w:val="20"/>
          <w:szCs w:val="20"/>
          <w:color w:val="auto"/>
        </w:rPr>
      </w:pPr>
    </w:p>
    <w:p>
      <w:pPr>
        <w:ind w:right="60" w:firstLine="4"/>
        <w:spacing w:after="0" w:line="25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Shares Available. </w:t>
      </w:r>
      <w:r>
        <w:rPr>
          <w:rFonts w:ascii="Arial" w:cs="Arial" w:eastAsia="Arial" w:hAnsi="Arial"/>
          <w:sz w:val="18"/>
          <w:szCs w:val="18"/>
          <w:color w:val="auto"/>
        </w:rPr>
        <w:t>Shares may be sold by the Company to Eligible Employees at any time after this Plan has been approved by the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but not more than 550,000 Shares (subject to adjustment as provided in Section 14.1) may be sold to Eligible Employees pursuant to this Plan. If the purchases by all Participants in an Offering would otherwise cause the aggregate number of Shares to be sold under the Plan to exceed the number specified in this Section 3.1, each Participant in that Offering shall be allocated a ratable portion of the remaining number of Shares which may be sold under the Plan.</w:t>
      </w:r>
    </w:p>
    <w:p>
      <w:pPr>
        <w:spacing w:after="0" w:line="188" w:lineRule="exact"/>
        <w:rPr>
          <w:rFonts w:ascii="Arial" w:cs="Arial" w:eastAsia="Arial" w:hAnsi="Arial"/>
          <w:sz w:val="18"/>
          <w:szCs w:val="18"/>
          <w:color w:val="auto"/>
        </w:rPr>
      </w:pPr>
    </w:p>
    <w:p>
      <w:pPr>
        <w:ind w:right="20" w:firstLine="4"/>
        <w:spacing w:after="0" w:line="276"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Eligibility and Participation. </w:t>
      </w:r>
      <w:r>
        <w:rPr>
          <w:rFonts w:ascii="Arial" w:cs="Arial" w:eastAsia="Arial" w:hAnsi="Arial"/>
          <w:sz w:val="17"/>
          <w:szCs w:val="17"/>
          <w:color w:val="auto"/>
        </w:rPr>
        <w:t>To be eligible to participate in the Plan for a given Purchase Period, an employee must be an Eligible Employee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day of such Purchase Period. An Eligible Employee may elect to participate in the Plan by filing an election form with the Company before the first day of a Purchase Period that authorizes regular payroll deductions from Eligible Compensation beginning with the first payroll period ending on or after the first day of such Purchase Period and continuing until the Plan is terminated or the Eligible Employee withdraws from the Plan, modifies his or her authorization, or ceases to be an Eligible Employee, as hereinafter provided.</w:t>
      </w:r>
    </w:p>
    <w:p>
      <w:pPr>
        <w:spacing w:after="0" w:line="172" w:lineRule="exact"/>
        <w:rPr>
          <w:rFonts w:ascii="Arial" w:cs="Arial" w:eastAsia="Arial" w:hAnsi="Arial"/>
          <w:sz w:val="17"/>
          <w:szCs w:val="17"/>
          <w:color w:val="auto"/>
        </w:rPr>
      </w:pPr>
    </w:p>
    <w:p>
      <w:pPr>
        <w:ind w:left="180" w:hanging="176"/>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Amount of Common Stock Each Eligible Employee May Purchase.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5.1. Subject to the provisions of this Plan, each Participant shall be offered the right to purchase on the Purchase Date the maximum number of whole Shares that can be purchased with the balance in the Participant’s Recordkeeping Account at the per Share price specified in Section 5.2. Notwithstanding the foregoing, no Participant shall be entitled to:</w:t>
      </w:r>
    </w:p>
    <w:p>
      <w:pPr>
        <w:spacing w:after="0" w:line="181" w:lineRule="exact"/>
        <w:rPr>
          <w:sz w:val="20"/>
          <w:szCs w:val="20"/>
          <w:color w:val="auto"/>
        </w:rPr>
      </w:pPr>
    </w:p>
    <w:p>
      <w:pPr>
        <w:ind w:firstLine="4"/>
        <w:spacing w:after="0" w:line="264"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right to purchase Shares under this Plan and all other employee stock purchase plans (within the meaning of Code Section 423(b)), if any, of the Company and its Affiliates that accrues at a rate which in the aggregate exceeds $25,000 of Fair Market Value (determined on the first day of a Purchase Period when the right is granted) for each calendar year in which such right is outstanding at any time; or</w:t>
      </w:r>
    </w:p>
    <w:p>
      <w:pPr>
        <w:spacing w:after="0" w:line="181" w:lineRule="exact"/>
        <w:rPr>
          <w:rFonts w:ascii="Arial" w:cs="Arial" w:eastAsia="Arial" w:hAnsi="Arial"/>
          <w:sz w:val="18"/>
          <w:szCs w:val="18"/>
          <w:color w:val="auto"/>
        </w:rPr>
      </w:pPr>
    </w:p>
    <w:p>
      <w:pPr>
        <w:ind w:left="260" w:hanging="256"/>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more than 500 Shares in any Offering under this Plan, such limit subject to adjustment as provided in Section 14.1.</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5.2. Unless a greater purchase price is established by the Committee for an Offering prior to the commencement of the applicable Purchase Period, the purchase price of each Share sold pursuant to this Plan will be the lesser of (i) 85% of the Fair Market Value of such Share on the first day of the applicable Purchase Period, or (ii) 85% of the Fair Market Value of such Share on the last day of the Purchase Period.</w:t>
      </w:r>
    </w:p>
    <w:p>
      <w:pPr>
        <w:spacing w:after="0" w:line="166" w:lineRule="exact"/>
        <w:rPr>
          <w:sz w:val="20"/>
          <w:szCs w:val="20"/>
          <w:color w:val="auto"/>
        </w:rPr>
      </w:pPr>
    </w:p>
    <w:p>
      <w:pPr>
        <w:ind w:left="180" w:hanging="176"/>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Method of Participation.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6.1. The Company shall give notice to each Eligible Employee of the opportunity to purchase Shares pursuant to this Plan and the terms and conditions of such Offering. The Company contemplates that for tax purposes the first day of a Purchase Period will be the date of the grant of the right to purchase of such Shares.</w:t>
      </w:r>
    </w:p>
    <w:p>
      <w:pPr>
        <w:sectPr>
          <w:pgSz w:w="11900" w:h="16838" w:orient="portrait"/>
          <w:cols w:equalWidth="0" w:num="1">
            <w:col w:w="11000"/>
          </w:cols>
          <w:pgMar w:left="440" w:top="274" w:right="459" w:bottom="1440" w:gutter="0" w:footer="0" w:header="0"/>
        </w:sectPr>
      </w:pPr>
    </w:p>
    <w:bookmarkStart w:id="11" w:name="page12"/>
    <w:bookmarkEnd w:id="11"/>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 Each Eligible Employee who desires to participate in the Plan for a Purchase Period shall signify his or her election to do so by signing and filing with the Company an election form approved by the Committee. An Eligible Employee may elect to have an amount of Eligible Compensation of at least $10.00 and not more than $1,000.00 withheld as a payroll deduction per pay period. An election to participate in the Plan and to authorize payroll deductions as described herein must be made before the first day of a Purchase Period. The election shall be effective for the first payroll period that ends on or after the first day of the Purchase Period immediately following the filing of such election form and shall remain in effect until the Plan is terminated or such Participant withdraws from the Plan, modifies his or her authorization, or ceases to be an Eligible Employee, as hereinafter provided.</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6.3. Each Offering shall consist of a single Purchase Period and shall be in such form and shall contain such terms and conditions as the Committee shall deem appropriate, consistent with the terms of the Plan. The Committee may provide for separate Offerings for different Designated Affiliates, and the terms and conditions of the separate Offerings, including the applicable Purchase Period, need not be consistent. Any Offering shall comply with the requirement of Code Section 423 that all Participants shall have the same rights and privileges for such Offering. The terms and conditions of any Offering shall be incorporated by reference into the Plan and treated as part of the Plan.</w:t>
      </w:r>
    </w:p>
    <w:p>
      <w:pPr>
        <w:spacing w:after="0" w:line="173" w:lineRule="exact"/>
        <w:rPr>
          <w:sz w:val="20"/>
          <w:szCs w:val="20"/>
          <w:color w:val="auto"/>
        </w:rPr>
      </w:pPr>
    </w:p>
    <w:p>
      <w:pPr>
        <w:ind w:left="180" w:hanging="176"/>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Recordkeeping Account.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7.1. The Company shall maintain a Recordkeeping Account for each Participant. Payroll deductions pursuant to Section 6 will be credited to such Recordkeeping Accounts on each payday.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7.2. No interest will be credited to a Participant’s Recordkeeping Account (unless required under local law).</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7.3. The Recordkeeping Account is established solely for accounting purposes, and all amounts credited to the Recordkeeping Account will remain part of the general assets of the Company and need not be segregated from other corporate funds (unless required under local law).</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7.4. A Participant may not make any separate cash payment into a Recordkeeping Account, except as may be permitted by the Committee in accordance with Section 6.2.</w:t>
      </w:r>
    </w:p>
    <w:p>
      <w:pPr>
        <w:spacing w:after="0" w:line="170" w:lineRule="exact"/>
        <w:rPr>
          <w:sz w:val="20"/>
          <w:szCs w:val="20"/>
          <w:color w:val="auto"/>
        </w:rPr>
      </w:pPr>
    </w:p>
    <w:p>
      <w:pPr>
        <w:ind w:left="180" w:hanging="176"/>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Right to Adjust Participation; Withdrawals from Recordkeeping Account.</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8.1. A Participant may at any time withdraw from the Plan. If a Participant withdraws from the Plan, the Company will pay to the Participant in cash the entire balance in such Participant’s Recordkeeping Account and no further deductions will be made from the Participant’s Eligible Compensation during such Purchase Period. A Participant who withdraws from the Plan will not be eligible to reenter the Plan until the next succeeding Purchase Period, and any such reentry shall be through the enrollment process described in Section 6.2.</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8.2. Except for a withdrawal from the Plan as provided in Section 8.1, a Participant may only increase or decrease the deductions from his or her Eligible Compensation as of the first pay period in any Purchase Period.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8.3. Notification of a Participant’s election (i) to withdraw from the Plan and terminate deductions or (ii) to increase or decrease deductions shall be made by signing and filing with the Company an appropriate form approved by the Committee. The Committee may promulgate rules regarding the time and manner for providing any such written notice, which may include a requirement that the notice be on file with the Company’s designated office for a reasonable period before it will be effective.</w:t>
      </w:r>
    </w:p>
    <w:p>
      <w:pPr>
        <w:spacing w:after="0" w:line="187" w:lineRule="exact"/>
        <w:rPr>
          <w:sz w:val="20"/>
          <w:szCs w:val="20"/>
          <w:color w:val="auto"/>
        </w:rPr>
      </w:pPr>
    </w:p>
    <w:p>
      <w:pPr>
        <w:ind w:right="100" w:firstLine="4"/>
        <w:spacing w:after="0" w:line="297"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If the employment of a Participant is terminated for any reason, including death, disability, or retirement, the entire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in the Participant’s Recordkeeping Account will be refunded in cash to the Participant within 30 days after the date of termination of employment. For purposes of the Plan, a Participant will not be deemed to have terminated employment while the Participant is on sick leave, military leave or other leave of absence approved by the Company. Where the period of leave exceeds 90 days and the Employee’s right to reemployment is not guaranteed either by statute or by contract, the employment relationship shall be deemed to have terminated on the ninety-first day of such leave.</w:t>
      </w:r>
    </w:p>
    <w:p>
      <w:pPr>
        <w:spacing w:after="0" w:line="158" w:lineRule="exact"/>
        <w:rPr>
          <w:rFonts w:ascii="Arial" w:cs="Arial" w:eastAsia="Arial" w:hAnsi="Arial"/>
          <w:sz w:val="16"/>
          <w:szCs w:val="16"/>
          <w:color w:val="auto"/>
        </w:rPr>
      </w:pPr>
    </w:p>
    <w:p>
      <w:pPr>
        <w:ind w:left="280" w:hanging="276"/>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Purchase of Shares.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10.1. As of the Purchase Date, the balance in each Participant’s Recordkeeping Account will be used to purchase the maximum number of whole Shares (subject to the limitations of Section 5.1) at the purchase price determined in accordance with Section 5.2, unless the Participant has filed an appropriate form with the Company in advance of that date to withdraw from the Plan in accordance with Section 8.1. Any amount in a Participant’s Recordkeeping Account that is not used to purchase Shares pursuant to this Section 10.1 will be refunded to the Participant unless the unused amount is less than the amount necessary to purchase a whole Share. In that case, the unused amount will be retained in the Participant’s Recordkeeping Account and carried forward into the next Purchase Period (unless the Participant will not be a Participant during the next Purchase Period).</w:t>
      </w:r>
    </w:p>
    <w:p>
      <w:pPr>
        <w:sectPr>
          <w:pgSz w:w="11900" w:h="16838" w:orient="portrait"/>
          <w:cols w:equalWidth="0" w:num="1">
            <w:col w:w="11000"/>
          </w:cols>
          <w:pgMar w:left="440" w:top="274" w:right="45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 Promptly after the end of each Purchase Period, a certificate for the number of Shares purchased by all Participants shall be issued and delivered to an agent selected by the Company. The agent will hold such certificate for the benefit of all Participants who have purchased Shares and will maintain an account for each Participant reflecting the number of whole Shares credited to the account of each Participant.</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Each Participant will be entitled to direct the voting of all Shares credited to such Participant’s account by the agent. Each Participant may also direct such agent to sell such Shares and distribute the net proceeds of such sale to the Participant. At any time after the Participant has satisfied the minimum holding period requirements established by Code Section 423(a)(1), a Participant may request from the agent a certificate representing the Shares credited to the Participant’s account, in which case the agent shall transfer a certificate for such whole number of Shares directly to the Participant.</w:t>
      </w:r>
    </w:p>
    <w:p>
      <w:pPr>
        <w:spacing w:after="0" w:line="154" w:lineRule="exact"/>
        <w:rPr>
          <w:sz w:val="20"/>
          <w:szCs w:val="20"/>
          <w:color w:val="auto"/>
        </w:rPr>
      </w:pPr>
    </w:p>
    <w:p>
      <w:pPr>
        <w:ind w:right="80" w:firstLine="4"/>
        <w:spacing w:after="0" w:line="259" w:lineRule="auto"/>
        <w:tabs>
          <w:tab w:leader="none" w:pos="263"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Shareholder. </w:t>
      </w:r>
      <w:r>
        <w:rPr>
          <w:rFonts w:ascii="Arial" w:cs="Arial" w:eastAsia="Arial" w:hAnsi="Arial"/>
          <w:sz w:val="18"/>
          <w:szCs w:val="18"/>
          <w:color w:val="auto"/>
        </w:rPr>
        <w:t>A Participant shall not be entitled to any of the rights or privileges of a shareholder of the Company with respect to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right to vote or direct the voting or to receive any dividends that may be declared by the Company, until (i) the Participant actually has paid the purchase price for such Shares and (ii) certificates for such Shares have been issued either to the agent or to the Participant, as provided in Section 10.</w:t>
      </w:r>
    </w:p>
    <w:p>
      <w:pPr>
        <w:spacing w:after="0" w:line="186" w:lineRule="exact"/>
        <w:rPr>
          <w:rFonts w:ascii="Arial" w:cs="Arial" w:eastAsia="Arial" w:hAnsi="Arial"/>
          <w:sz w:val="18"/>
          <w:szCs w:val="18"/>
          <w:color w:val="auto"/>
        </w:rPr>
      </w:pPr>
    </w:p>
    <w:p>
      <w:pPr>
        <w:ind w:right="20" w:firstLine="4"/>
        <w:spacing w:after="0" w:line="257"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Rights Not Transferable. </w:t>
      </w:r>
      <w:r>
        <w:rPr>
          <w:rFonts w:ascii="Arial" w:cs="Arial" w:eastAsia="Arial" w:hAnsi="Arial"/>
          <w:sz w:val="18"/>
          <w:szCs w:val="18"/>
          <w:color w:val="auto"/>
        </w:rPr>
        <w:t>A Participant’s rights under this Plan are exercisable only by the Participant during his or her lifetime, and may not be sold,</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assigned, transferred or disposed of in any manner other than by will or the laws of descent and distribution. Any attempt to sell, pledge, assign, transfer or dispose of the same shall be null and void and without effect. The amounts credited to a Recordkeeping Account may not be sold, pledged, assigned, transferred or disposed of in any way, and any attempted sale, pledge, assignment, transfer or other disposition of such amounts will be null and void and without effect.</w:t>
      </w:r>
    </w:p>
    <w:p>
      <w:pPr>
        <w:spacing w:after="0" w:line="188" w:lineRule="exact"/>
        <w:rPr>
          <w:rFonts w:ascii="Arial" w:cs="Arial" w:eastAsia="Arial" w:hAnsi="Arial"/>
          <w:sz w:val="18"/>
          <w:szCs w:val="18"/>
          <w:color w:val="auto"/>
        </w:rPr>
      </w:pPr>
    </w:p>
    <w:p>
      <w:pPr>
        <w:ind w:left="280" w:hanging="276"/>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13.1. This Plan shall be administered by the Committee. Subject to the express provisions of the Plan and applicable law, and in addition to other express powers and authorizations conferred on the Committee by the Plan, the Committee shall have full power and authority to:</w:t>
      </w:r>
    </w:p>
    <w:p>
      <w:pPr>
        <w:spacing w:after="0" w:line="147" w:lineRule="exact"/>
        <w:rPr>
          <w:sz w:val="20"/>
          <w:szCs w:val="20"/>
          <w:color w:val="auto"/>
        </w:rPr>
      </w:pPr>
    </w:p>
    <w:p>
      <w:pPr>
        <w:ind w:right="680" w:firstLine="4"/>
        <w:spacing w:after="0" w:line="277"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 when each Purchase Period under this Plan shall occur, and the terms and conditions of each related Offering (which need not be identical);</w:t>
      </w:r>
    </w:p>
    <w:p>
      <w:pPr>
        <w:spacing w:after="0" w:line="170" w:lineRule="exact"/>
        <w:rPr>
          <w:rFonts w:ascii="Arial" w:cs="Arial" w:eastAsia="Arial" w:hAnsi="Arial"/>
          <w:sz w:val="18"/>
          <w:szCs w:val="18"/>
          <w:color w:val="auto"/>
        </w:rPr>
      </w:pPr>
    </w:p>
    <w:p>
      <w:pPr>
        <w:ind w:left="260" w:hanging="256"/>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from time to time which Affiliates of the Company shall be eligible to participate in the Plan;</w:t>
      </w:r>
    </w:p>
    <w:p>
      <w:pPr>
        <w:spacing w:after="0" w:line="225" w:lineRule="exact"/>
        <w:rPr>
          <w:rFonts w:ascii="Arial" w:cs="Arial" w:eastAsia="Arial" w:hAnsi="Arial"/>
          <w:sz w:val="18"/>
          <w:szCs w:val="18"/>
          <w:color w:val="auto"/>
        </w:rPr>
      </w:pPr>
    </w:p>
    <w:p>
      <w:pPr>
        <w:ind w:right="60" w:firstLine="4"/>
        <w:spacing w:after="0" w:line="264"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Construe and interpret the Plan and establish, amend and revoke rules, regulations and procedures for the administration of the Plan. The Committee may, in the exercise of this power, correct any defect, omission or inconsistency in the Plan, in such manner and to the extent it may deem necessary, desirable or appropriate to make the Plan fully effective;</w:t>
      </w:r>
    </w:p>
    <w:p>
      <w:pPr>
        <w:spacing w:after="0" w:line="181" w:lineRule="exact"/>
        <w:rPr>
          <w:rFonts w:ascii="Arial" w:cs="Arial" w:eastAsia="Arial" w:hAnsi="Arial"/>
          <w:sz w:val="18"/>
          <w:szCs w:val="18"/>
          <w:color w:val="auto"/>
        </w:rPr>
      </w:pPr>
    </w:p>
    <w:p>
      <w:pPr>
        <w:ind w:right="400" w:firstLine="4"/>
        <w:spacing w:after="0" w:line="264"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such powers and perform such acts as the Committee may deem necessary, desirable or appropriate to promote the best interests of the Company and its Designated Affiliates and to carry out the intent that the Offerings made under the Plan are treated as qualifying under Code Section 423(b); and</w:t>
      </w:r>
    </w:p>
    <w:p>
      <w:pPr>
        <w:spacing w:after="0" w:line="181" w:lineRule="exact"/>
        <w:rPr>
          <w:rFonts w:ascii="Arial" w:cs="Arial" w:eastAsia="Arial" w:hAnsi="Arial"/>
          <w:sz w:val="18"/>
          <w:szCs w:val="18"/>
          <w:color w:val="auto"/>
        </w:rPr>
      </w:pPr>
    </w:p>
    <w:p>
      <w:pPr>
        <w:ind w:right="480" w:firstLine="4"/>
        <w:spacing w:after="0" w:line="286" w:lineRule="auto"/>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more fully described in Section 19, to adopt such rules, procedures and sub-plans as may be necessary, desirable or appropriate to permit participation in the Plan by employees who are foreign nationals or employed outside the United States by a non-U.S. Designated Affiliate, and to achieve tax, securities law and other compliance objectives in particular locations outside the United States.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13.2. Unless otherwise expressly provided in the Plan, all designations, determinations, interpretations, and other decisions under or with respect to the Plan shall be within the sole discretion of the Committee, may be made at any time and shall be final, conclusive, and binding upon all persons, including the Company, any Affiliate, any Participant and any Eligible Employee.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13.3. Subject to the terms of the Plan and applicable law, the Committee may delegate ministerial duties associated with the administration of the Plan to such of the Company’s officers, employees or agents as the Committee may determine.</w:t>
      </w:r>
    </w:p>
    <w:p>
      <w:pPr>
        <w:sectPr>
          <w:pgSz w:w="11900" w:h="16838" w:orient="portrait"/>
          <w:cols w:equalWidth="0" w:num="1">
            <w:col w:w="11000"/>
          </w:cols>
          <w:pgMar w:left="440" w:top="274" w:right="459" w:bottom="1440" w:gutter="0" w:footer="0" w:header="0"/>
        </w:sectPr>
      </w:pPr>
    </w:p>
    <w:bookmarkStart w:id="13" w:name="page14"/>
    <w:bookmarkEnd w:id="1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13.4. No member of the Board or Committee shall be liable for any action taken or determination made in good faith with respect to the Plan. In addition to such other rights of indemnification as they may have as members of the Board or officers or employees of the Company or a Designated Affiliate, members of the Board and Committee and any officers or employees of the Company or Designated Affiliate to whom authority to act for the Committee is delegated shall be indemnified by the Company from and against any and all liabilities, costs and expenses incurred by such persons as a result of any act or omission to act in connection with the performance of such person’s duties, responsibilities and obligations under the Plan if such person has acted in good faith and in a manner that he or she reasonably believes to be in, or not opposed to, the best interests of the Company.</w:t>
      </w:r>
    </w:p>
    <w:p>
      <w:pPr>
        <w:spacing w:after="0" w:line="165" w:lineRule="exact"/>
        <w:rPr>
          <w:sz w:val="20"/>
          <w:szCs w:val="20"/>
          <w:color w:val="auto"/>
        </w:rPr>
      </w:pPr>
    </w:p>
    <w:p>
      <w:pPr>
        <w:ind w:left="280" w:hanging="276"/>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Adjustment upon Changes in Capitalization and Corporate Transactions.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14.1. In the event of any change in the Common Stock of the Company by reason of a stock dividend, stock split, reverse stock split, corporate separation, recapitalization, merger, consolidation, combination, exchange of shares and the like, the Committee shall make such equitable adjustments as it deems appropriate in the aggregate number and class of shares available under this Plan and the number, class and purchase price of shares available but not yet purchased under this Plan.</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14.2. In the event of a Corporate Transaction, the Board may determine and provide that: (i) each right to acquire Shares on any Purchase Date that is scheduled to occur after the date of the consummation of the Corporate Transaction shall be continued or assumed or an equivalent right shall be substituted by the surviving or successor corporation or a parent or subsidiary of such corporation; or (ii) the Purchase Period then in progress shall be shortened by setting a new Purchase Date. If a new Purchase Date is set, it shall be a specified date before the date of the consummation of the Corporate Transaction. Each Participant shall be notified in writing, prior to any new Purchase Date, that the Purchase Date for the existing Offering has been changed to the new Purchase Date and that the Participant’s right to acquire Shares will be exercised automatically on the new Purchase Date unless prior to such date the Participant’s employment has been terminated or the Participant has withdrawn from the Plan.</w:t>
      </w:r>
    </w:p>
    <w:p>
      <w:pPr>
        <w:spacing w:after="0" w:line="167" w:lineRule="exact"/>
        <w:rPr>
          <w:sz w:val="20"/>
          <w:szCs w:val="20"/>
          <w:color w:val="auto"/>
        </w:rPr>
      </w:pPr>
    </w:p>
    <w:p>
      <w:pPr>
        <w:ind w:right="180" w:firstLine="4"/>
        <w:spacing w:after="0" w:line="277" w:lineRule="auto"/>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of Certificates. </w:t>
      </w:r>
      <w:r>
        <w:rPr>
          <w:rFonts w:ascii="Arial" w:cs="Arial" w:eastAsia="Arial" w:hAnsi="Arial"/>
          <w:sz w:val="18"/>
          <w:szCs w:val="18"/>
          <w:color w:val="auto"/>
        </w:rPr>
        <w:t>Stock certificates will be registered in the name of the Participant, or jointly in the name of the Participant and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 as the Participant may direct on an appropriate form filed with the Company or the agent.</w:t>
      </w:r>
    </w:p>
    <w:p>
      <w:pPr>
        <w:spacing w:after="0" w:line="170" w:lineRule="exact"/>
        <w:rPr>
          <w:rFonts w:ascii="Arial" w:cs="Arial" w:eastAsia="Arial" w:hAnsi="Arial"/>
          <w:sz w:val="18"/>
          <w:szCs w:val="18"/>
          <w:color w:val="auto"/>
        </w:rPr>
      </w:pPr>
    </w:p>
    <w:p>
      <w:pPr>
        <w:ind w:right="60" w:firstLine="4"/>
        <w:spacing w:after="0" w:line="254" w:lineRule="auto"/>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Amendment or Suspension of Plan</w:t>
      </w:r>
      <w:r>
        <w:rPr>
          <w:rFonts w:ascii="Arial" w:cs="Arial" w:eastAsia="Arial" w:hAnsi="Arial"/>
          <w:sz w:val="18"/>
          <w:szCs w:val="18"/>
          <w:color w:val="auto"/>
        </w:rPr>
        <w:t>. The Board may at any time suspend this Plan or amend it in any respect, but no such amendment may,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approval, increase the number of shares reserved under this Plan, or effect any other change in the Plan that would require shareholder approval under applicable law or to maintain compliance with Code Section 423. No such amendment or suspension shall adversely affect the rights of Participants pursuant to Shares previously acquired under the Plan. During any suspension of the Plan, no new Offering or Purchase Period shall begin and no Eligible Employee shall be offered any new right to purchase Shares under the Plan or any opportunity to elect to participate in the Plan, and any existing payroll deduction authorizations shall be suspended, but any such right to purchase Shares previously granted for a Purchase Period that began prior to the Plan suspension shall remain subject to the other provisions of this Plan and the discretion of the Board and the Committee with respect thereto.</w:t>
      </w:r>
    </w:p>
    <w:p>
      <w:pPr>
        <w:spacing w:after="0" w:line="192" w:lineRule="exact"/>
        <w:rPr>
          <w:rFonts w:ascii="Arial" w:cs="Arial" w:eastAsia="Arial" w:hAnsi="Arial"/>
          <w:sz w:val="18"/>
          <w:szCs w:val="18"/>
          <w:color w:val="auto"/>
        </w:rPr>
      </w:pPr>
    </w:p>
    <w:p>
      <w:pPr>
        <w:ind w:left="280" w:hanging="276"/>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and Term of Plan. </w:t>
      </w:r>
      <w:r>
        <w:rPr>
          <w:rFonts w:ascii="Arial" w:cs="Arial" w:eastAsia="Arial" w:hAnsi="Arial"/>
          <w:sz w:val="16"/>
          <w:szCs w:val="16"/>
          <w:color w:val="auto"/>
        </w:rPr>
        <w:t>This Plan shall be effective on April 4, 2011, subject to approval of the Plan by the Company’s shareholders within</w:t>
      </w:r>
    </w:p>
    <w:p>
      <w:pPr>
        <w:spacing w:after="0" w:line="46" w:lineRule="exact"/>
        <w:rPr>
          <w:rFonts w:ascii="Arial" w:cs="Arial" w:eastAsia="Arial" w:hAnsi="Arial"/>
          <w:sz w:val="16"/>
          <w:szCs w:val="16"/>
          <w:color w:val="auto"/>
        </w:rPr>
      </w:pPr>
    </w:p>
    <w:p>
      <w:pPr>
        <w:jc w:val="both"/>
        <w:ind w:right="200" w:firstLine="4"/>
        <w:spacing w:after="0" w:line="254" w:lineRule="auto"/>
        <w:tabs>
          <w:tab w:leader="none" w:pos="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months of such date. The Plan and all rights of Participants hereunder shall terminate (i) at any time, at the discretion of the Board of Directors, or (ii) upon the completion of any Offering under which the limitation on the total number of shares to be issued set forth in Section 3 has been reached. Except as otherwise determined by the Board, upon termination of this Plan, the Company shall pay to each Participant cash in an amount equal to the entire remaining balance in such Participant’s Recordkeeping Account.</w:t>
      </w:r>
    </w:p>
    <w:p>
      <w:pPr>
        <w:spacing w:after="0" w:line="189" w:lineRule="exact"/>
        <w:rPr>
          <w:rFonts w:ascii="Arial" w:cs="Arial" w:eastAsia="Arial" w:hAnsi="Arial"/>
          <w:sz w:val="18"/>
          <w:szCs w:val="18"/>
          <w:color w:val="auto"/>
        </w:rPr>
      </w:pPr>
    </w:p>
    <w:p>
      <w:pPr>
        <w:ind w:firstLine="4"/>
        <w:spacing w:after="0" w:line="291" w:lineRule="auto"/>
        <w:tabs>
          <w:tab w:leader="none" w:pos="27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Governmental Regulations and Listing. </w:t>
      </w:r>
      <w:r>
        <w:rPr>
          <w:rFonts w:ascii="Arial" w:cs="Arial" w:eastAsia="Arial" w:hAnsi="Arial"/>
          <w:sz w:val="16"/>
          <w:szCs w:val="16"/>
          <w:color w:val="auto"/>
        </w:rPr>
        <w:t>All rights granted or to be granted to Eligible Employees under this Plan are expressly subject to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laws and regulations and to the approval of all governmental authorities required in connection with the authorization, issuance, sale or transfer of the Shares reserved for this Plan, including, without limitation, there being a current registration statement of the Company under the Securities Act of 1933, as amended, covering the Shares purchasable on the Purchase Date applicable to such Shares, and if such a registration statement shall not then be effective, the term of such Purchase Period shall be extended until the first business day after the effective date of such a registration statement, or post-effective amendment thereto. If applicable, all such rights hereunder are also similarly subject to effectiveness of an appropriate listing application to a national securities exchange covering the Shares issuable under the Plan upon official notice of issuance.</w:t>
      </w:r>
    </w:p>
    <w:p>
      <w:pPr>
        <w:spacing w:after="0" w:line="167" w:lineRule="exact"/>
        <w:rPr>
          <w:rFonts w:ascii="Arial" w:cs="Arial" w:eastAsia="Arial" w:hAnsi="Arial"/>
          <w:sz w:val="16"/>
          <w:szCs w:val="16"/>
          <w:color w:val="auto"/>
        </w:rPr>
      </w:pPr>
    </w:p>
    <w:p>
      <w:pPr>
        <w:ind w:right="180" w:firstLine="4"/>
        <w:spacing w:after="0" w:line="279" w:lineRule="auto"/>
        <w:tabs>
          <w:tab w:leader="none" w:pos="27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Rules for Foreign Jurisdictions</w:t>
      </w:r>
      <w:r>
        <w:rPr>
          <w:rFonts w:ascii="Arial" w:cs="Arial" w:eastAsia="Arial" w:hAnsi="Arial"/>
          <w:sz w:val="17"/>
          <w:szCs w:val="17"/>
          <w:color w:val="auto"/>
        </w:rPr>
        <w:t>. The Committee may adopt rules, procedures or subplans relating to the operation and administration of the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the definition of Eligible Compensation, withholding procedures and handling of stock certificates which vary with local requirements.</w:t>
      </w:r>
    </w:p>
    <w:p>
      <w:pPr>
        <w:sectPr>
          <w:pgSz w:w="11900" w:h="16838" w:orient="portrait"/>
          <w:cols w:equalWidth="0" w:num="1">
            <w:col w:w="11020"/>
          </w:cols>
          <w:pgMar w:left="440" w:top="274" w:right="439" w:bottom="1440" w:gutter="0" w:footer="0" w:header="0"/>
        </w:sectPr>
      </w:pPr>
    </w:p>
    <w:bookmarkStart w:id="14" w:name="page15"/>
    <w:bookmarkEnd w:id="14"/>
    <w:p>
      <w:pPr>
        <w:ind w:left="280" w:hanging="276"/>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20.1. This Plan shall not be deemed to constitute a contract of employment between the Company and any Participant, nor shall it interfere with the right of the Company to terminate any Participant and treat him or her without regard to the effect which such treatment might have upon him or her under this Plan.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20.2. Wherever appropriate as used herein, the masculine gender may be read as the feminine gender, the feminine gender may be read as the masculine gender, the singular may be read as the plural and the plural may be read as the singular.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20.3. This Plan, and all agreements hereunder, shall be construed in accordance with and governed by the laws of the State of Minnesota.</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20.4. Any reference in the Plan to election or enrollment forms, notices, authorizations or any other document to be provided in writing shall include any such form, notice, authorization or document delivered electronically, including through the Company’s intranet, in accordance with procedures established by the Committee.</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20.5. Any reference in this Plan to the issuance or transfer of a stock certificate evidencing Shares shall be deemed to include, in the Committee’s discretion, the issuance or transfer of such Shares in book-entry or electronic form. Uncertificated Shares shall be deemed delivered for all purposes of this Plan when the Company or its agent shall have provided to the recipient of the Shares a notice of issuance or transfer by electronic mail (with proof of receipt) or by United States mail, and have recorded the issuance or transfer in its records.</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lvl w:ilvl="1">
      <w:lvlJc w:val="left"/>
      <w:lvlText w:val="(%2)"/>
      <w:numFmt w:val="lowerRoman"/>
      <w:start w:val="1"/>
    </w:lvl>
  </w:abstractNum>
  <w:abstractNum w:abstractNumId="3">
    <w:nsid w:val="1190CDE7"/>
    <w:multiLevelType w:val="hybridMultilevel"/>
    <w:lvl w:ilvl="0">
      <w:lvlJc w:val="left"/>
      <w:lvlText w:val="%1"/>
      <w:numFmt w:val="upperLetter"/>
      <w:start w:val="1"/>
    </w:lvl>
    <w:lvl w:ilvl="1">
      <w:lvlJc w:val="left"/>
      <w:lvlText w:val="(%2)"/>
      <w:numFmt w:val="decimal"/>
      <w:start w:val="2"/>
    </w:lvl>
  </w:abstractNum>
  <w:abstractNum w:abstractNumId="4">
    <w:nsid w:val="66EF438D"/>
    <w:multiLevelType w:val="hybridMultilevel"/>
    <w:lvl w:ilvl="0">
      <w:lvlJc w:val="left"/>
      <w:lvlText w:val="%1."/>
      <w:numFmt w:val="upperLetter"/>
      <w:start w:val="2"/>
    </w:lvl>
    <w:lvl w:ilvl="1">
      <w:lvlJc w:val="left"/>
      <w:lvlText w:val="%2"/>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8"/>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4"/>
    </w:lvl>
  </w:abstractNum>
  <w:abstractNum w:abstractNumId="15">
    <w:nsid w:val="519B500D"/>
    <w:multiLevelType w:val="hybridMultilevel"/>
    <w:lvl w:ilvl="0">
      <w:lvlJc w:val="left"/>
      <w:lvlText w:val="%1."/>
      <w:numFmt w:val="decimal"/>
      <w:start w:val="15"/>
    </w:lvl>
  </w:abstractNum>
  <w:abstractNum w:abstractNumId="16">
    <w:nsid w:val="431BD7B7"/>
    <w:multiLevelType w:val="hybridMultilevel"/>
    <w:lvl w:ilvl="0">
      <w:lvlJc w:val="left"/>
      <w:lvlText w:val="%1"/>
      <w:numFmt w:val="decimal"/>
      <w:start w:val="12"/>
    </w:lvl>
  </w:abstractNum>
  <w:abstractNum w:abstractNumId="17">
    <w:nsid w:val="3F2DBA31"/>
    <w:multiLevelType w:val="hybridMultilevel"/>
    <w:lvl w:ilvl="0">
      <w:lvlJc w:val="left"/>
      <w:lvlText w:val="%1."/>
      <w:numFmt w:val="decimal"/>
      <w:start w:val="18"/>
    </w:lvl>
  </w:abstractNum>
  <w:abstractNum w:abstractNumId="18">
    <w:nsid w:val="7C83E458"/>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2019-12-05T06:21:26Z</dcterms:created>
  <dcterms:modified xsi:type="dcterms:W3CDTF">2019-12-05T06:21:26Z</dcterms:modified>
</cp:coreProperties>
</file>