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30" w:right="239" w:bottom="1440" w:gutter="0" w:footer="0" w:header="0"/>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8">
            <w:col w:w="1740" w:space="560"/>
            <w:col w:w="160" w:space="160"/>
            <w:col w:w="1660" w:space="720"/>
            <w:col w:w="160" w:space="160"/>
            <w:col w:w="1660" w:space="720"/>
            <w:col w:w="160" w:space="180"/>
            <w:col w:w="2200" w:space="720"/>
            <w:col w:w="460"/>
          </w:cols>
          <w:pgMar w:left="240" w:top="1030" w:right="239" w:bottom="1440" w:gutter="0" w:footer="0" w:header="0"/>
          <w:type w:val="continuous"/>
        </w:sectPr>
      </w:pP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240" w:space="720"/>
            <w:col w:w="460"/>
          </w:cols>
          <w:pgMar w:left="240" w:top="1030" w:right="239" w:bottom="1440" w:gutter="0" w:footer="0" w:header="0"/>
          <w:type w:val="continuous"/>
        </w:sectPr>
      </w:pPr>
    </w:p>
    <w:p>
      <w:pPr>
        <w:spacing w:after="0" w:line="7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July 27, 2018</w:t>
            </w:r>
          </w:p>
        </w:tc>
        <w:tc>
          <w:tcPr>
            <w:tcW w:w="1200" w:type="dxa"/>
            <w:vAlign w:val="bottom"/>
          </w:tcPr>
          <w:p>
            <w:pPr>
              <w:spacing w:after="0"/>
              <w:rPr>
                <w:sz w:val="16"/>
                <w:szCs w:val="16"/>
                <w:color w:val="auto"/>
              </w:rPr>
            </w:pPr>
          </w:p>
        </w:tc>
      </w:tr>
      <w:tr>
        <w:trPr>
          <w:trHeight w:val="243"/>
        </w:trPr>
        <w:tc>
          <w:tcPr>
            <w:tcW w:w="100" w:type="dxa"/>
            <w:vAlign w:val="bottom"/>
          </w:tcPr>
          <w:p>
            <w:pPr>
              <w:spacing w:after="0"/>
              <w:rPr>
                <w:sz w:val="21"/>
                <w:szCs w:val="21"/>
                <w:color w:val="auto"/>
              </w:rPr>
            </w:pPr>
          </w:p>
        </w:tc>
        <w:tc>
          <w:tcPr>
            <w:tcW w:w="5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Common Stock, par value $.05 per share</w:t>
            </w:r>
          </w:p>
        </w:tc>
        <w:tc>
          <w:tcPr>
            <w:tcW w:w="4840" w:type="dxa"/>
            <w:vAlign w:val="bottom"/>
          </w:tcPr>
          <w:p>
            <w:pPr>
              <w:jc w:val="right"/>
              <w:ind w:right="1939"/>
              <w:spacing w:after="0"/>
              <w:rPr>
                <w:sz w:val="20"/>
                <w:szCs w:val="20"/>
                <w:color w:val="auto"/>
              </w:rPr>
            </w:pPr>
            <w:r>
              <w:rPr>
                <w:rFonts w:ascii="Arial" w:cs="Arial" w:eastAsia="Arial" w:hAnsi="Arial"/>
                <w:sz w:val="18"/>
                <w:szCs w:val="18"/>
                <w:color w:val="auto"/>
              </w:rPr>
              <w:t>10,712,352</w:t>
            </w:r>
          </w:p>
        </w:tc>
        <w:tc>
          <w:tcPr>
            <w:tcW w:w="120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22"/>
        </w:trPr>
        <w:tc>
          <w:tcPr>
            <w:tcW w:w="100" w:type="dxa"/>
            <w:vAlign w:val="bottom"/>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2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22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4"/>
                <w:szCs w:val="24"/>
                <w:color w:val="auto"/>
              </w:rPr>
            </w:pPr>
          </w:p>
        </w:tc>
        <w:tc>
          <w:tcPr>
            <w:tcW w:w="5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 July 1, 2018 and April 1, 2018</w:t>
              </w:r>
            </w:hyperlink>
          </w:p>
        </w:tc>
        <w:tc>
          <w:tcPr>
            <w:tcW w:w="2340" w:type="dxa"/>
            <w:vAlign w:val="bottom"/>
            <w:gridSpan w:val="5"/>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 Three Months Ended July 1, 2018 and July 2,</w:t>
              </w:r>
            </w:hyperlink>
          </w:p>
        </w:tc>
        <w:tc>
          <w:tcPr>
            <w:tcW w:w="96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6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Months Ended July 1,</w:t>
              </w:r>
            </w:hyperlink>
          </w:p>
        </w:tc>
        <w:tc>
          <w:tcPr>
            <w:tcW w:w="840" w:type="dxa"/>
            <w:vAlign w:val="bottom"/>
            <w:gridSpan w:val="3"/>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196"/>
        </w:trPr>
        <w:tc>
          <w:tcPr>
            <w:tcW w:w="11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2018 and July 2, 2018</w:t>
              </w:r>
            </w:hyperlink>
          </w:p>
        </w:tc>
        <w:tc>
          <w:tcPr>
            <w:tcW w:w="60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7660" w:type="dxa"/>
            <w:vAlign w:val="bottom"/>
            <w:gridSpan w:val="18"/>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 Three Months Ended July 1, 2018 and July</w:t>
              </w:r>
            </w:hyperlink>
          </w:p>
        </w:tc>
        <w:tc>
          <w:tcPr>
            <w:tcW w:w="9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2, 2017</w:t>
              </w:r>
            </w:hyperlink>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66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1"/>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2540" w:type="dxa"/>
            <w:vAlign w:val="bottom"/>
            <w:gridSpan w:val="5"/>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660" w:type="dxa"/>
            <w:vAlign w:val="bottom"/>
            <w:gridSpan w:val="1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4"/>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640" w:type="dxa"/>
            <w:vAlign w:val="bottom"/>
            <w:gridSpan w:val="11"/>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320" w:type="dxa"/>
            <w:vAlign w:val="bottom"/>
            <w:gridSpan w:val="1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2"/>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760" w:type="dxa"/>
            <w:vAlign w:val="bottom"/>
            <w:gridSpan w:val="10"/>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1,</w:t>
            </w:r>
          </w:p>
        </w:tc>
        <w:tc>
          <w:tcPr>
            <w:tcW w:w="260" w:type="dxa"/>
            <w:vAlign w:val="bottom"/>
          </w:tcPr>
          <w:p>
            <w:pPr>
              <w:spacing w:after="0"/>
              <w:rPr>
                <w:sz w:val="17"/>
                <w:szCs w:val="17"/>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Trade receivables — less allowance for doubtful accounts: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$970 as of July 1, 2018 and $942 as of April 1,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66,367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59,736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239,863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238,165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114,339</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property, plant, and equipment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121,726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123,826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71,179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132,183</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396,715</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trade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33,424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Dividends payable</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employee benefits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Container deposits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60,567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90,762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PENSION WITHDRAWAL LIABILITY</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5,646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27,383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184,436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580" w:type="dxa"/>
            <w:vAlign w:val="bottom"/>
          </w:tcPr>
          <w:p>
            <w:pPr>
              <w:ind w:left="380"/>
              <w:spacing w:after="0"/>
              <w:rPr>
                <w:sz w:val="20"/>
                <w:szCs w:val="20"/>
                <w:color w:val="auto"/>
              </w:rPr>
            </w:pPr>
            <w:r>
              <w:rPr>
                <w:rFonts w:ascii="Arial" w:cs="Arial" w:eastAsia="Arial" w:hAnsi="Arial"/>
                <w:sz w:val="16"/>
                <w:szCs w:val="16"/>
                <w:color w:val="auto"/>
              </w:rPr>
              <w:t>Common stock; authorized: 30,000,000 shares of $0.05 par value; 10,670,985 and 10,631,992 shares issued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outstanding as of July 1, 2018 and April 1, 2018, respectively</w:t>
            </w:r>
          </w:p>
        </w:tc>
        <w:tc>
          <w:tcPr>
            <w:tcW w:w="2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53,877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156,365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147,242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212,279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202,247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shareholders’ equity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390,991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1,</w:t>
            </w:r>
          </w:p>
        </w:tc>
        <w:tc>
          <w:tcPr>
            <w:tcW w:w="280" w:type="dxa"/>
            <w:vAlign w:val="bottom"/>
          </w:tcPr>
          <w:p>
            <w:pPr>
              <w:spacing w:after="0"/>
              <w:rPr>
                <w:sz w:val="14"/>
                <w:szCs w:val="14"/>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July 2,</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(107,732)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(15,766)</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10,648,226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10,582,989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10,682,060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10,615,692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r>
      <w:tr>
        <w:trPr>
          <w:trHeight w:val="324"/>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580"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1,</w:t>
            </w:r>
          </w:p>
        </w:tc>
        <w:tc>
          <w:tcPr>
            <w:tcW w:w="280" w:type="dxa"/>
            <w:vAlign w:val="bottom"/>
          </w:tcPr>
          <w:p>
            <w:pPr>
              <w:spacing w:after="0"/>
              <w:rPr>
                <w:sz w:val="13"/>
                <w:szCs w:val="13"/>
                <w:color w:val="auto"/>
              </w:rPr>
            </w:pPr>
          </w:p>
        </w:tc>
        <w:tc>
          <w:tcPr>
            <w:tcW w:w="106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8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5,831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interest rate swap</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9,150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5,763</w:t>
            </w:r>
          </w:p>
        </w:tc>
      </w:tr>
      <w:tr>
        <w:trPr>
          <w:trHeight w:val="27"/>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240" w:type="dxa"/>
            <w:vAlign w:val="bottom"/>
            <w:gridSpan w:val="5"/>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July 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July 2,</w:t>
            </w:r>
          </w:p>
        </w:tc>
      </w:tr>
      <w:tr>
        <w:trPr>
          <w:trHeight w:val="210"/>
        </w:trPr>
        <w:tc>
          <w:tcPr>
            <w:tcW w:w="7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7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76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9,123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5,831</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Reconciliation to cash flows: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5,831</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Loss on deferred compensation assets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r>
      <w:tr>
        <w:trPr>
          <w:trHeight w:val="237"/>
        </w:trPr>
        <w:tc>
          <w:tcPr>
            <w:tcW w:w="7620" w:type="dxa"/>
            <w:vAlign w:val="bottom"/>
          </w:tcPr>
          <w:p>
            <w:pPr>
              <w:ind w:left="720"/>
              <w:spacing w:after="0"/>
              <w:rPr>
                <w:sz w:val="20"/>
                <w:szCs w:val="20"/>
                <w:color w:val="auto"/>
              </w:rPr>
            </w:pPr>
            <w:r>
              <w:rPr>
                <w:rFonts w:ascii="Arial" w:cs="Arial" w:eastAsia="Arial" w:hAnsi="Arial"/>
                <w:sz w:val="16"/>
                <w:szCs w:val="16"/>
                <w:color w:val="auto"/>
              </w:rPr>
              <w:t>Loss on property disposals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operating accounts providing (using) cash:</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Trade receivables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(4,432)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(4,558)</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(14,303)</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Accrued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w:t>
            </w:r>
          </w:p>
        </w:tc>
      </w:tr>
      <w:tr>
        <w:trPr>
          <w:trHeight w:val="237"/>
        </w:trPr>
        <w:tc>
          <w:tcPr>
            <w:tcW w:w="7620" w:type="dxa"/>
            <w:vAlign w:val="bottom"/>
          </w:tcPr>
          <w:p>
            <w:pPr>
              <w:ind w:left="1140"/>
              <w:spacing w:after="0"/>
              <w:rPr>
                <w:sz w:val="20"/>
                <w:szCs w:val="20"/>
                <w:color w:val="auto"/>
              </w:rPr>
            </w:pPr>
            <w:r>
              <w:rPr>
                <w:rFonts w:ascii="Arial" w:cs="Arial" w:eastAsia="Arial" w:hAnsi="Arial"/>
                <w:sz w:val="16"/>
                <w:szCs w:val="16"/>
                <w:color w:val="auto"/>
              </w:rPr>
              <w:t>Income taxes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(11,947)</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(2,371)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(6,556)</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r>
      <w:tr>
        <w:trPr>
          <w:trHeight w:val="217"/>
        </w:trPr>
        <w:tc>
          <w:tcPr>
            <w:tcW w:w="762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(2,336)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(6,507)</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(4,704)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New shares issued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Shares surrendered for payroll taxes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revolver borrowings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Payments on term loan borrowings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(1,875)</w:t>
            </w:r>
          </w:p>
        </w:tc>
      </w:tr>
      <w:tr>
        <w:trPr>
          <w:trHeight w:val="33"/>
        </w:trPr>
        <w:tc>
          <w:tcPr>
            <w:tcW w:w="7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14,363</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(4,091)</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6,861</w:t>
            </w:r>
          </w:p>
        </w:tc>
      </w:tr>
      <w:tr>
        <w:trPr>
          <w:trHeight w:val="217"/>
        </w:trPr>
        <w:tc>
          <w:tcPr>
            <w:tcW w:w="76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2,770</w:t>
            </w:r>
          </w:p>
        </w:tc>
      </w:tr>
      <w:tr>
        <w:trPr>
          <w:trHeight w:val="73"/>
        </w:trPr>
        <w:tc>
          <w:tcPr>
            <w:tcW w:w="76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24"/>
        </w:trPr>
        <w:tc>
          <w:tcPr>
            <w:tcW w:w="7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3,277</w:t>
            </w:r>
          </w:p>
        </w:tc>
      </w:tr>
      <w:tr>
        <w:trPr>
          <w:trHeight w:val="237"/>
        </w:trPr>
        <w:tc>
          <w:tcPr>
            <w:tcW w:w="762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683</w:t>
            </w:r>
          </w:p>
        </w:tc>
      </w:tr>
      <w:tr>
        <w:trPr>
          <w:trHeight w:val="33"/>
        </w:trPr>
        <w:tc>
          <w:tcPr>
            <w:tcW w:w="7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r>
      <w:tr>
        <w:trPr>
          <w:trHeight w:val="33"/>
        </w:trPr>
        <w:tc>
          <w:tcPr>
            <w:tcW w:w="7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240" w:top="580" w:right="7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April 1, 2018,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accounting policies we follow are set forth in Note 1 – Nature of Business and Significant Accounting Policies to our consolidated financial statements in our Annual Report on Form 10-K for the fiscal year ended April 1, 2018, previously filed with the SEC. With the exception of our policy regarding revenue recognition (see Note 2), there has been no significant change in our accounting policies since the end of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July 1, 2018 are not necessarily indicative of the results that may be expected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refer to the fiscal year ended April 1, 2018 and references to fiscal 2019 refer to the fiscal year ending March 31,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2016-02 which provides new accounting guidance requiring lessees to recognize most leases as assets and liabilities on the balance sheet. This guidance will be effective for interim periods beginning after December 15, 2018 (our fiscal year ending March 30, 2020). </w:t>
      </w:r>
      <w:r>
        <w:rPr>
          <w:rFonts w:ascii="Arial" w:cs="Arial" w:eastAsia="Arial" w:hAnsi="Arial"/>
          <w:sz w:val="18"/>
          <w:szCs w:val="18"/>
          <w:color w:val="080808"/>
        </w:rPr>
        <w:t>While we are still in the process of evaluating the effect of adoption on our consolidated</w:t>
      </w:r>
      <w:r>
        <w:rPr>
          <w:rFonts w:ascii="Arial" w:cs="Arial" w:eastAsia="Arial" w:hAnsi="Arial"/>
          <w:sz w:val="18"/>
          <w:szCs w:val="18"/>
          <w:color w:val="auto"/>
        </w:rPr>
        <w:t xml:space="preserve"> </w:t>
      </w:r>
      <w:r>
        <w:rPr>
          <w:rFonts w:ascii="Arial" w:cs="Arial" w:eastAsia="Arial" w:hAnsi="Arial"/>
          <w:sz w:val="18"/>
          <w:szCs w:val="18"/>
          <w:color w:val="080808"/>
        </w:rPr>
        <w:t>financial statements and are currently assessing our leases, t</w:t>
      </w:r>
      <w:r>
        <w:rPr>
          <w:rFonts w:ascii="Arial" w:cs="Arial" w:eastAsia="Arial" w:hAnsi="Arial"/>
          <w:sz w:val="18"/>
          <w:szCs w:val="18"/>
          <w:color w:val="000000"/>
        </w:rPr>
        <w:t>he core principal of the guidance is that an entity should recognize assets and liabilities arising</w:t>
      </w:r>
      <w:r>
        <w:rPr>
          <w:rFonts w:ascii="Arial" w:cs="Arial" w:eastAsia="Arial" w:hAnsi="Arial"/>
          <w:sz w:val="18"/>
          <w:szCs w:val="18"/>
          <w:color w:val="080808"/>
        </w:rPr>
        <w:t xml:space="preserve"> </w:t>
      </w:r>
      <w:r>
        <w:rPr>
          <w:rFonts w:ascii="Arial" w:cs="Arial" w:eastAsia="Arial" w:hAnsi="Arial"/>
          <w:sz w:val="18"/>
          <w:szCs w:val="18"/>
          <w:color w:val="000000"/>
        </w:rPr>
        <w:t>from a lease for both financing and operating leases, along with additional qualitative and quantitative disclosures. As part of our assessment, we will need to determine the impact of lease extension provisions provided in our facility leases which will impact the amount of the right of use asset and lease liability recorded under the ASU.</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In May 2014, the FASB issued ASU 2014-09, which provides accounting requirements for recognition of revenue from contracts with customers. </w:t>
      </w:r>
      <w:r>
        <w:rPr>
          <w:rFonts w:ascii="Arial" w:cs="Arial" w:eastAsia="Arial" w:hAnsi="Arial"/>
          <w:sz w:val="18"/>
          <w:szCs w:val="18"/>
          <w:color w:val="080808"/>
        </w:rPr>
        <w:t>We adopted</w:t>
      </w:r>
      <w:r>
        <w:rPr>
          <w:rFonts w:ascii="Arial" w:cs="Arial" w:eastAsia="Arial" w:hAnsi="Arial"/>
          <w:sz w:val="18"/>
          <w:szCs w:val="18"/>
          <w:color w:val="auto"/>
        </w:rPr>
        <w:t xml:space="preserve"> </w:t>
      </w:r>
      <w:r>
        <w:rPr>
          <w:rFonts w:ascii="Arial" w:cs="Arial" w:eastAsia="Arial" w:hAnsi="Arial"/>
          <w:sz w:val="18"/>
          <w:szCs w:val="18"/>
          <w:color w:val="080808"/>
        </w:rPr>
        <w:t>the new standard effective April 2, 2018, and there was no impact to our financial position or results of operations. See Note 2 for disclosures required upon adoption of this new standard.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January 2016, the FASB issued ASU 2016-01 which provides guidance that addresses certain aspects of recognition, measurement, presentation, and disclosure of financial instruments.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2018, we adopted ASU 2014-09 using the modified retrospective method applied to those contracts which were not completed as of April 2, 2018. Results for reporting periods beginning after April 2, 2018 are presented under ASU 2014-09, while prior period amounts are not adjusted and continue to be reported in accordance with historic accounting under Accounting Standards Codification (“ASC”) Topic 605.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As a result, the application of ASU 2014-09 had no impact on our financial statement line items as compared with the guidance that was in effect before the change. Accordingly, the impact of adopting the standard resulted in no adjustment to accumulated retained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jc w:val="both"/>
        <w:ind w:right="20"/>
        <w:spacing w:after="0" w:line="264" w:lineRule="auto"/>
        <w:rPr>
          <w:sz w:val="20"/>
          <w:szCs w:val="20"/>
          <w:color w:val="auto"/>
        </w:rPr>
      </w:pPr>
      <w:r>
        <w:rPr>
          <w:rFonts w:ascii="Arial" w:cs="Arial" w:eastAsia="Arial" w:hAnsi="Arial"/>
          <w:sz w:val="18"/>
          <w:szCs w:val="18"/>
          <w:color w:val="auto"/>
        </w:rPr>
        <w:t>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 for the three months ended July 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Bulk / Distributed products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13,725</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5,884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49,788</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Specialty / Manufactured products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58,842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34,525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97,422</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external customer sales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74,018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40,869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149,800</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240" w:hanging="328"/>
        <w:spacing w:after="0" w:line="328"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For our Industrial and Water Treatment segments, this line includes our non-bulk specialty products that we either manufacture, blend, repackage, resell in their original form, or direct ship to our customers in smaller quantities. For our Health and Nutrition segments, this line includes products manufactured in our facility.</w:t>
      </w:r>
    </w:p>
    <w:p>
      <w:pPr>
        <w:spacing w:after="0" w:line="13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adjusts its revenues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Basic earnings per share (“EPS”) are computed by dividing net earnings by the weighted-average number of common shares outstanding. Diluted EPS includes the incremental shares assumed to be issued as performance units and restricted stock. Basic and diluted EPS were calculated using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3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86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7860" w:type="dxa"/>
            <w:vAlign w:val="bottom"/>
          </w:tcPr>
          <w:p>
            <w:pPr>
              <w:spacing w:after="0"/>
              <w:rPr>
                <w:sz w:val="18"/>
                <w:szCs w:val="18"/>
                <w:color w:val="auto"/>
              </w:rPr>
            </w:pPr>
          </w:p>
        </w:tc>
        <w:tc>
          <w:tcPr>
            <w:tcW w:w="1780" w:type="dxa"/>
            <w:vAlign w:val="bottom"/>
            <w:gridSpan w:val="2"/>
          </w:tcPr>
          <w:p>
            <w:pPr>
              <w:ind w:left="560"/>
              <w:spacing w:after="0"/>
              <w:rPr>
                <w:sz w:val="20"/>
                <w:szCs w:val="20"/>
                <w:color w:val="auto"/>
              </w:rPr>
            </w:pPr>
            <w:r>
              <w:rPr>
                <w:rFonts w:ascii="Arial" w:cs="Arial" w:eastAsia="Arial" w:hAnsi="Arial"/>
                <w:sz w:val="18"/>
                <w:szCs w:val="18"/>
                <w:b w:val="1"/>
                <w:bCs w:val="1"/>
                <w:color w:val="auto"/>
              </w:rPr>
              <w:t>July 1,</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July 2,</w:t>
            </w:r>
          </w:p>
        </w:tc>
      </w:tr>
      <w:tr>
        <w:trPr>
          <w:trHeight w:val="234"/>
        </w:trPr>
        <w:tc>
          <w:tcPr>
            <w:tcW w:w="786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10,648,226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10,582,989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Dilutive impact of performance units and restricted stock</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33,834</w:t>
            </w:r>
          </w:p>
        </w:tc>
        <w:tc>
          <w:tcPr>
            <w:tcW w:w="1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32,703</w:t>
            </w:r>
          </w:p>
        </w:tc>
      </w:tr>
      <w:tr>
        <w:trPr>
          <w:trHeight w:val="27"/>
        </w:trPr>
        <w:tc>
          <w:tcPr>
            <w:tcW w:w="78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10,682,060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10,615,692</w:t>
            </w:r>
          </w:p>
        </w:tc>
      </w:tr>
      <w:tr>
        <w:trPr>
          <w:trHeight w:val="20"/>
        </w:trPr>
        <w:tc>
          <w:tcPr>
            <w:tcW w:w="7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each of the three months ended July 1, 2018 and July 2, 2017, there were no shares excluded from the calculation of weighted-average common shares for diluted EPS.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19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the three months ended July 1, 2018, we recorded a nominal amount in other comprehensive income related to unrealized gains (net of tax) on the cash flow hedge described above. For the three months ended July 2, 2017 we recorded $0.1 million, in other comprehensive income related to unrealized losses (net of tax) on the cash flow hedge. Included in other long-term assets on our condensed consolidated balance sheet was $0.9 million as of July 1, 2018 and $0.8 million as of April 1, 2018 related to the cash flow hedge. Unrealized gains and losses will be reflected in net income when the related cash flows or hedged transactions occur and offset the related performance of the hedged item.</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5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assets measured at fair value on a recurring basis as of July 1, 2018 and April 1,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swap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compensation plan assets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July 1, 2018 and April 1, 2018 consisted of the following: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(FIFO basis)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LIFO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6915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July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169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ind w:left="3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1160" w:type="dxa"/>
            <w:vAlign w:val="bottom"/>
          </w:tcPr>
          <w:p>
            <w:pPr>
              <w:jc w:val="right"/>
              <w:ind w:right="1"/>
              <w:spacing w:after="0"/>
              <w:rPr>
                <w:sz w:val="20"/>
                <w:szCs w:val="20"/>
                <w:color w:val="auto"/>
              </w:rPr>
            </w:pPr>
            <w:r>
              <w:rPr>
                <w:rFonts w:ascii="Arial" w:cs="Arial" w:eastAsia="Arial" w:hAnsi="Arial"/>
                <w:sz w:val="18"/>
                <w:szCs w:val="18"/>
                <w:color w:val="auto"/>
                <w:w w:val="93"/>
              </w:rPr>
              <w:t>$2,607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621"/>
        </w:trPr>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April 1, 2018</w:t>
            </w:r>
          </w:p>
        </w:tc>
        <w:tc>
          <w:tcPr>
            <w:tcW w:w="1020" w:type="dxa"/>
            <w:vAlign w:val="bottom"/>
          </w:tcPr>
          <w:p>
            <w:pPr>
              <w:spacing w:after="0"/>
              <w:rPr>
                <w:sz w:val="24"/>
                <w:szCs w:val="24"/>
                <w:color w:val="auto"/>
              </w:rPr>
            </w:pPr>
          </w:p>
        </w:tc>
      </w:tr>
      <w:tr>
        <w:trPr>
          <w:trHeight w:val="27"/>
        </w:trPr>
        <w:tc>
          <w:tcPr>
            <w:tcW w:w="1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gridSpan w:val="3"/>
          </w:tcPr>
          <w:p>
            <w:pPr>
              <w:ind w:left="3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0"/>
        </w:trPr>
        <w:tc>
          <w:tcPr>
            <w:tcW w:w="1160" w:type="dxa"/>
            <w:vAlign w:val="bottom"/>
          </w:tcPr>
          <w:p>
            <w:pPr>
              <w:jc w:val="right"/>
              <w:ind w:right="41"/>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July 1,</w:t>
            </w:r>
          </w:p>
        </w:tc>
        <w:tc>
          <w:tcPr>
            <w:tcW w:w="30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1,</w:t>
            </w:r>
          </w:p>
        </w:tc>
      </w:tr>
      <w:tr>
        <w:trPr>
          <w:trHeight w:val="234"/>
        </w:trPr>
        <w:tc>
          <w:tcPr>
            <w:tcW w:w="3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72,284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65,322</w:t>
            </w:r>
          </w:p>
        </w:tc>
      </w:tr>
      <w:tr>
        <w:trPr>
          <w:trHeight w:val="270"/>
        </w:trPr>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(5,586)</w:t>
            </w:r>
          </w:p>
        </w:tc>
      </w:tr>
      <w:tr>
        <w:trPr>
          <w:trHeight w:val="27"/>
        </w:trPr>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66,367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59,736</w:t>
            </w:r>
          </w:p>
        </w:tc>
      </w:tr>
      <w:tr>
        <w:trPr>
          <w:trHeight w:val="27"/>
        </w:trPr>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958" w:right="239" w:bottom="1440" w:gutter="0" w:footer="0" w:header="0"/>
        </w:sectPr>
      </w:pP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FIFO value of inventories accounted for under the LIFO method was $49.5 million at July 1, 2018 and $44.0 million at April 1, 2018.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LIFO reserve increased $0.3 million during the three months ended July 1, 2018 and increased $0.5 million during the three months ended July 2,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valuation of LIFO inventory for interim periods is based on our estimates of year-end inventory levels and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carrying amount of goodwill was $58.4 million as of July 1, 2018 and April 1, 2018, of which $44.9 million was related to our Health and Nutrition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July 1, 2018 and April 1, 2018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July 1, 2018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April 1, 2018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7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64,841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65,964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69,774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71,179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43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Note 8 – Debt</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Debt at July 1, 2018 and April 1, 2018 consisted of the following:</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8"/>
        </w:trPr>
        <w:tc>
          <w:tcPr>
            <w:tcW w:w="2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1,</w:t>
            </w:r>
          </w:p>
        </w:tc>
      </w:tr>
      <w:tr>
        <w:trPr>
          <w:trHeight w:val="234"/>
        </w:trPr>
        <w:tc>
          <w:tcPr>
            <w:tcW w:w="2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260" w:type="dxa"/>
            <w:vAlign w:val="bottom"/>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60" w:type="dxa"/>
            <w:vAlign w:val="bottom"/>
          </w:tcPr>
          <w:p>
            <w:pPr>
              <w:spacing w:after="0"/>
              <w:rPr>
                <w:sz w:val="22"/>
                <w:szCs w:val="22"/>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26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secured term loan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85,000</w:t>
            </w:r>
          </w:p>
        </w:tc>
      </w:tr>
      <w:tr>
        <w:trPr>
          <w:trHeight w:val="27"/>
        </w:trPr>
        <w:tc>
          <w:tcPr>
            <w:tcW w:w="260" w:type="dxa"/>
            <w:vAlign w:val="bottom"/>
          </w:tcPr>
          <w:p>
            <w:pPr>
              <w:spacing w:after="0"/>
              <w:rPr>
                <w:sz w:val="2"/>
                <w:szCs w:val="2"/>
                <w:color w:val="auto"/>
              </w:rPr>
            </w:pPr>
          </w:p>
        </w:tc>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loan</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r>
      <w:tr>
        <w:trPr>
          <w:trHeight w:val="237"/>
        </w:trPr>
        <w:tc>
          <w:tcPr>
            <w:tcW w:w="26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101,000</w:t>
            </w:r>
          </w:p>
        </w:tc>
      </w:tr>
      <w:tr>
        <w:trPr>
          <w:trHeight w:val="27"/>
        </w:trPr>
        <w:tc>
          <w:tcPr>
            <w:tcW w:w="260" w:type="dxa"/>
            <w:vAlign w:val="bottom"/>
          </w:tcPr>
          <w:p>
            <w:pPr>
              <w:spacing w:after="0"/>
              <w:rPr>
                <w:sz w:val="2"/>
                <w:szCs w:val="2"/>
                <w:color w:val="auto"/>
              </w:rPr>
            </w:pPr>
          </w:p>
        </w:tc>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37"/>
        </w:trPr>
        <w:tc>
          <w:tcPr>
            <w:tcW w:w="260" w:type="dxa"/>
            <w:vAlign w:val="bottom"/>
          </w:tcPr>
          <w:p>
            <w:pPr>
              <w:spacing w:after="0"/>
              <w:rPr>
                <w:sz w:val="20"/>
                <w:szCs w:val="20"/>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100,626</w:t>
            </w:r>
          </w:p>
        </w:tc>
      </w:tr>
      <w:tr>
        <w:trPr>
          <w:trHeight w:val="27"/>
        </w:trPr>
        <w:tc>
          <w:tcPr>
            <w:tcW w:w="260" w:type="dxa"/>
            <w:vAlign w:val="bottom"/>
          </w:tcPr>
          <w:p>
            <w:pPr>
              <w:spacing w:after="0"/>
              <w:rPr>
                <w:sz w:val="2"/>
                <w:szCs w:val="2"/>
                <w:color w:val="auto"/>
              </w:rPr>
            </w:pPr>
          </w:p>
        </w:tc>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r>
      <w:tr>
        <w:trPr>
          <w:trHeight w:val="257"/>
        </w:trPr>
        <w:tc>
          <w:tcPr>
            <w:tcW w:w="260" w:type="dxa"/>
            <w:vAlign w:val="bottom"/>
          </w:tcPr>
          <w:p>
            <w:pPr>
              <w:spacing w:after="0"/>
              <w:rPr>
                <w:sz w:val="22"/>
                <w:szCs w:val="22"/>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90,796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90,762</w:t>
            </w:r>
          </w:p>
        </w:tc>
      </w:tr>
      <w:tr>
        <w:trPr>
          <w:trHeight w:val="20"/>
        </w:trPr>
        <w:tc>
          <w:tcPr>
            <w:tcW w:w="2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U.S. federal income tax as well as income tax of multiple state jurisdictions. The tax years prior to our fiscal year ended April 3, 2016 are closed to examination by the Internal Revenue Service. For state and local income tax jurisdictions, the tax years prior to our fiscal year ended March 29, 2015 are closed to examination, with few exceptions. Our effective tax rate for the three months ended July 1, 2018 was 27.3%, compared to an effective tax rate of 38.5% for the three months ended July 2, 2017. The effective tax rate is impacted by projected levels of annual taxable income, permanent items, and state taxes. The decrease in the effective tax rate from the prior year resulted from impacts of the U.S. Tax Cuts and Jobs Act (the “Tax Act”) enacted in December 2017, which reduced the U.S. corporate tax rate from 35% to 21%, offset slightly by the elimination of the domestic manufacturing deduction.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Pursuant to ASU 2018-05 (regarding the application of ASC 740 associated with the enactment of the Tax Act), the tax benefit we recorded in fiscal year 2018 was provisional. The final impact of the Tax Act may differ due to and among other things, changes in interpretations, assumptions made by the Company and the issuance of additional guidance that may be provided. Specifically, no adjustment was recorded related to the impact of the Tax Act on state taxes, as we could not reasonably estimate the impact and do not expect any such impact to be material to our financial statements. There have been no changes to the provisional amounts recorded during fiscal 2018 in the three months ended July 1, 2018 and we have not finalized our accounting for the impact of the Tax Act.</w:t>
      </w:r>
    </w:p>
    <w:p>
      <w:pPr>
        <w:spacing w:after="0" w:line="19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July 1, 2018 and April 1, 2018, our balance sheet included a long-term liability for uncertain tax positions of $0.2 million, which arose from tax positions taken by Stauber on its tax returns for periods prior to our acquisition. Because the Stauber acquisition agreement provides us with indemnification by the prior owners for any tax liabilities relating to pre-acquisition tax returns, we have also recorded an offsetting, long-term receivable of $0.2 million as of July 1, 2018 and April 1, 2018. As a result, any change in the unrecognized tax benefit will not impact our effective tax rate in future periods. We expect these uncertain income tax amounts to decrease through September 2019 as the applicable examination periods for the relevant taxing authorities expire.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2019 and fiscal 2018.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69,936 shares in the aggregate for fiscal 2019.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July 1, 2018:</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recorded compensation expense related to performance share units and restricted stock of $0.3 million and $0.2 million for the three months ended July 1, 2018 and July 2, 2017, respectively. Substantially all of the compensation expense was recorded in selling, general and administrative expenses in the condensed consolidated statements of income.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their retainer, each non-employee director receives an annual grant of restricted stock for their Board of Director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restricted stock awards are expensed over the requisite vesting period, which is one year from the date of issuance, based on the market value on the date of grant. As of July 1, 2018, there were 8,484 shares of restricted stock with a grant date fair value of $41.25 outstanding under this program. Compensation expense for the three months ended July 1, 2018 and July 2, 2017 related to restricted stock awards to the Board was $0.1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 Repurchase Program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board of directors has authorized the repurchase of up to 300,000 shares of our outstanding common stock for cash on the open market or in privately negotiated transactions subject to applicable securities laws and regulations. Upon repurchase of the shares, we reduce our common stock for the par value of the shares with the excess applied against additional paid-in capital. No shares were repurchased during the three months ended July 1, 2018 or during fiscal 2018. As of July 1, 2018, 112,546 shares remained available to be repurchased under the share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Litigation, Commitments and Contingencies</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4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 xml:space="preserve">Environmental Remediation. </w:t>
      </w:r>
      <w:r>
        <w:rPr>
          <w:rFonts w:ascii="Arial" w:cs="Arial" w:eastAsia="Arial" w:hAnsi="Arial"/>
          <w:sz w:val="17"/>
          <w:szCs w:val="17"/>
          <w:color w:val="auto"/>
        </w:rPr>
        <w:t>During the fourth quarter of fiscal 2018, we recorded a liability of $0.6 million related to estimated remediation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existing trichloroethylene contamination at our Minneapolis facility. The liability is not discounted as management expects to incur these expenses during fiscal 2019.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 No adjustment was made to the liability during the three months ended July 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2018 Annual Report on Form 10-K.</w:t>
      </w:r>
    </w:p>
    <w:p>
      <w:pPr>
        <w:spacing w:after="0" w:line="170"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July 1, 2018:</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74,018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40,869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34,913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149,800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14,979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Three months ended July 2, 2017:</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133,731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25,999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three months ended July 1, 2018.</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58" w:right="2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months ended July 1, 2018 as compared to the similar period ended July 2, 2017. This discussion should be read in conjunction with the condensed consolidated financial statements and notes to condensed consolidated financial statements included in this quarterly report on Form 10-Q and Item 8 of our Annual Report on Form 10-K for the fiscal year ended April 1, 2018 (“fiscal 2018”). References to “fiscal 2019” refer to the fiscal year ending March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last in, first out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first-in, first-out (“FIFO”) method.</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74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July 1, 2018</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July 2, 2017</w:t>
            </w:r>
          </w:p>
        </w:tc>
      </w:tr>
      <w:tr>
        <w:trPr>
          <w:trHeight w:val="27"/>
        </w:trPr>
        <w:tc>
          <w:tcPr>
            <w:tcW w:w="7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7"/>
        </w:trPr>
        <w:tc>
          <w:tcPr>
            <w:tcW w:w="7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4" w:name="page15"/>
    <w:bookmarkEnd w:id="14"/>
    <w:p>
      <w:pPr>
        <w:ind w:right="52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July 1, 2018 Compared to Three Months Ended July 2, 2017 </w:t>
      </w:r>
      <w:r>
        <w:rPr>
          <w:rFonts w:ascii="Arial" w:cs="Arial" w:eastAsia="Arial" w:hAnsi="Arial"/>
          <w:sz w:val="18"/>
          <w:szCs w:val="18"/>
          <w:i w:val="1"/>
          <w:iCs w:val="1"/>
          <w:color w:val="auto"/>
        </w:rPr>
        <w:t>Sales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increased $16.1 million, or 12.0%, to $149.8 million for the three months ended July 1, 2018, as compared to $133.7 million for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$10.0 million, or 15.6%, to $74.0 million for the three months ended July 1, 2018, as compared to</w:t>
      </w:r>
    </w:p>
    <w:p>
      <w:pPr>
        <w:spacing w:after="0" w:line="4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$64.0 million for the same period of the prior year. Sales of bulk commodity products in the Industrial segment were approximately 19% of sales dollars for the three months ended July 1, 2018 and 18% of sales dollars for the same period in the prior year. While sales volumes were relatively flat compared to a year ago, sales dollars increased due to a product mix shift to more sales of certain specialty products that carry higher per-unit selling prices, as well as increased selling prices on certain products as a result of increased raw material costs.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$2.6 million, or 6.9%, to $40.9 million for the three months ended July 1,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$38.2 million for the same period of the prior year. Sales of bulk commodity products in the Water Treatment segment were approximately 15% of sales dollars for the three months ended July 1, 2018 and 13% of sales dollars for the same period in the prior year. Sales dollars increased as a result of increased sales volumes across the majority of our bulk and specialty product lines.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$3.4 million, or 10.9%, to $34.9 million for the three months ended July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$31.5 million the same period of the prior year. Sales of our distributed products increased compared to a year ago, offset slightly by a decline in sales of our manufactured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was $28.5 million, or 19.0% of sales, for the three months ended July 1, 2018, an increase of $2.5 million from $26.0 million, or 19.4% of sales, for the same period of the prior year. As a result of projected year-end raw material cost and on-hand quantity estimates, the LIFO reserve increased and gross profits decreased by $0.3 million in the current year and $0.5 million in the prior year. Gross profit was positively impacted by improved pricing, increased sales and a favorable product mix shift.</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$1.5 million to $10.4 million, or 14.1% of sales, for the three months ended July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$9.0 million, or 14.0% of sales, for the same period of the prior year. As a result of projected raw material cost increases, the LIFO reserve increased and gross profits decreased by $0.3 million in the current year. In the prior year, as a result of projected raw material cost and on-hand quantity increases, the LIFO reserve increased and gross profits decreased by $0.4 million. The overall increase in gross profit was due to improved pricing on certain products and a favorable product mix shift.</w:t>
      </w:r>
    </w:p>
    <w:p>
      <w:pPr>
        <w:spacing w:after="0" w:line="13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$0.2 million to $11.4 million, or 28.0%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1, 2018, as compared to $11.2 million, or 29.3% of sales, for the same period of the prior year. Gross profit increased as a result of higher sales compared to a year ago.</w:t>
      </w:r>
    </w:p>
    <w:p>
      <w:pPr>
        <w:spacing w:after="0" w:line="12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$0.8 million to $6.6 million, or 18.8%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1, 2018, as compared to $5.8 million, or 18.5% of sales, for the same period of the prior year. Gross profit increased as a result of lower operating costs and higher sales compared to the same period a year ago.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Selling, general and administrative (“SG&amp;A”) expenses were $15.0 million, or 10.0% of sales, for the three months ended July 1, 2018, a decrease of $0.8 million from $15.8 million, or 11.8% of sales, for the same period of the prior year. SG&amp;A costs decreased as a result of management efforts to control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income was $13.5 million, or 9.0% of sales, for the three months ended July 1, 2018, as compared to $10.2 million, or 7.6% of sales, for the same period of the prior year due to the combined impact of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Interest expense was $0.9 million for the three months ended July 1, 2018 compared to $0.8 million for the same period of the prior year. Although our total average outstanding debt for the current quarter was lower than a year ago, higher interest rates resulted in higher interest expense.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Our effective income tax rate was 27.3% for the three months ended July 1, 2018 compared to 38.5% for the three months ended July 2, 2017. The decrease in our effective tax rate was due primarily to the lower federal rate as a result of the U.S. Tax Cuts and Jobs Act of 2017, offset slightly by the elimination of the domestic manufacturing deduction. The effective tax rate is impacted by projected levels of annual taxable income, permanent items, and state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$5.2 million at July 1, 2018, an increase of $0.2 million as compared with the $5.0 million available as of April 1, 2018.</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provided by operating activities was $6.8 million for the three months ended July 1, 2018, compared to cash used in operating activities of $11.9 million for the same period of the prior year. The year-over-year increase in cash provided by operating activities was primarily driven by a lower first quarter increase in inventory dollars in the current quarter as compared to a year ago, favorable timing of payments on accounts payable, and improved operating income. The large first quarter increase in inventory dollars in the first three months of the prior fiscal year was primarily due to an increase in on-hand inventory, along with an increase in the per-unit cost, of one of our major commodities.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Cash used in investing activities was $2.3 million for the three months ended July 1, 2018, compared to $6.5 million for the same period of the prior year. Capital expenditures were $2.4 million for the three months ended July 1, 2018, compared to $6.6 million in the same period of the prior year. Included in capital expenditures for the first three months of fiscal 2019 was $1.4 million related to facility improvements, replacement equipment, new and replacement containers, and Water Treatment trucks and $0.4 million related to business expansion, inventory storage, and process improvements.</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used in financing activities was $4.3 million for the three months ended July 1, 2018, compared to cash provided by financing activities of $14.4 million in the same period of the prior year. Included in financing activities in the current quarter were dividend payments of $4.7 million, a debt repayment on our Term Loan Facility (as defined below) of $2.5 million, offset by net borrowings on our Revolving Loan Facility (as defined below) of $2.5 million. In the first three months of the prior year, we made dividend payments of $4.5 million, debt repayments on our Term Loan Facility of $1.9 million, and net borrowing of $20.0 million on our Revolving Loan Facility to fund working capital requirements.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credit facilities (the “Credit Facility”) totaling $165.0 million, consisting of a $100.0 million senior secured term loan credit facility (the “Term Loan Facility”) and a $65.0 million senior secured revolving loan credit facility (the “Revolving Loan Facility”). The Term Loan facility requires mandatory quarterly repayments, with the balance due at maturity. The Revolving Loan Facility includes a letter of credit subfacility in the amount of $5.0 million and a swingline subfacility in the amount of $8.0 million. The Credit Facility is scheduled to terminate on December 23, 2020. The Credit Facility is secured by substantially all of our personal property assets and those of our subsidiaries.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Borrowings under the Credit Facility bear interest at a variable rate per annum equal to one of the following, plus, in both cases, an applicable margin based upon our leverage ratio: (a) LIBOR for an interest period of one, two, three or six months as selected by us, reset at the end of the selected interest period, or</w:t>
      </w:r>
    </w:p>
    <w:p>
      <w:pPr>
        <w:ind w:right="6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U.S. Bank’s prime rate, (2) the Federal Funds Effective Rate plus 0.5%, or (3) one-month LIBOR for U.S. dollars plus 1.0%. The LIBOR margin is 1.125%, 1.25% or 1.5%, depending on our leverage ratio. The base rate margin is either 0.125%, 0.25% or 0.5%, depending on our leverage ratio. At July 1, 2018, the effective interest rate on our borrowings was 3.0%.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6" w:name="page17"/>
    <w:bookmarkEnd w:id="16"/>
    <w:p>
      <w:pPr>
        <w:ind w:right="20"/>
        <w:spacing w:after="0" w:line="254"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began September 1, 2017 and will terminate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paying interest on the outstanding principal under the Credit Facility, we are required to pay a commitment fee on the unutilized commitments thereunder. The commitment fee is 0.25% to 0.3%, depending on our leverage ratio.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issuance costs of $0.7 million were paid to the lenders and are being amortized as interest expense over the term of the credit facility. As of July 1, 2018, the unamortized balance of these costs was $0.3 million, and is reflected as a reduction of debt on our balance sheet.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As of July 1, 2018, we were in compliance with all required covenants.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contains customary events of default, including failure to make payments under the Term Loan Facility,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were no material changes in our critical accounting estimates since the filing of our Annual Report on Form 10-K for the fiscal year ended April 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2018.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 basis point change in interest rates would potentially increase or decrease our annual interest expense by approximately $0.1 million. In the second quarter of fiscal 2017, we entered into an interest rate swap that converts a portion of our variable-rate debt into a fixed-rate obligation. The swap agreement began September 1, 2017 and will end concurrently with the expiration of our Credit Facility on December 23, 2020. The notional amount of the swap agreement is $40 million from September 1, 2017 through August 31, 2018, $30 million from September 1, 2018 through August 31, 2019 and $20 million from September 1, 2019 through December 23, 2020.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2019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2018.</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share repurchase activity in the first quarter of fiscal 2019:</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6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Average Price Paid Per</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 that</w:t>
            </w:r>
          </w:p>
        </w:tc>
        <w:tc>
          <w:tcPr>
            <w:tcW w:w="0" w:type="dxa"/>
            <w:vAlign w:val="bottom"/>
          </w:tcPr>
          <w:p>
            <w:pPr>
              <w:spacing w:after="0"/>
              <w:rPr>
                <w:sz w:val="1"/>
                <w:szCs w:val="1"/>
                <w:color w:val="auto"/>
              </w:rPr>
            </w:pPr>
          </w:p>
        </w:tc>
      </w:tr>
      <w:tr>
        <w:trPr>
          <w:trHeight w:val="149"/>
        </w:trPr>
        <w:tc>
          <w:tcPr>
            <w:tcW w:w="2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 under Plans</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140" w:type="dxa"/>
            <w:vAlign w:val="bottom"/>
          </w:tcPr>
          <w:p>
            <w:pPr>
              <w:spacing w:after="0"/>
              <w:rPr>
                <w:sz w:val="16"/>
                <w:szCs w:val="16"/>
                <w:color w:val="auto"/>
              </w:rPr>
            </w:pPr>
          </w:p>
        </w:tc>
        <w:tc>
          <w:tcPr>
            <w:tcW w:w="1600" w:type="dxa"/>
            <w:vAlign w:val="bottom"/>
          </w:tcPr>
          <w:p>
            <w:pPr>
              <w:jc w:val="right"/>
              <w:ind w:right="596"/>
              <w:spacing w:after="0"/>
              <w:rPr>
                <w:sz w:val="20"/>
                <w:szCs w:val="20"/>
                <w:color w:val="auto"/>
              </w:rPr>
            </w:pPr>
            <w:r>
              <w:rPr>
                <w:rFonts w:ascii="Arial" w:cs="Arial" w:eastAsia="Arial" w:hAnsi="Arial"/>
                <w:sz w:val="14"/>
                <w:szCs w:val="14"/>
                <w:b w:val="1"/>
                <w:bCs w:val="1"/>
                <w:color w:val="auto"/>
              </w:rPr>
              <w:t>Share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Announced Plan or Program</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2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4/2/2018-4/29/2018</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8,105</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080" w:type="dxa"/>
            <w:vAlign w:val="bottom"/>
            <w:tcBorders>
              <w:top w:val="single" w:sz="8" w:color="auto"/>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3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4/30/2018-5/27/2018</w:t>
            </w:r>
          </w:p>
        </w:tc>
        <w:tc>
          <w:tcPr>
            <w:tcW w:w="1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ind w:left="180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5/28/2018-7/1/2018</w:t>
            </w:r>
          </w:p>
        </w:tc>
        <w:tc>
          <w:tcPr>
            <w:tcW w:w="19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112,546</w:t>
            </w:r>
          </w:p>
        </w:tc>
        <w:tc>
          <w:tcPr>
            <w:tcW w:w="0" w:type="dxa"/>
            <w:vAlign w:val="bottom"/>
          </w:tcPr>
          <w:p>
            <w:pPr>
              <w:spacing w:after="0"/>
              <w:rPr>
                <w:sz w:val="1"/>
                <w:szCs w:val="1"/>
                <w:color w:val="auto"/>
              </w:rPr>
            </w:pPr>
          </w:p>
        </w:tc>
      </w:tr>
      <w:tr>
        <w:trPr>
          <w:trHeight w:val="237"/>
        </w:trPr>
        <w:tc>
          <w:tcPr>
            <w:tcW w:w="2180" w:type="dxa"/>
            <w:vAlign w:val="bottom"/>
          </w:tcPr>
          <w:p>
            <w:pPr>
              <w:ind w:left="42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8,105</w:t>
            </w: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27" w:lineRule="auto"/>
        <w:tabs>
          <w:tab w:leader="none" w:pos="228"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The shares of common stock reported represent shares that were surrendered to us by stock plan participants to satisfy minimum withholding tax obligations related to the vesting of restricted stock awards and are not shares purchased under the Board of Directors authorization described above.</w:t>
      </w:r>
    </w:p>
    <w:p>
      <w:pPr>
        <w:spacing w:after="0" w:line="202" w:lineRule="exact"/>
        <w:rPr>
          <w:rFonts w:ascii="Arial" w:cs="Arial" w:eastAsia="Arial" w:hAnsi="Arial"/>
          <w:sz w:val="24"/>
          <w:szCs w:val="24"/>
          <w:color w:val="auto"/>
          <w:vertAlign w:val="superscript"/>
        </w:rPr>
      </w:pPr>
    </w:p>
    <w:p>
      <w:pPr>
        <w:jc w:val="both"/>
        <w:ind w:firstLine="8"/>
        <w:spacing w:after="0" w:line="238" w:lineRule="auto"/>
        <w:tabs>
          <w:tab w:leader="none" w:pos="208"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May 2014, we announced that our Board of Directors had authorized the repurchase of up to 300,000 shares of our outstanding common stock. The shares may be repurchased on the open market or in privately negotiated transactions subject to applicable securities laws and regulations. We did not purchase any shares of our common stock during the three months ended July 1, 2018.</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52"/>
              <w:spacing w:after="0"/>
              <w:rPr>
                <w:sz w:val="20"/>
                <w:szCs w:val="20"/>
                <w:color w:val="auto"/>
              </w:rPr>
            </w:pPr>
            <w:r>
              <w:rPr>
                <w:rFonts w:ascii="Arial" w:cs="Arial" w:eastAsia="Arial" w:hAnsi="Arial"/>
                <w:sz w:val="18"/>
                <w:szCs w:val="18"/>
                <w:color w:val="auto"/>
                <w:w w:val="95"/>
              </w:rPr>
              <w:t>ITEM 6.</w:t>
            </w:r>
          </w:p>
        </w:tc>
        <w:tc>
          <w:tcPr>
            <w:tcW w:w="960" w:type="dxa"/>
            <w:vAlign w:val="bottom"/>
          </w:tcPr>
          <w:p>
            <w:pPr>
              <w:ind w:left="120"/>
              <w:spacing w:after="0"/>
              <w:rPr>
                <w:sz w:val="20"/>
                <w:szCs w:val="20"/>
                <w:color w:val="auto"/>
              </w:rPr>
            </w:pPr>
            <w:r>
              <w:rPr>
                <w:rFonts w:ascii="Arial" w:cs="Arial" w:eastAsia="Arial" w:hAnsi="Arial"/>
                <w:sz w:val="18"/>
                <w:szCs w:val="18"/>
                <w:color w:val="auto"/>
                <w:w w:val="99"/>
              </w:rPr>
              <w:t>EXHIBITS</w:t>
            </w: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81"/>
        </w:trPr>
        <w:tc>
          <w:tcPr>
            <w:tcW w:w="860" w:type="dxa"/>
            <w:vAlign w:val="bottom"/>
          </w:tcPr>
          <w:p>
            <w:pPr>
              <w:jc w:val="right"/>
              <w:ind w:right="192"/>
              <w:spacing w:after="0"/>
              <w:rPr>
                <w:sz w:val="20"/>
                <w:szCs w:val="20"/>
                <w:color w:val="auto"/>
              </w:rPr>
            </w:pPr>
            <w:r>
              <w:rPr>
                <w:rFonts w:ascii="Arial" w:cs="Arial" w:eastAsia="Arial" w:hAnsi="Arial"/>
                <w:sz w:val="14"/>
                <w:szCs w:val="14"/>
                <w:color w:val="auto"/>
              </w:rPr>
              <w:t>Exhibit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Description</w:t>
            </w:r>
          </w:p>
        </w:tc>
        <w:tc>
          <w:tcPr>
            <w:tcW w:w="3740" w:type="dxa"/>
            <w:vAlign w:val="bottom"/>
            <w:gridSpan w:val="3"/>
          </w:tcPr>
          <w:p>
            <w:pPr>
              <w:spacing w:after="0"/>
              <w:rPr>
                <w:sz w:val="24"/>
                <w:szCs w:val="24"/>
                <w:color w:val="auto"/>
              </w:rPr>
            </w:pPr>
          </w:p>
        </w:tc>
        <w:tc>
          <w:tcPr>
            <w:tcW w:w="2240" w:type="dxa"/>
            <w:vAlign w:val="bottom"/>
            <w:gridSpan w:val="3"/>
          </w:tcPr>
          <w:p>
            <w:pPr>
              <w:jc w:val="center"/>
              <w:ind w:left="212"/>
              <w:spacing w:after="0"/>
              <w:rPr>
                <w:sz w:val="20"/>
                <w:szCs w:val="20"/>
                <w:color w:val="auto"/>
              </w:rPr>
            </w:pPr>
            <w:r>
              <w:rPr>
                <w:rFonts w:ascii="Arial" w:cs="Arial" w:eastAsia="Arial" w:hAnsi="Arial"/>
                <w:sz w:val="14"/>
                <w:szCs w:val="14"/>
                <w:color w:val="auto"/>
                <w:w w:val="98"/>
              </w:rPr>
              <w:t>Method of Filing</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040" w:type="dxa"/>
            <w:vAlign w:val="bottom"/>
            <w:gridSpan w:val="10"/>
          </w:tcPr>
          <w:p>
            <w:pPr>
              <w:spacing w:after="0"/>
              <w:rPr>
                <w:rFonts w:ascii="Arial" w:cs="Arial" w:eastAsia="Arial" w:hAnsi="Arial"/>
                <w:sz w:val="18"/>
                <w:szCs w:val="18"/>
                <w:color w:val="0000FF"/>
              </w:rPr>
            </w:pPr>
            <w:hyperlink r:id="rId18">
              <w:r>
                <w:rPr>
                  <w:rFonts w:ascii="Arial" w:cs="Arial" w:eastAsia="Arial" w:hAnsi="Arial"/>
                  <w:sz w:val="18"/>
                  <w:szCs w:val="18"/>
                  <w:color w:val="0000FF"/>
                </w:rPr>
                <w:t xml:space="preserve">Amended and Restated Articles of Incorporation. </w:t>
              </w:r>
            </w:hyperlink>
            <w:r>
              <w:rPr>
                <w:rFonts w:ascii="Arial" w:cs="Arial" w:eastAsia="Arial" w:hAnsi="Arial"/>
                <w:sz w:val="18"/>
                <w:szCs w:val="18"/>
                <w:color w:val="000000"/>
              </w:rPr>
              <w:t>(1)</w:t>
            </w:r>
          </w:p>
        </w:tc>
        <w:tc>
          <w:tcPr>
            <w:tcW w:w="2240" w:type="dxa"/>
            <w:vAlign w:val="bottom"/>
            <w:gridSpan w:val="3"/>
          </w:tcPr>
          <w:p>
            <w:pPr>
              <w:jc w:val="center"/>
              <w:ind w:left="232"/>
              <w:spacing w:after="0"/>
              <w:rPr>
                <w:sz w:val="20"/>
                <w:szCs w:val="20"/>
                <w:color w:val="auto"/>
              </w:rPr>
            </w:pPr>
            <w:r>
              <w:rPr>
                <w:rFonts w:ascii="Arial" w:cs="Arial" w:eastAsia="Arial" w:hAnsi="Arial"/>
                <w:sz w:val="18"/>
                <w:szCs w:val="18"/>
                <w:color w:val="auto"/>
                <w:w w:val="90"/>
              </w:rPr>
              <w:t>Incorporated by Reference</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3540" w:type="dxa"/>
            <w:vAlign w:val="bottom"/>
            <w:tcBorders>
              <w:top w:val="single" w:sz="8" w:color="0000FF"/>
            </w:tcBorders>
            <w:gridSpan w:val="3"/>
          </w:tcPr>
          <w:p>
            <w:pPr>
              <w:spacing w:after="0"/>
              <w:rPr>
                <w:rFonts w:ascii="Arial" w:cs="Arial" w:eastAsia="Arial" w:hAnsi="Arial"/>
                <w:sz w:val="18"/>
                <w:szCs w:val="18"/>
                <w:color w:val="0000FF"/>
              </w:rPr>
            </w:pPr>
            <w:hyperlink r:id="rId19">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4500" w:type="dxa"/>
            <w:vAlign w:val="bottom"/>
            <w:gridSpan w:val="7"/>
          </w:tcPr>
          <w:p>
            <w:pPr>
              <w:spacing w:after="0"/>
              <w:rPr>
                <w:sz w:val="21"/>
                <w:szCs w:val="21"/>
                <w:color w:val="auto"/>
              </w:rPr>
            </w:pPr>
          </w:p>
        </w:tc>
        <w:tc>
          <w:tcPr>
            <w:tcW w:w="2240" w:type="dxa"/>
            <w:vAlign w:val="bottom"/>
            <w:gridSpan w:val="3"/>
          </w:tcPr>
          <w:p>
            <w:pPr>
              <w:jc w:val="center"/>
              <w:ind w:left="232"/>
              <w:spacing w:after="0"/>
              <w:rPr>
                <w:sz w:val="20"/>
                <w:szCs w:val="20"/>
                <w:color w:val="auto"/>
              </w:rPr>
            </w:pPr>
            <w:r>
              <w:rPr>
                <w:rFonts w:ascii="Arial" w:cs="Arial" w:eastAsia="Arial" w:hAnsi="Arial"/>
                <w:sz w:val="18"/>
                <w:szCs w:val="18"/>
                <w:color w:val="auto"/>
                <w:w w:val="90"/>
              </w:rPr>
              <w:t>Incorporated by Reference</w:t>
            </w:r>
          </w:p>
        </w:tc>
      </w:tr>
      <w:tr>
        <w:trPr>
          <w:trHeight w:val="20"/>
        </w:trPr>
        <w:tc>
          <w:tcPr>
            <w:tcW w:w="86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8040" w:type="dxa"/>
            <w:vAlign w:val="bottom"/>
            <w:gridSpan w:val="1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Certification by Chief Executive Officer pursuant to Rule 13a-14(a) of the Exchange Act.</w:t>
              </w:r>
            </w:hyperlink>
          </w:p>
        </w:tc>
        <w:tc>
          <w:tcPr>
            <w:tcW w:w="2240" w:type="dxa"/>
            <w:vAlign w:val="bottom"/>
            <w:gridSpan w:val="3"/>
          </w:tcPr>
          <w:p>
            <w:pPr>
              <w:jc w:val="center"/>
              <w:ind w:left="21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64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1"/>
                <w:szCs w:val="21"/>
                <w:color w:val="auto"/>
              </w:rPr>
            </w:pPr>
          </w:p>
        </w:tc>
        <w:tc>
          <w:tcPr>
            <w:tcW w:w="1600" w:type="dxa"/>
            <w:vAlign w:val="bottom"/>
          </w:tcPr>
          <w:p>
            <w:pPr>
              <w:spacing w:after="0"/>
              <w:rPr>
                <w:sz w:val="21"/>
                <w:szCs w:val="21"/>
                <w:color w:val="auto"/>
              </w:rPr>
            </w:pPr>
          </w:p>
        </w:tc>
        <w:tc>
          <w:tcPr>
            <w:tcW w:w="2240" w:type="dxa"/>
            <w:vAlign w:val="bottom"/>
            <w:gridSpan w:val="3"/>
          </w:tcPr>
          <w:p>
            <w:pPr>
              <w:jc w:val="center"/>
              <w:ind w:left="21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Section 1350</w:t>
              </w:r>
            </w:hyperlink>
          </w:p>
        </w:tc>
        <w:tc>
          <w:tcPr>
            <w:tcW w:w="7080" w:type="dxa"/>
            <w:vAlign w:val="bottom"/>
            <w:gridSpan w:val="9"/>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Certification by Chief Executive Officer.</w:t>
              </w:r>
            </w:hyperlink>
          </w:p>
        </w:tc>
        <w:tc>
          <w:tcPr>
            <w:tcW w:w="2240" w:type="dxa"/>
            <w:vAlign w:val="bottom"/>
            <w:gridSpan w:val="3"/>
          </w:tcPr>
          <w:p>
            <w:pPr>
              <w:jc w:val="center"/>
              <w:ind w:left="212"/>
              <w:spacing w:after="0"/>
              <w:rPr>
                <w:sz w:val="20"/>
                <w:szCs w:val="20"/>
                <w:color w:val="auto"/>
              </w:rPr>
            </w:pPr>
            <w:r>
              <w:rPr>
                <w:rFonts w:ascii="Arial" w:cs="Arial" w:eastAsia="Arial" w:hAnsi="Arial"/>
                <w:sz w:val="18"/>
                <w:szCs w:val="18"/>
                <w:color w:val="auto"/>
                <w:w w:val="94"/>
              </w:rPr>
              <w:t>Filed Electronically</w:t>
            </w:r>
          </w:p>
        </w:tc>
      </w:tr>
      <w:tr>
        <w:trPr>
          <w:trHeight w:val="250"/>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Section 1350</w:t>
              </w:r>
            </w:hyperlink>
          </w:p>
        </w:tc>
        <w:tc>
          <w:tcPr>
            <w:tcW w:w="292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Certification by Chief Financial Officer.</w:t>
              </w:r>
            </w:hyperlink>
          </w:p>
        </w:tc>
        <w:tc>
          <w:tcPr>
            <w:tcW w:w="40" w:type="dxa"/>
            <w:vAlign w:val="bottom"/>
            <w:tcBorders>
              <w:top w:val="single" w:sz="8" w:color="0000FF"/>
            </w:tcBorders>
          </w:tcPr>
          <w:p>
            <w:pPr>
              <w:spacing w:after="0"/>
              <w:rPr>
                <w:sz w:val="21"/>
                <w:szCs w:val="21"/>
                <w:color w:val="auto"/>
              </w:rPr>
            </w:pPr>
          </w:p>
        </w:tc>
        <w:tc>
          <w:tcPr>
            <w:tcW w:w="4120" w:type="dxa"/>
            <w:vAlign w:val="bottom"/>
            <w:gridSpan w:val="4"/>
          </w:tcPr>
          <w:p>
            <w:pPr>
              <w:spacing w:after="0"/>
              <w:rPr>
                <w:sz w:val="21"/>
                <w:szCs w:val="21"/>
                <w:color w:val="auto"/>
              </w:rPr>
            </w:pPr>
          </w:p>
        </w:tc>
        <w:tc>
          <w:tcPr>
            <w:tcW w:w="2240" w:type="dxa"/>
            <w:vAlign w:val="bottom"/>
            <w:gridSpan w:val="3"/>
          </w:tcPr>
          <w:p>
            <w:pPr>
              <w:jc w:val="center"/>
              <w:ind w:left="212"/>
              <w:spacing w:after="0"/>
              <w:rPr>
                <w:sz w:val="20"/>
                <w:szCs w:val="20"/>
                <w:color w:val="auto"/>
              </w:rPr>
            </w:pPr>
            <w:r>
              <w:rPr>
                <w:rFonts w:ascii="Arial" w:cs="Arial" w:eastAsia="Arial" w:hAnsi="Arial"/>
                <w:sz w:val="18"/>
                <w:szCs w:val="18"/>
                <w:color w:val="auto"/>
                <w:w w:val="94"/>
              </w:rPr>
              <w:t>Filed Electronically</w:t>
            </w:r>
          </w:p>
        </w:tc>
      </w:tr>
      <w:tr>
        <w:trPr>
          <w:trHeight w:val="276"/>
        </w:trPr>
        <w:tc>
          <w:tcPr>
            <w:tcW w:w="8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8040" w:type="dxa"/>
            <w:vAlign w:val="bottom"/>
            <w:gridSpan w:val="10"/>
          </w:tcPr>
          <w:p>
            <w:pPr>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July 1,</w:t>
            </w:r>
          </w:p>
        </w:tc>
        <w:tc>
          <w:tcPr>
            <w:tcW w:w="2240" w:type="dxa"/>
            <w:vAlign w:val="bottom"/>
            <w:gridSpan w:val="3"/>
          </w:tcPr>
          <w:p>
            <w:pPr>
              <w:jc w:val="center"/>
              <w:ind w:left="212"/>
              <w:spacing w:after="0"/>
              <w:rPr>
                <w:sz w:val="20"/>
                <w:szCs w:val="20"/>
                <w:color w:val="auto"/>
              </w:rPr>
            </w:pPr>
            <w:r>
              <w:rPr>
                <w:rFonts w:ascii="Arial" w:cs="Arial" w:eastAsia="Arial" w:hAnsi="Arial"/>
                <w:sz w:val="18"/>
                <w:szCs w:val="18"/>
                <w:color w:val="auto"/>
                <w:w w:val="94"/>
              </w:rPr>
              <w:t>Filed Electronically</w:t>
            </w:r>
          </w:p>
        </w:tc>
      </w:tr>
      <w:tr>
        <w:trPr>
          <w:trHeight w:val="230"/>
        </w:trPr>
        <w:tc>
          <w:tcPr>
            <w:tcW w:w="860" w:type="dxa"/>
            <w:vAlign w:val="bottom"/>
          </w:tcPr>
          <w:p>
            <w:pPr>
              <w:spacing w:after="0"/>
              <w:rPr>
                <w:sz w:val="20"/>
                <w:szCs w:val="20"/>
                <w:color w:val="auto"/>
              </w:rPr>
            </w:pPr>
          </w:p>
        </w:tc>
        <w:tc>
          <w:tcPr>
            <w:tcW w:w="8040" w:type="dxa"/>
            <w:vAlign w:val="bottom"/>
            <w:gridSpan w:val="10"/>
          </w:tcPr>
          <w:p>
            <w:pPr>
              <w:spacing w:after="0"/>
              <w:rPr>
                <w:sz w:val="20"/>
                <w:szCs w:val="20"/>
                <w:color w:val="auto"/>
              </w:rPr>
            </w:pPr>
            <w:r>
              <w:rPr>
                <w:rFonts w:ascii="Arial" w:cs="Arial" w:eastAsia="Arial" w:hAnsi="Arial"/>
                <w:sz w:val="18"/>
                <w:szCs w:val="18"/>
                <w:color w:val="auto"/>
                <w:w w:val="95"/>
              </w:rPr>
              <w:t>2018 filed with the SEC on August 1, 2018 formatted in Extensible Business Reporting Language (XBRL);</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left="860" w:right="2660" w:hanging="1"/>
        <w:spacing w:after="0" w:line="292" w:lineRule="auto"/>
        <w:tabs>
          <w:tab w:leader="none" w:pos="107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Condensed Consolidated Balance Sheets at July 1, 2018 and April 1, 2018, (ii) the Condensed Consolidated Statements of Income for the three months ended July 1, 2018 and July 2, 2017, (iii) the Condensed Consolidated Statements of Comprehensive Income for the three months ended July 1, 2018 and July 2, 2017, (iv) the Condensed Consolidated Statements of Cash Flows for the three months ended July 1, 2018 and July 2, 2017, and (v) Notes to Condensed Consolidated Financial Statements.</w:t>
      </w:r>
    </w:p>
    <w:p>
      <w:pPr>
        <w:spacing w:after="0" w:line="379" w:lineRule="exact"/>
        <w:rPr>
          <w:rFonts w:ascii="Arial" w:cs="Arial" w:eastAsia="Arial" w:hAnsi="Arial"/>
          <w:sz w:val="16"/>
          <w:szCs w:val="16"/>
          <w:color w:val="auto"/>
        </w:rPr>
      </w:pPr>
    </w:p>
    <w:p>
      <w:pPr>
        <w:ind w:left="540" w:hanging="316"/>
        <w:spacing w:after="0" w:line="25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584" w:right="339"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and</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1, 2018</w:t>
      </w:r>
    </w:p>
    <w:p>
      <w:pPr>
        <w:sectPr>
          <w:pgSz w:w="11900" w:h="16838" w:orient="portrait"/>
          <w:cols w:equalWidth="0" w:num="1">
            <w:col w:w="11260"/>
          </w:cols>
          <w:pgMar w:left="240" w:top="580" w:right="3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2018</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1, 2018,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 2018</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1, 2018,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1"/>
    </w:lvl>
    <w:lvl w:ilvl="1">
      <w:lvlJc w:val="left"/>
      <w:lvlText w:val="%2"/>
      <w:numFmt w:val="lowerRoman"/>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18" Type="http://schemas.openxmlformats.org/officeDocument/2006/relationships/hyperlink" Target="http://www.sec.gov/Archives/edgar/data/46250/000089710110001532/hawkins103608_ex3-1.htm" TargetMode="External"/><Relationship Id="rId19"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2019-12-28T20:31:55Z</dcterms:created>
  <dcterms:modified xsi:type="dcterms:W3CDTF">2019-12-28T20:31:55Z</dcterms:modified>
</cp:coreProperties>
</file>