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CURRENT REPORT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February 4, 2016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HAWKINS,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530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Minnesota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0-7647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41-0771293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5620" w:space="720"/>
            <w:col w:w="2380" w:space="720"/>
            <w:col w:w="1860"/>
          </w:cols>
          <w:pgMar w:left="240" w:top="530" w:right="359" w:bottom="1440" w:gutter="0" w:footer="0" w:header="0"/>
          <w:type w:val="continuous"/>
        </w:sect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(IRS Employer Identification No.)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5020" w:space="720"/>
            <w:col w:w="2380" w:space="720"/>
            <w:col w:w="2460"/>
          </w:cols>
          <w:pgMar w:left="240" w:top="530" w:right="359" w:bottom="1440" w:gutter="0" w:footer="0" w:header="0"/>
          <w:type w:val="continuous"/>
        </w:sect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2381 Rosegate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Roseville, MN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55413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720"/>
            <w:col w:w="1640"/>
          </w:cols>
          <w:pgMar w:left="240" w:top="530" w:right="359" w:bottom="1440" w:gutter="0" w:footer="0" w:header="0"/>
          <w:type w:val="continuous"/>
        </w:sect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720"/>
            <w:col w:w="1760"/>
          </w:cols>
          <w:pgMar w:left="240" w:top="530" w:right="35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Registrant’s telephone number, including area code (612-331-6910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551180</wp:posOffset>
            </wp:positionV>
            <wp:extent cx="72720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530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both"/>
        <w:ind w:left="40" w:right="4440" w:hanging="5"/>
        <w:spacing w:after="0" w:line="510" w:lineRule="auto"/>
        <w:tabs>
          <w:tab w:leader="none" w:pos="391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Written communications pursuant to Rule 425 under the Securities Act (17 CFR 230.425) q Soliciting material pursuant to Rule 14a-12 under the Exchange Act (17 CFR 240.14a-12)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jc w:val="both"/>
        <w:ind w:left="40" w:right="2840"/>
        <w:spacing w:after="0" w:line="571" w:lineRule="auto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q Pre-commencement communications pursuant to Rule 14d-2(b) under the Exchange Act (17 CFR 240.14d-2(b)) q 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1300"/>
          </w:cols>
          <w:pgMar w:left="240" w:top="530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720" w:right="180" w:hanging="688"/>
        <w:spacing w:after="0" w:line="28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5.02.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February 5, 2016, the Board of Directors of Hawkins, Inc. appointed Daniel J. Stauber to fill a newly created vacancy on its Board of Directors.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Mr. Stauber has been Chief Brand Officer for Stauber Performance Ingredients, Inc., a wholly owned subsidiary of Hawkins, Inc., since December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2015. He previously served Stauber as Chief Executive Officer from 1998 to 2015, President from 1994 to 1998 and various other positions from 1984 to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1994.</w:t>
      </w:r>
    </w:p>
    <w:p>
      <w:pPr>
        <w:sectPr>
          <w:pgSz w:w="11900" w:h="16838" w:orient="portrait"/>
          <w:cols w:equalWidth="0" w:num="1">
            <w:col w:w="11060"/>
          </w:cols>
          <w:pgMar w:left="240" w:top="756" w:right="599" w:bottom="1440" w:gutter="0" w:footer="0" w:header="0"/>
        </w:sectPr>
      </w:pPr>
    </w:p>
    <w:bookmarkStart w:id="2" w:name="page3"/>
    <w:bookmarkEnd w:id="2"/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HAWKINS,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HAWKINS, INC.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4600" w:val="left"/>
          <w:tab w:leader="none" w:pos="7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4, 2016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/s/ Kathleen P. Pepski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3272790</wp:posOffset>
            </wp:positionH>
            <wp:positionV relativeFrom="paragraph">
              <wp:posOffset>31750</wp:posOffset>
            </wp:positionV>
            <wp:extent cx="39789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center"/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Kathleen P. Pepski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President, Chief Financial Officer, and Treasurer</w:t>
      </w:r>
    </w:p>
    <w:sectPr>
      <w:pgSz w:w="11900" w:h="16838" w:orient="portrait"/>
      <w:cols w:equalWidth="0" w:num="1">
        <w:col w:w="10940"/>
      </w:cols>
      <w:pgMar w:left="240" w:top="594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r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2019-12-05T07:02:55Z</dcterms:created>
  <dcterms:modified xsi:type="dcterms:W3CDTF">2019-12-05T07:02:55Z</dcterms:modified>
</cp:coreProperties>
</file>