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132" w:lineRule="exact"/>
        <w:rPr>
          <w:sz w:val="24"/>
          <w:szCs w:val="24"/>
          <w:color w:val="auto"/>
        </w:rPr>
      </w:pPr>
    </w:p>
    <w:p>
      <w:pPr>
        <w:jc w:val="center"/>
        <w:spacing w:after="0" w:line="288" w:lineRule="exact"/>
        <w:rPr>
          <w:sz w:val="20"/>
          <w:szCs w:val="20"/>
          <w:color w:val="auto"/>
        </w:rPr>
      </w:pPr>
      <w:r>
        <w:rPr>
          <w:rFonts w:ascii="Times New Roman" w:cs="Times New Roman" w:eastAsia="Times New Roman" w:hAnsi="Times New Roman"/>
          <w:sz w:val="25"/>
          <w:szCs w:val="25"/>
          <w:b w:val="1"/>
          <w:bCs w:val="1"/>
          <w:color w:val="auto"/>
        </w:rPr>
        <w:t>FORM 8</w:t>
      </w:r>
      <w:r>
        <w:rPr>
          <w:rFonts w:ascii="MS PGothic" w:cs="MS PGothic" w:eastAsia="MS PGothic" w:hAnsi="MS PGothic"/>
          <w:sz w:val="25"/>
          <w:szCs w:val="25"/>
          <w:color w:val="auto"/>
          <w:strike w:val="1"/>
        </w:rPr>
        <w:t>‑</w:t>
      </w:r>
      <w:r>
        <w:rPr>
          <w:rFonts w:ascii="Times New Roman" w:cs="Times New Roman" w:eastAsia="Times New Roman" w:hAnsi="Times New Roman"/>
          <w:sz w:val="25"/>
          <w:szCs w:val="25"/>
          <w:b w:val="1"/>
          <w:bCs w:val="1"/>
          <w:color w:val="auto"/>
        </w:rPr>
        <w:t>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 PURSUANT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SECTION 13 OR 15(d) OF THE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SECURITIES EXCHANGE ACT OF 1934</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Date of Report (Date of earliest event reported): </w:t>
      </w:r>
      <w:r>
        <w:rPr>
          <w:rFonts w:ascii="Times New Roman" w:cs="Times New Roman" w:eastAsia="Times New Roman" w:hAnsi="Times New Roman"/>
          <w:sz w:val="15"/>
          <w:szCs w:val="15"/>
          <w:b w:val="1"/>
          <w:bCs w:val="1"/>
          <w:color w:val="auto"/>
        </w:rPr>
        <w:t>August 4, 2016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HAWKINS,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318" w:lineRule="exact"/>
        <w:rPr>
          <w:sz w:val="24"/>
          <w:szCs w:val="24"/>
          <w:color w:val="auto"/>
        </w:rPr>
      </w:pPr>
    </w:p>
    <w:tbl>
      <w:tblPr>
        <w:tblLayout w:type="fixed"/>
        <w:tblInd w:w="1400" w:type="dxa"/>
        <w:tblCellMar>
          <w:top w:w="0" w:type="dxa"/>
          <w:left w:w="0" w:type="dxa"/>
          <w:bottom w:w="0" w:type="dxa"/>
          <w:right w:w="0" w:type="dxa"/>
        </w:tblCellMar>
      </w:tblPr>
      <w:tr>
        <w:trPr>
          <w:trHeight w:val="204"/>
        </w:trPr>
        <w:tc>
          <w:tcPr>
            <w:tcW w:w="2100" w:type="dxa"/>
            <w:vAlign w:val="bottom"/>
          </w:tcPr>
          <w:p>
            <w:pPr>
              <w:jc w:val="center"/>
              <w:ind w:right="443"/>
              <w:spacing w:after="0"/>
              <w:rPr>
                <w:sz w:val="20"/>
                <w:szCs w:val="20"/>
                <w:color w:val="auto"/>
              </w:rPr>
            </w:pPr>
            <w:r>
              <w:rPr>
                <w:rFonts w:ascii="Times New Roman" w:cs="Times New Roman" w:eastAsia="Times New Roman" w:hAnsi="Times New Roman"/>
                <w:sz w:val="15"/>
                <w:szCs w:val="15"/>
                <w:b w:val="1"/>
                <w:bCs w:val="1"/>
                <w:color w:val="auto"/>
              </w:rPr>
              <w:t>Minnesota</w:t>
            </w:r>
          </w:p>
        </w:tc>
        <w:tc>
          <w:tcPr>
            <w:tcW w:w="3380" w:type="dxa"/>
            <w:vAlign w:val="bottom"/>
          </w:tcPr>
          <w:p>
            <w:pPr>
              <w:jc w:val="right"/>
              <w:ind w:right="863"/>
              <w:spacing w:after="0"/>
              <w:rPr>
                <w:sz w:val="20"/>
                <w:szCs w:val="20"/>
                <w:color w:val="auto"/>
              </w:rPr>
            </w:pPr>
            <w:r>
              <w:rPr>
                <w:rFonts w:ascii="Times New Roman" w:cs="Times New Roman" w:eastAsia="Times New Roman" w:hAnsi="Times New Roman"/>
                <w:sz w:val="15"/>
                <w:szCs w:val="15"/>
                <w:b w:val="1"/>
                <w:bCs w:val="1"/>
                <w:color w:val="auto"/>
              </w:rPr>
              <w:t>0-7647</w:t>
            </w:r>
          </w:p>
        </w:tc>
        <w:tc>
          <w:tcPr>
            <w:tcW w:w="3500" w:type="dxa"/>
            <w:vAlign w:val="bottom"/>
          </w:tcPr>
          <w:p>
            <w:pPr>
              <w:jc w:val="right"/>
              <w:ind w:right="683"/>
              <w:spacing w:after="0"/>
              <w:rPr>
                <w:sz w:val="20"/>
                <w:szCs w:val="20"/>
                <w:color w:val="auto"/>
              </w:rPr>
            </w:pPr>
            <w:r>
              <w:rPr>
                <w:rFonts w:ascii="Times New Roman" w:cs="Times New Roman" w:eastAsia="Times New Roman" w:hAnsi="Times New Roman"/>
                <w:sz w:val="15"/>
                <w:szCs w:val="15"/>
                <w:b w:val="1"/>
                <w:bCs w:val="1"/>
                <w:color w:val="auto"/>
              </w:rPr>
              <w:t>41-0771293</w:t>
            </w:r>
          </w:p>
        </w:tc>
      </w:tr>
      <w:tr>
        <w:trPr>
          <w:trHeight w:val="232"/>
        </w:trPr>
        <w:tc>
          <w:tcPr>
            <w:tcW w:w="2100" w:type="dxa"/>
            <w:vAlign w:val="bottom"/>
          </w:tcPr>
          <w:p>
            <w:pPr>
              <w:jc w:val="center"/>
              <w:ind w:right="443"/>
              <w:spacing w:after="0"/>
              <w:rPr>
                <w:sz w:val="20"/>
                <w:szCs w:val="20"/>
                <w:color w:val="auto"/>
              </w:rPr>
            </w:pPr>
            <w:r>
              <w:rPr>
                <w:rFonts w:ascii="Times New Roman" w:cs="Times New Roman" w:eastAsia="Times New Roman" w:hAnsi="Times New Roman"/>
                <w:sz w:val="15"/>
                <w:szCs w:val="15"/>
                <w:b w:val="1"/>
                <w:bCs w:val="1"/>
                <w:color w:val="auto"/>
              </w:rPr>
              <w:t>(State of Incorporation)</w:t>
            </w:r>
          </w:p>
        </w:tc>
        <w:tc>
          <w:tcPr>
            <w:tcW w:w="3380" w:type="dxa"/>
            <w:vAlign w:val="bottom"/>
          </w:tcPr>
          <w:p>
            <w:pPr>
              <w:jc w:val="center"/>
              <w:ind w:left="983"/>
              <w:spacing w:after="0"/>
              <w:rPr>
                <w:sz w:val="20"/>
                <w:szCs w:val="20"/>
                <w:color w:val="auto"/>
              </w:rPr>
            </w:pPr>
            <w:r>
              <w:rPr>
                <w:rFonts w:ascii="Times New Roman" w:cs="Times New Roman" w:eastAsia="Times New Roman" w:hAnsi="Times New Roman"/>
                <w:sz w:val="15"/>
                <w:szCs w:val="15"/>
                <w:b w:val="1"/>
                <w:bCs w:val="1"/>
                <w:color w:val="auto"/>
              </w:rPr>
              <w:t>(Commission File Number)</w:t>
            </w:r>
          </w:p>
        </w:tc>
        <w:tc>
          <w:tcPr>
            <w:tcW w:w="3500" w:type="dxa"/>
            <w:vAlign w:val="bottom"/>
          </w:tcPr>
          <w:p>
            <w:pPr>
              <w:ind w:left="1240"/>
              <w:spacing w:after="0"/>
              <w:rPr>
                <w:sz w:val="20"/>
                <w:szCs w:val="20"/>
                <w:color w:val="auto"/>
              </w:rPr>
            </w:pPr>
            <w:r>
              <w:rPr>
                <w:rFonts w:ascii="Times New Roman" w:cs="Times New Roman" w:eastAsia="Times New Roman" w:hAnsi="Times New Roman"/>
                <w:sz w:val="15"/>
                <w:szCs w:val="15"/>
                <w:b w:val="1"/>
                <w:bCs w:val="1"/>
                <w:color w:val="auto"/>
              </w:rPr>
              <w:t>(IRS Employer Identification No.)</w:t>
            </w:r>
          </w:p>
        </w:tc>
      </w:tr>
      <w:tr>
        <w:trPr>
          <w:trHeight w:val="516"/>
        </w:trPr>
        <w:tc>
          <w:tcPr>
            <w:tcW w:w="2100" w:type="dxa"/>
            <w:vAlign w:val="bottom"/>
          </w:tcPr>
          <w:p>
            <w:pPr>
              <w:jc w:val="center"/>
              <w:ind w:left="1083"/>
              <w:spacing w:after="0"/>
              <w:rPr>
                <w:sz w:val="20"/>
                <w:szCs w:val="20"/>
                <w:color w:val="auto"/>
              </w:rPr>
            </w:pPr>
            <w:r>
              <w:rPr>
                <w:rFonts w:ascii="Times New Roman" w:cs="Times New Roman" w:eastAsia="Times New Roman" w:hAnsi="Times New Roman"/>
                <w:sz w:val="15"/>
                <w:szCs w:val="15"/>
                <w:b w:val="1"/>
                <w:bCs w:val="1"/>
                <w:color w:val="auto"/>
              </w:rPr>
              <w:t>2381 Rosegate</w:t>
            </w:r>
          </w:p>
        </w:tc>
        <w:tc>
          <w:tcPr>
            <w:tcW w:w="3380" w:type="dxa"/>
            <w:vAlign w:val="bottom"/>
          </w:tcPr>
          <w:p>
            <w:pPr>
              <w:spacing w:after="0"/>
              <w:rPr>
                <w:sz w:val="24"/>
                <w:szCs w:val="24"/>
                <w:color w:val="auto"/>
              </w:rPr>
            </w:pPr>
          </w:p>
        </w:tc>
        <w:tc>
          <w:tcPr>
            <w:tcW w:w="3500" w:type="dxa"/>
            <w:vAlign w:val="bottom"/>
          </w:tcPr>
          <w:p>
            <w:pPr>
              <w:spacing w:after="0"/>
              <w:rPr>
                <w:sz w:val="24"/>
                <w:szCs w:val="24"/>
                <w:color w:val="auto"/>
              </w:rPr>
            </w:pPr>
          </w:p>
        </w:tc>
      </w:tr>
      <w:tr>
        <w:trPr>
          <w:trHeight w:val="204"/>
        </w:trPr>
        <w:tc>
          <w:tcPr>
            <w:tcW w:w="2100" w:type="dxa"/>
            <w:vAlign w:val="bottom"/>
          </w:tcPr>
          <w:p>
            <w:pPr>
              <w:jc w:val="center"/>
              <w:ind w:left="1063"/>
              <w:spacing w:after="0"/>
              <w:rPr>
                <w:sz w:val="20"/>
                <w:szCs w:val="20"/>
                <w:color w:val="auto"/>
              </w:rPr>
            </w:pPr>
            <w:r>
              <w:rPr>
                <w:rFonts w:ascii="Times New Roman" w:cs="Times New Roman" w:eastAsia="Times New Roman" w:hAnsi="Times New Roman"/>
                <w:sz w:val="15"/>
                <w:szCs w:val="15"/>
                <w:b w:val="1"/>
                <w:bCs w:val="1"/>
                <w:color w:val="auto"/>
              </w:rPr>
              <w:t>Roseville, MN</w:t>
            </w:r>
          </w:p>
        </w:tc>
        <w:tc>
          <w:tcPr>
            <w:tcW w:w="3380" w:type="dxa"/>
            <w:vAlign w:val="bottom"/>
          </w:tcPr>
          <w:p>
            <w:pPr>
              <w:spacing w:after="0"/>
              <w:rPr>
                <w:sz w:val="17"/>
                <w:szCs w:val="17"/>
                <w:color w:val="auto"/>
              </w:rPr>
            </w:pPr>
          </w:p>
        </w:tc>
        <w:tc>
          <w:tcPr>
            <w:tcW w:w="3500" w:type="dxa"/>
            <w:vAlign w:val="bottom"/>
          </w:tcPr>
          <w:p>
            <w:pPr>
              <w:ind w:left="1240"/>
              <w:spacing w:after="0"/>
              <w:rPr>
                <w:sz w:val="20"/>
                <w:szCs w:val="20"/>
                <w:color w:val="auto"/>
              </w:rPr>
            </w:pPr>
            <w:r>
              <w:rPr>
                <w:rFonts w:ascii="Times New Roman" w:cs="Times New Roman" w:eastAsia="Times New Roman" w:hAnsi="Times New Roman"/>
                <w:sz w:val="15"/>
                <w:szCs w:val="15"/>
                <w:b w:val="1"/>
                <w:bCs w:val="1"/>
                <w:color w:val="auto"/>
              </w:rPr>
              <w:t>55113</w:t>
            </w:r>
          </w:p>
        </w:tc>
      </w:tr>
      <w:tr>
        <w:trPr>
          <w:trHeight w:val="232"/>
        </w:trPr>
        <w:tc>
          <w:tcPr>
            <w:tcW w:w="5480" w:type="dxa"/>
            <w:vAlign w:val="bottom"/>
            <w:gridSpan w:val="2"/>
          </w:tcPr>
          <w:p>
            <w:pPr>
              <w:jc w:val="center"/>
              <w:ind w:right="2163"/>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3500" w:type="dxa"/>
            <w:vAlign w:val="bottom"/>
          </w:tcPr>
          <w:p>
            <w:pPr>
              <w:ind w:left="1080"/>
              <w:spacing w:after="0"/>
              <w:rPr>
                <w:sz w:val="20"/>
                <w:szCs w:val="20"/>
                <w:color w:val="auto"/>
              </w:rPr>
            </w:pPr>
            <w:r>
              <w:rPr>
                <w:rFonts w:ascii="Times New Roman" w:cs="Times New Roman" w:eastAsia="Times New Roman" w:hAnsi="Times New Roman"/>
                <w:sz w:val="15"/>
                <w:szCs w:val="15"/>
                <w:color w:val="auto"/>
              </w:rPr>
              <w:t>(Zip Code)</w:t>
            </w:r>
          </w:p>
        </w:tc>
      </w:tr>
      <w:tr>
        <w:trPr>
          <w:trHeight w:val="395"/>
        </w:trPr>
        <w:tc>
          <w:tcPr>
            <w:tcW w:w="210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Registrant's Telephone Number, Including Area Code</w:t>
            </w:r>
          </w:p>
        </w:tc>
        <w:tc>
          <w:tcPr>
            <w:tcW w:w="3500" w:type="dxa"/>
            <w:vAlign w:val="bottom"/>
          </w:tcPr>
          <w:p>
            <w:pPr>
              <w:jc w:val="right"/>
              <w:ind w:right="2383"/>
              <w:spacing w:after="0"/>
              <w:rPr>
                <w:sz w:val="20"/>
                <w:szCs w:val="20"/>
                <w:color w:val="auto"/>
              </w:rPr>
            </w:pPr>
            <w:r>
              <w:rPr>
                <w:rFonts w:ascii="Times New Roman" w:cs="Times New Roman" w:eastAsia="Times New Roman" w:hAnsi="Times New Roman"/>
                <w:sz w:val="15"/>
                <w:szCs w:val="15"/>
                <w:b w:val="1"/>
                <w:bCs w:val="1"/>
                <w:color w:val="auto"/>
              </w:rPr>
              <w:t>(612) 331-6910</w:t>
            </w:r>
          </w:p>
        </w:tc>
      </w:tr>
    </w:tbl>
    <w:p>
      <w:pPr>
        <w:spacing w:after="0" w:line="168" w:lineRule="exact"/>
        <w:rPr>
          <w:sz w:val="24"/>
          <w:szCs w:val="24"/>
          <w:color w:val="auto"/>
        </w:rPr>
      </w:pPr>
    </w:p>
    <w:p>
      <w:pPr>
        <w:spacing w:after="0" w:line="301"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5"/>
          <w:szCs w:val="15"/>
          <w:i w:val="1"/>
          <w:iCs w:val="1"/>
          <w:color w:val="auto"/>
        </w:rPr>
        <w:t>see</w:t>
      </w:r>
      <w:r>
        <w:rPr>
          <w:rFonts w:ascii="Times New Roman" w:cs="Times New Roman" w:eastAsia="Times New Roman" w:hAnsi="Times New Roman"/>
          <w:sz w:val="15"/>
          <w:szCs w:val="15"/>
          <w:color w:val="auto"/>
        </w:rPr>
        <w:t xml:space="preserve"> General Instruction A.2. below):</w:t>
      </w:r>
    </w:p>
    <w:p>
      <w:pPr>
        <w:spacing w:after="0" w:line="128"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Written communications pursuant to Rule 425 under the Securities Act (17 CFR 230.425)</w:t>
      </w:r>
    </w:p>
    <w:p>
      <w:pPr>
        <w:spacing w:after="0" w:line="19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Soliciting material pursuant to Rule 14a-12 under the Exchange Act (17 CFR 240.14a-12)</w:t>
      </w:r>
    </w:p>
    <w:p>
      <w:pPr>
        <w:spacing w:after="0" w:line="19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Pre-commencement communications pursuant to Rule 14d-2(b) under the Exchange Act (17 CFR 240.14d-2(b))</w:t>
      </w:r>
    </w:p>
    <w:p>
      <w:pPr>
        <w:spacing w:after="0" w:line="199"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5"/>
          <w:szCs w:val="15"/>
          <w:color w:val="auto"/>
        </w:rPr>
        <w:t>o Pre-commencement communications pursuant to Rule 13e-4(c) under the Exchange Act (17 CFR 240.13e-4(c))</w:t>
      </w:r>
    </w:p>
    <w:p>
      <w:pPr>
        <w:sectPr>
          <w:pgSz w:w="11900" w:h="16838" w:orient="portrait"/>
          <w:cols w:equalWidth="0" w:num="1">
            <w:col w:w="11420"/>
          </w:cols>
          <w:pgMar w:left="240" w:top="608"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9"/>
          <w:szCs w:val="19"/>
          <w:b w:val="1"/>
          <w:bCs w:val="1"/>
          <w:color w:val="auto"/>
        </w:rPr>
        <w:t>Item 5.07.  Submission of Matters to a Vote of Security Holders.</w:t>
      </w:r>
    </w:p>
    <w:p>
      <w:pPr>
        <w:spacing w:after="0" w:line="203" w:lineRule="exact"/>
        <w:rPr>
          <w:sz w:val="20"/>
          <w:szCs w:val="20"/>
          <w:color w:val="auto"/>
        </w:rPr>
      </w:pPr>
    </w:p>
    <w:p>
      <w:pPr>
        <w:ind w:right="240" w:firstLine="557"/>
        <w:spacing w:after="0" w:line="267" w:lineRule="auto"/>
        <w:rPr>
          <w:sz w:val="20"/>
          <w:szCs w:val="20"/>
          <w:color w:val="auto"/>
        </w:rPr>
      </w:pPr>
      <w:r>
        <w:rPr>
          <w:rFonts w:ascii="Times New Roman" w:cs="Times New Roman" w:eastAsia="Times New Roman" w:hAnsi="Times New Roman"/>
          <w:sz w:val="19"/>
          <w:szCs w:val="19"/>
          <w:color w:val="auto"/>
        </w:rPr>
        <w:t>At our annual meeting of shareholders held August 4, 2016, the following proposals, each as described in further detail in the definitive proxy statement filed by our company on July 1, 2016 (File No. 0-7647), were voted upon by our shareholders as set forth below:</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Proposal One - Election of Directors</w:t>
      </w:r>
    </w:p>
    <w:p>
      <w:pPr>
        <w:spacing w:after="0" w:line="192" w:lineRule="exact"/>
        <w:rPr>
          <w:sz w:val="20"/>
          <w:szCs w:val="20"/>
          <w:color w:val="auto"/>
        </w:rPr>
      </w:pPr>
    </w:p>
    <w:p>
      <w:pPr>
        <w:ind w:firstLine="557"/>
        <w:spacing w:after="0" w:line="267" w:lineRule="auto"/>
        <w:rPr>
          <w:sz w:val="20"/>
          <w:szCs w:val="20"/>
          <w:color w:val="auto"/>
        </w:rPr>
      </w:pPr>
      <w:r>
        <w:rPr>
          <w:rFonts w:ascii="Times New Roman" w:cs="Times New Roman" w:eastAsia="Times New Roman" w:hAnsi="Times New Roman"/>
          <w:sz w:val="19"/>
          <w:szCs w:val="19"/>
          <w:color w:val="auto"/>
        </w:rPr>
        <w:t>Our shareholders elected each of the nine nominees to serve as director for a term of one year, which term shall expire at the next annual meeting of shareholders, based on the following votes:</w:t>
      </w:r>
    </w:p>
    <w:p>
      <w:pPr>
        <w:spacing w:after="0" w:line="273" w:lineRule="exact"/>
        <w:rPr>
          <w:sz w:val="20"/>
          <w:szCs w:val="20"/>
          <w:color w:val="auto"/>
        </w:rPr>
      </w:pPr>
    </w:p>
    <w:tbl>
      <w:tblPr>
        <w:tblLayout w:type="fixed"/>
        <w:tblInd w:w="500" w:type="dxa"/>
        <w:tblCellMar>
          <w:top w:w="0" w:type="dxa"/>
          <w:left w:w="0" w:type="dxa"/>
          <w:bottom w:w="0" w:type="dxa"/>
          <w:right w:w="0" w:type="dxa"/>
        </w:tblCellMar>
      </w:tblPr>
      <w:tr>
        <w:trPr>
          <w:trHeight w:val="204"/>
        </w:trPr>
        <w:tc>
          <w:tcPr>
            <w:tcW w:w="334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color w:val="auto"/>
              </w:rPr>
              <w:t>Director Nominee</w:t>
            </w:r>
          </w:p>
        </w:tc>
        <w:tc>
          <w:tcPr>
            <w:tcW w:w="240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color w:val="auto"/>
              </w:rPr>
              <w:t>For</w:t>
            </w:r>
          </w:p>
        </w:tc>
        <w:tc>
          <w:tcPr>
            <w:tcW w:w="2420" w:type="dxa"/>
            <w:vAlign w:val="bottom"/>
            <w:gridSpan w:val="2"/>
          </w:tcPr>
          <w:p>
            <w:pPr>
              <w:ind w:left="900"/>
              <w:spacing w:after="0"/>
              <w:rPr>
                <w:sz w:val="20"/>
                <w:szCs w:val="20"/>
                <w:color w:val="auto"/>
              </w:rPr>
            </w:pPr>
            <w:r>
              <w:rPr>
                <w:rFonts w:ascii="Times New Roman" w:cs="Times New Roman" w:eastAsia="Times New Roman" w:hAnsi="Times New Roman"/>
                <w:sz w:val="15"/>
                <w:szCs w:val="15"/>
                <w:b w:val="1"/>
                <w:bCs w:val="1"/>
                <w:color w:val="auto"/>
              </w:rPr>
              <w:t>Against</w:t>
            </w:r>
          </w:p>
        </w:tc>
        <w:tc>
          <w:tcPr>
            <w:tcW w:w="2280" w:type="dxa"/>
            <w:vAlign w:val="bottom"/>
          </w:tcPr>
          <w:p>
            <w:pPr>
              <w:ind w:left="560"/>
              <w:spacing w:after="0"/>
              <w:rPr>
                <w:sz w:val="20"/>
                <w:szCs w:val="20"/>
                <w:color w:val="auto"/>
              </w:rPr>
            </w:pPr>
            <w:r>
              <w:rPr>
                <w:rFonts w:ascii="Times New Roman" w:cs="Times New Roman" w:eastAsia="Times New Roman" w:hAnsi="Times New Roman"/>
                <w:sz w:val="15"/>
                <w:szCs w:val="15"/>
                <w:b w:val="1"/>
                <w:bCs w:val="1"/>
                <w:color w:val="auto"/>
              </w:rPr>
              <w:t>Broker Non-Vote</w:t>
            </w:r>
          </w:p>
        </w:tc>
      </w:tr>
      <w:tr>
        <w:trPr>
          <w:trHeight w:val="24"/>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0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John S. McKeon</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7,921,100.598</w:t>
            </w:r>
          </w:p>
        </w:tc>
        <w:tc>
          <w:tcPr>
            <w:tcW w:w="100" w:type="dxa"/>
            <w:vAlign w:val="bottom"/>
          </w:tcPr>
          <w:p>
            <w:pPr>
              <w:spacing w:after="0"/>
              <w:rPr>
                <w:sz w:val="17"/>
                <w:szCs w:val="17"/>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216,558.489</w:t>
            </w:r>
          </w:p>
        </w:tc>
        <w:tc>
          <w:tcPr>
            <w:tcW w:w="120" w:type="dxa"/>
            <w:vAlign w:val="bottom"/>
          </w:tcPr>
          <w:p>
            <w:pPr>
              <w:spacing w:after="0"/>
              <w:rPr>
                <w:sz w:val="17"/>
                <w:szCs w:val="17"/>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Patrick H. Hawkins</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7,896,593.169</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241,065.918</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James A. Faulconbridge</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7,777,982.598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359,676.489</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Duane M. Jergenson</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7,916,093.598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221,565.489</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Mary J. Schumacher</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7,839,072.598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298,586.489</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Daryl I. Skaar</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7,832,068.598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305,590.489</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Daniel J. Stauber</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7,965,591.169</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172,067.918</w:t>
            </w: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James T. Thompson</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7,904,792.598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232,866.489</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r>
        <w:trPr>
          <w:trHeight w:val="232"/>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Jeffrey L. Wright</w:t>
            </w: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6,345,250.598</w:t>
            </w:r>
          </w:p>
        </w:tc>
        <w:tc>
          <w:tcPr>
            <w:tcW w:w="100" w:type="dxa"/>
            <w:vAlign w:val="bottom"/>
          </w:tcPr>
          <w:p>
            <w:pPr>
              <w:spacing w:after="0"/>
              <w:rPr>
                <w:sz w:val="20"/>
                <w:szCs w:val="20"/>
                <w:color w:val="auto"/>
              </w:rPr>
            </w:pPr>
          </w:p>
        </w:tc>
        <w:tc>
          <w:tcPr>
            <w:tcW w:w="2300" w:type="dxa"/>
            <w:vAlign w:val="bottom"/>
          </w:tcPr>
          <w:p>
            <w:pPr>
              <w:jc w:val="right"/>
              <w:ind w:right="23"/>
              <w:spacing w:after="0"/>
              <w:rPr>
                <w:sz w:val="20"/>
                <w:szCs w:val="20"/>
                <w:color w:val="auto"/>
              </w:rPr>
            </w:pPr>
            <w:r>
              <w:rPr>
                <w:rFonts w:ascii="Times New Roman" w:cs="Times New Roman" w:eastAsia="Times New Roman" w:hAnsi="Times New Roman"/>
                <w:sz w:val="15"/>
                <w:szCs w:val="15"/>
                <w:color w:val="auto"/>
              </w:rPr>
              <w:t>1,792,408.489</w:t>
            </w:r>
          </w:p>
        </w:tc>
        <w:tc>
          <w:tcPr>
            <w:tcW w:w="120" w:type="dxa"/>
            <w:vAlign w:val="bottom"/>
          </w:tcPr>
          <w:p>
            <w:pPr>
              <w:spacing w:after="0"/>
              <w:rPr>
                <w:sz w:val="20"/>
                <w:szCs w:val="20"/>
                <w:color w:val="auto"/>
              </w:rPr>
            </w:pPr>
          </w:p>
        </w:tc>
        <w:tc>
          <w:tcPr>
            <w:tcW w:w="2280" w:type="dxa"/>
            <w:vAlign w:val="bottom"/>
          </w:tcPr>
          <w:p>
            <w:pPr>
              <w:ind w:left="2020"/>
              <w:spacing w:after="0"/>
              <w:rPr>
                <w:sz w:val="20"/>
                <w:szCs w:val="20"/>
                <w:color w:val="auto"/>
              </w:rPr>
            </w:pPr>
            <w:r>
              <w:rPr>
                <w:rFonts w:ascii="Times New Roman" w:cs="Times New Roman" w:eastAsia="Times New Roman" w:hAnsi="Times New Roman"/>
                <w:sz w:val="15"/>
                <w:szCs w:val="15"/>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Proposal Two - Non-Binding Advisory Vote on Executive Compensation</w:t>
      </w:r>
    </w:p>
    <w:p>
      <w:pPr>
        <w:spacing w:after="0" w:line="192" w:lineRule="exact"/>
        <w:rPr>
          <w:sz w:val="20"/>
          <w:szCs w:val="20"/>
          <w:color w:val="auto"/>
        </w:rPr>
      </w:pPr>
    </w:p>
    <w:p>
      <w:pPr>
        <w:jc w:val="both"/>
        <w:ind w:right="420" w:firstLine="557"/>
        <w:spacing w:after="0" w:line="267" w:lineRule="auto"/>
        <w:rPr>
          <w:sz w:val="20"/>
          <w:szCs w:val="20"/>
          <w:color w:val="auto"/>
        </w:rPr>
      </w:pPr>
      <w:r>
        <w:rPr>
          <w:rFonts w:ascii="Times New Roman" w:cs="Times New Roman" w:eastAsia="Times New Roman" w:hAnsi="Times New Roman"/>
          <w:sz w:val="19"/>
          <w:szCs w:val="19"/>
          <w:color w:val="auto"/>
        </w:rPr>
        <w:t>The shareholders approved, on an advisory basis, the compensation of the Company's executive officers as disclosed in the proxy statement distributed in connection with the annual meeting, based on the votes listed below:</w:t>
      </w:r>
    </w:p>
    <w:p>
      <w:pPr>
        <w:spacing w:after="0" w:line="273" w:lineRule="exact"/>
        <w:rPr>
          <w:sz w:val="20"/>
          <w:szCs w:val="20"/>
          <w:color w:val="auto"/>
        </w:rPr>
      </w:pPr>
    </w:p>
    <w:p>
      <w:pPr>
        <w:ind w:left="3900"/>
        <w:spacing w:after="0"/>
        <w:tabs>
          <w:tab w:leader="none" w:pos="5440" w:val="left"/>
          <w:tab w:leader="none" w:pos="7140" w:val="left"/>
        </w:tabs>
        <w:rPr>
          <w:sz w:val="20"/>
          <w:szCs w:val="20"/>
          <w:color w:val="auto"/>
        </w:rPr>
      </w:pPr>
      <w:r>
        <w:rPr>
          <w:rFonts w:ascii="Times New Roman" w:cs="Times New Roman" w:eastAsia="Times New Roman" w:hAnsi="Times New Roman"/>
          <w:sz w:val="15"/>
          <w:szCs w:val="15"/>
          <w:b w:val="1"/>
          <w:bCs w:val="1"/>
          <w:color w:val="auto"/>
        </w:rPr>
        <w:t>For</w:t>
      </w:r>
      <w:r>
        <w:rPr>
          <w:sz w:val="20"/>
          <w:szCs w:val="20"/>
          <w:color w:val="auto"/>
        </w:rPr>
        <w:tab/>
      </w:r>
      <w:r>
        <w:rPr>
          <w:rFonts w:ascii="Times New Roman" w:cs="Times New Roman" w:eastAsia="Times New Roman" w:hAnsi="Times New Roman"/>
          <w:sz w:val="15"/>
          <w:szCs w:val="15"/>
          <w:b w:val="1"/>
          <w:bCs w:val="1"/>
          <w:color w:val="auto"/>
        </w:rPr>
        <w:t>Against</w:t>
      </w:r>
      <w:r>
        <w:rPr>
          <w:sz w:val="20"/>
          <w:szCs w:val="20"/>
          <w:color w:val="auto"/>
        </w:rPr>
        <w:tab/>
      </w:r>
      <w:r>
        <w:rPr>
          <w:rFonts w:ascii="Times New Roman" w:cs="Times New Roman" w:eastAsia="Times New Roman" w:hAnsi="Times New Roman"/>
          <w:sz w:val="15"/>
          <w:szCs w:val="15"/>
          <w:b w:val="1"/>
          <w:bCs w:val="1"/>
          <w:color w:val="auto"/>
        </w:rPr>
        <w:t>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2044065</wp:posOffset>
            </wp:positionH>
            <wp:positionV relativeFrom="paragraph">
              <wp:posOffset>34925</wp:posOffset>
            </wp:positionV>
            <wp:extent cx="31762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76270" cy="7620"/>
                    </a:xfrm>
                    <a:prstGeom prst="rect">
                      <a:avLst/>
                    </a:prstGeom>
                    <a:noFill/>
                  </pic:spPr>
                </pic:pic>
              </a:graphicData>
            </a:graphic>
          </wp:anchor>
        </w:drawing>
      </w:r>
    </w:p>
    <w:p>
      <w:pPr>
        <w:spacing w:after="0" w:line="55" w:lineRule="exact"/>
        <w:rPr>
          <w:sz w:val="20"/>
          <w:szCs w:val="20"/>
          <w:color w:val="auto"/>
        </w:rPr>
      </w:pPr>
    </w:p>
    <w:p>
      <w:pPr>
        <w:ind w:left="3560"/>
        <w:spacing w:after="0"/>
        <w:tabs>
          <w:tab w:leader="none" w:pos="5320" w:val="left"/>
          <w:tab w:leader="none" w:pos="7060" w:val="left"/>
        </w:tabs>
        <w:rPr>
          <w:sz w:val="20"/>
          <w:szCs w:val="20"/>
          <w:color w:val="auto"/>
        </w:rPr>
      </w:pPr>
      <w:r>
        <w:rPr>
          <w:rFonts w:ascii="Times New Roman" w:cs="Times New Roman" w:eastAsia="Times New Roman" w:hAnsi="Times New Roman"/>
          <w:sz w:val="15"/>
          <w:szCs w:val="15"/>
          <w:color w:val="auto"/>
        </w:rPr>
        <w:t>7,861,320.619</w:t>
      </w:r>
      <w:r>
        <w:rPr>
          <w:sz w:val="20"/>
          <w:szCs w:val="20"/>
          <w:color w:val="auto"/>
        </w:rPr>
        <w:tab/>
      </w:r>
      <w:r>
        <w:rPr>
          <w:rFonts w:ascii="Times New Roman" w:cs="Times New Roman" w:eastAsia="Times New Roman" w:hAnsi="Times New Roman"/>
          <w:sz w:val="15"/>
          <w:szCs w:val="15"/>
          <w:color w:val="auto"/>
        </w:rPr>
        <w:t>249,996.233</w:t>
      </w:r>
      <w:r>
        <w:rPr>
          <w:sz w:val="20"/>
          <w:szCs w:val="20"/>
          <w:color w:val="auto"/>
        </w:rPr>
        <w:tab/>
      </w:r>
      <w:r>
        <w:rPr>
          <w:rFonts w:ascii="Times New Roman" w:cs="Times New Roman" w:eastAsia="Times New Roman" w:hAnsi="Times New Roman"/>
          <w:sz w:val="15"/>
          <w:szCs w:val="15"/>
          <w:color w:val="auto"/>
        </w:rPr>
        <w:t>26,342.235</w:t>
      </w:r>
    </w:p>
    <w:p>
      <w:pPr>
        <w:sectPr>
          <w:pgSz w:w="11900" w:h="16838" w:orient="portrait"/>
          <w:cols w:equalWidth="0" w:num="1">
            <w:col w:w="11340"/>
          </w:cols>
          <w:pgMar w:left="240" w:top="519"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9"/>
          <w:szCs w:val="19"/>
          <w:color w:val="auto"/>
        </w:rPr>
        <w:t>SIGNATURES</w:t>
      </w:r>
    </w:p>
    <w:p>
      <w:pPr>
        <w:spacing w:after="0" w:line="188" w:lineRule="exact"/>
        <w:rPr>
          <w:sz w:val="20"/>
          <w:szCs w:val="20"/>
          <w:color w:val="auto"/>
        </w:rPr>
      </w:pPr>
    </w:p>
    <w:p>
      <w:pPr>
        <w:ind w:firstLine="557"/>
        <w:spacing w:after="0" w:line="267"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5"/>
          <w:szCs w:val="15"/>
          <w:color w:val="auto"/>
        </w:rPr>
        <w:t>HAWKINS, INC.</w:t>
      </w:r>
    </w:p>
    <w:p>
      <w:pPr>
        <w:spacing w:after="0" w:line="164" w:lineRule="exact"/>
        <w:rPr>
          <w:sz w:val="20"/>
          <w:szCs w:val="20"/>
          <w:color w:val="auto"/>
        </w:rPr>
      </w:pPr>
    </w:p>
    <w:p>
      <w:pPr>
        <w:ind w:left="3640"/>
        <w:spacing w:after="0"/>
        <w:tabs>
          <w:tab w:leader="none" w:pos="6780" w:val="left"/>
          <w:tab w:leader="none" w:pos="8720" w:val="left"/>
        </w:tabs>
        <w:rPr>
          <w:sz w:val="20"/>
          <w:szCs w:val="20"/>
          <w:color w:val="auto"/>
        </w:rPr>
      </w:pPr>
      <w:r>
        <w:rPr>
          <w:rFonts w:ascii="Times New Roman" w:cs="Times New Roman" w:eastAsia="Times New Roman" w:hAnsi="Times New Roman"/>
          <w:sz w:val="15"/>
          <w:szCs w:val="15"/>
          <w:color w:val="auto"/>
        </w:rPr>
        <w:t>Date: August 8, 2016</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/s/Richard G. Erstad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32385</wp:posOffset>
            </wp:positionV>
            <wp:extent cx="27508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0820" cy="7620"/>
                    </a:xfrm>
                    <a:prstGeom prst="rect">
                      <a:avLst/>
                    </a:prstGeom>
                    <a:noFill/>
                  </pic:spPr>
                </pic:pic>
              </a:graphicData>
            </a:graphic>
          </wp:anchor>
        </w:drawing>
      </w:r>
    </w:p>
    <w:p>
      <w:pPr>
        <w:spacing w:after="0" w:line="51"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5"/>
          <w:szCs w:val="15"/>
          <w:color w:val="auto"/>
        </w:rPr>
        <w:t>Richard G. Erstad</w:t>
      </w:r>
    </w:p>
    <w:p>
      <w:pPr>
        <w:spacing w:after="0" w:line="60" w:lineRule="exact"/>
        <w:rPr>
          <w:sz w:val="20"/>
          <w:szCs w:val="20"/>
          <w:color w:val="auto"/>
        </w:rPr>
      </w:pPr>
    </w:p>
    <w:p>
      <w:pPr>
        <w:jc w:val="center"/>
        <w:ind w:left="7340"/>
        <w:spacing w:after="0"/>
        <w:rPr>
          <w:sz w:val="20"/>
          <w:szCs w:val="20"/>
          <w:color w:val="auto"/>
        </w:rPr>
      </w:pPr>
      <w:r>
        <w:rPr>
          <w:rFonts w:ascii="Times New Roman" w:cs="Times New Roman" w:eastAsia="Times New Roman" w:hAnsi="Times New Roman"/>
          <w:sz w:val="15"/>
          <w:szCs w:val="15"/>
          <w:color w:val="auto"/>
        </w:rPr>
        <w:t>Vice President, General Counsel and Secretary</w:t>
      </w:r>
    </w:p>
    <w:sectPr>
      <w:pgSz w:w="11900" w:h="16838" w:orient="portrait"/>
      <w:cols w:equalWidth="0" w:num="1">
        <w:col w:w="11440"/>
      </w:cols>
      <w:pgMar w:left="240" w:top="5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2019-12-05T06:56:05Z</dcterms:created>
  <dcterms:modified xsi:type="dcterms:W3CDTF">2019-12-05T06:56:05Z</dcterms:modified>
</cp:coreProperties>
</file>