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Calibri;sans-serif" w:hAnsi="Calibri;sans-serif"/>
          <w:b/>
          <w:color w:val="000000"/>
          <w:sz w:val="36"/>
        </w:rPr>
      </w:pPr>
      <w:r>
        <w:rPr>
          <w:rFonts w:ascii="Calibri;sans-serif" w:hAnsi="Calibri;sans-serif"/>
          <w:b/>
          <w:color w:val="000000"/>
          <w:sz w:val="36"/>
        </w:rPr>
        <w:t>UNITED STATES</w:t>
      </w:r>
    </w:p>
    <w:p>
      <w:pPr>
        <w:pStyle w:val="TextBody"/>
        <w:bidi w:val="0"/>
        <w:spacing w:lineRule="auto" w:line="288" w:before="0" w:after="0"/>
        <w:jc w:val="center"/>
        <w:rPr>
          <w:rFonts w:ascii="Calibri;sans-serif" w:hAnsi="Calibri;sans-serif"/>
          <w:b/>
          <w:color w:val="000000"/>
          <w:sz w:val="36"/>
        </w:rPr>
      </w:pPr>
      <w:r>
        <w:rPr>
          <w:rFonts w:ascii="Calibri;sans-serif" w:hAnsi="Calibri;sans-serif"/>
          <w:b/>
          <w:color w:val="000000"/>
          <w:sz w:val="36"/>
        </w:rPr>
        <w:t>SECURITIES AND EXCHANGE COMMISSION</w:t>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Calibri;sans-serif" w:hAnsi="Calibri;sans-serif"/>
          <w:b/>
          <w:color w:val="000000"/>
          <w:sz w:val="36"/>
        </w:rPr>
      </w:pPr>
      <w:r>
        <w:rPr>
          <w:rFonts w:ascii="Calibri;sans-serif" w:hAnsi="Calibri;sans-serif"/>
          <w:b/>
          <w:color w:val="000000"/>
          <w:sz w:val="36"/>
        </w:rPr>
        <w:t>FORM 8-K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Calibri;sans-serif" w:hAnsi="Calibri;sans-serif"/>
          <w:b/>
          <w:color w:val="000000"/>
          <w:sz w:val="28"/>
        </w:rPr>
      </w:pPr>
      <w:r>
        <w:rPr>
          <w:rFonts w:ascii="Calibri;sans-serif" w:hAnsi="Calibri;sans-serif"/>
          <w:b/>
          <w:color w:val="000000"/>
          <w:sz w:val="28"/>
        </w:rPr>
        <w:t>CURRENT REPORT</w:t>
      </w:r>
    </w:p>
    <w:p>
      <w:pPr>
        <w:pStyle w:val="TextBody"/>
        <w:bidi w:val="0"/>
        <w:spacing w:lineRule="auto" w:line="288" w:before="180" w:after="283"/>
        <w:jc w:val="center"/>
        <w:rPr>
          <w:rFonts w:ascii="Calibri;sans-serif" w:hAnsi="Calibri;sans-serif"/>
          <w:b/>
          <w:color w:val="000000"/>
          <w:sz w:val="24"/>
        </w:rPr>
      </w:pPr>
      <w:r>
        <w:rPr>
          <w:rFonts w:ascii="Calibri;sans-serif" w:hAnsi="Calibri;sans-serif"/>
          <w:b/>
          <w:color w:val="000000"/>
          <w:sz w:val="24"/>
        </w:rPr>
        <w:t>Pursuant to Section 13 or 15(d) of the</w:t>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Securities Exchange Act of 1934</w:t>
      </w:r>
    </w:p>
    <w:p>
      <w:pPr>
        <w:pStyle w:val="TextBody"/>
        <w:bidi w:val="0"/>
        <w:spacing w:lineRule="auto" w:line="288" w:before="180" w:after="283"/>
        <w:jc w:val="center"/>
        <w:rPr>
          <w:rFonts w:ascii="Calibri;sans-serif" w:hAnsi="Calibri;sans-serif"/>
          <w:b/>
          <w:color w:val="000000"/>
          <w:sz w:val="24"/>
        </w:rPr>
      </w:pPr>
      <w:r>
        <w:rPr>
          <w:rFonts w:ascii="Calibri;sans-serif" w:hAnsi="Calibri;sans-serif"/>
          <w:b/>
          <w:color w:val="000000"/>
          <w:sz w:val="24"/>
        </w:rPr>
        <w:t xml:space="preserve">Date of Report (Date of earliest event reported) November 1, 2023 </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Calibri;sans-serif" w:hAnsi="Calibri;sans-serif"/>
          <w:b/>
          <w:color w:val="000000"/>
          <w:sz w:val="48"/>
        </w:rPr>
      </w:pPr>
      <w:r>
        <w:rPr>
          <w:rFonts w:ascii="Calibri;sans-serif" w:hAnsi="Calibri;sans-serif"/>
          <w:b/>
          <w:color w:val="000000"/>
          <w:sz w:val="48"/>
        </w:rPr>
        <w:t>Hawkins,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6637" w:type="dxa"/>
        <w:jc w:val="left"/>
        <w:tblInd w:w="0" w:type="dxa"/>
        <w:tblLayout w:type="fixed"/>
        <w:tblCellMar>
          <w:top w:w="28" w:type="dxa"/>
          <w:left w:w="28" w:type="dxa"/>
          <w:bottom w:w="28" w:type="dxa"/>
          <w:right w:w="28" w:type="dxa"/>
        </w:tblCellMar>
      </w:tblPr>
      <w:tblGrid>
        <w:gridCol w:w="619"/>
        <w:gridCol w:w="542"/>
        <w:gridCol w:w="548"/>
        <w:gridCol w:w="109"/>
        <w:gridCol w:w="109"/>
        <w:gridCol w:w="109"/>
        <w:gridCol w:w="637"/>
        <w:gridCol w:w="637"/>
        <w:gridCol w:w="645"/>
        <w:gridCol w:w="109"/>
        <w:gridCol w:w="109"/>
        <w:gridCol w:w="109"/>
        <w:gridCol w:w="688"/>
        <w:gridCol w:w="688"/>
        <w:gridCol w:w="979"/>
      </w:tblGrid>
      <w:tr>
        <w:trPr/>
        <w:tc>
          <w:tcPr>
            <w:tcW w:w="61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0-7647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41-0771293</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(IRS Employer Identification No.)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392" w:type="dxa"/>
        <w:jc w:val="center"/>
        <w:tblInd w:w="0" w:type="dxa"/>
        <w:tblLayout w:type="fixed"/>
        <w:tblCellMar>
          <w:top w:w="28" w:type="dxa"/>
          <w:left w:w="28" w:type="dxa"/>
          <w:bottom w:w="28" w:type="dxa"/>
          <w:right w:w="28" w:type="dxa"/>
        </w:tblCellMar>
      </w:tblPr>
      <w:tblGrid>
        <w:gridCol w:w="499"/>
        <w:gridCol w:w="439"/>
        <w:gridCol w:w="442"/>
        <w:gridCol w:w="289"/>
        <w:gridCol w:w="289"/>
        <w:gridCol w:w="291"/>
        <w:gridCol w:w="325"/>
        <w:gridCol w:w="325"/>
        <w:gridCol w:w="326"/>
        <w:gridCol w:w="109"/>
        <w:gridCol w:w="109"/>
        <w:gridCol w:w="109"/>
        <w:gridCol w:w="246"/>
        <w:gridCol w:w="246"/>
        <w:gridCol w:w="348"/>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20"/>
              </w:rPr>
            </w:pPr>
            <w:r>
              <w:rPr>
                <w:rFonts w:ascii="Calibri;sans-serif" w:hAnsi="Calibri;sans-serif"/>
                <w:b/>
                <w:color w:val="000000"/>
                <w:sz w:val="20"/>
              </w:rPr>
              <w:t>2381 Rosegate,</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Roseville,</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55113</w:t>
            </w:r>
          </w:p>
        </w:tc>
      </w:tr>
      <w:tr>
        <w:trPr/>
        <w:tc>
          <w:tcPr>
            <w:tcW w:w="3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(Zip Code)</w:t>
            </w:r>
          </w:p>
        </w:tc>
      </w:tr>
    </w:tbl>
    <w:p>
      <w:pPr>
        <w:pStyle w:val="TextBody"/>
        <w:bidi w:val="0"/>
        <w:spacing w:before="180" w:after="283"/>
        <w:jc w:val="center"/>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Registrant’s Telephone Number, Including Area Code (612) 331-6910</w:t>
      </w:r>
    </w:p>
    <w:p>
      <w:pPr>
        <w:pStyle w:val="TextBody"/>
        <w:bidi w:val="0"/>
        <w:spacing w:lineRule="auto" w:line="288" w:before="0" w:after="0"/>
        <w:jc w:val="left"/>
        <w:rPr>
          <w:color w:val="000000"/>
        </w:rPr>
      </w:pPr>
      <w:r>
        <w:rPr>
          <w:color w:val="000000"/>
        </w:rPr>
        <w:t>  </w:t>
      </w:r>
    </w:p>
    <w:p>
      <w:pPr>
        <w:pStyle w:val="TextBody"/>
        <w:bidi w:val="0"/>
        <w:spacing w:lineRule="auto" w:line="288" w:before="120" w:after="283"/>
        <w:ind w:left="0" w:right="0" w:firstLine="495"/>
        <w:jc w:val="left"/>
        <w:rPr/>
      </w:pPr>
      <w:r>
        <w:rPr>
          <w:rFonts w:ascii="Calibri;sans-serif" w:hAnsi="Calibri;sans-serif"/>
          <w:b w:val="false"/>
          <w:color w:val="000000"/>
          <w:sz w:val="20"/>
        </w:rPr>
        <w:t>Check the appropriate box below if the Form 8-K filing is intended to simultaneously satisfy the filing obligation of the registrant under any of the following provisions (</w:t>
      </w:r>
      <w:r>
        <w:rPr>
          <w:rFonts w:ascii="Calibri;sans-serif" w:hAnsi="Calibri;sans-serif"/>
          <w:b w:val="false"/>
          <w:i/>
          <w:color w:val="000000"/>
          <w:sz w:val="20"/>
        </w:rPr>
        <w:t>see</w:t>
      </w:r>
      <w:r>
        <w:rPr>
          <w:color w:val="000000"/>
        </w:rPr>
        <w:t xml:space="preserve"> </w:t>
      </w:r>
      <w:r>
        <w:rPr>
          <w:rFonts w:ascii="Calibri;sans-serif" w:hAnsi="Calibri;sans-serif"/>
          <w:b w:val="false"/>
          <w:color w:val="000000"/>
          <w:sz w:val="20"/>
        </w:rPr>
        <w:t>General Instruction A.2. below):</w:t>
      </w:r>
    </w:p>
    <w:tbl>
      <w:tblPr>
        <w:tblW w:w="9252" w:type="dxa"/>
        <w:jc w:val="left"/>
        <w:tblInd w:w="0" w:type="dxa"/>
        <w:tblLayout w:type="fixed"/>
        <w:tblCellMar>
          <w:top w:w="28" w:type="dxa"/>
          <w:left w:w="28" w:type="dxa"/>
          <w:bottom w:w="28" w:type="dxa"/>
          <w:right w:w="28" w:type="dxa"/>
        </w:tblCellMar>
      </w:tblPr>
      <w:tblGrid>
        <w:gridCol w:w="124"/>
        <w:gridCol w:w="109"/>
        <w:gridCol w:w="109"/>
        <w:gridCol w:w="2609"/>
        <w:gridCol w:w="2609"/>
        <w:gridCol w:w="36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36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Pre-commencement communications pursuant to Rule 13e-4(c) under the Exchange Act (17 CFR 240.13e-4(c))</w:t>
            </w:r>
          </w:p>
        </w:tc>
      </w:tr>
    </w:tbl>
    <w:p>
      <w:pPr>
        <w:pStyle w:val="TextBody"/>
        <w:bidi w:val="0"/>
        <w:spacing w:lineRule="auto" w:line="276" w:before="180" w:after="283"/>
        <w:ind w:left="0" w:right="0" w:firstLine="495"/>
        <w:jc w:val="left"/>
        <w:rPr>
          <w:rFonts w:ascii="Calibri;sans-serif" w:hAnsi="Calibri;sans-serif"/>
          <w:b w:val="false"/>
          <w:color w:val="000000"/>
          <w:sz w:val="20"/>
        </w:rPr>
      </w:pPr>
      <w:r>
        <w:rPr>
          <w:rFonts w:ascii="Calibri;sans-serif" w:hAnsi="Calibri;sans-serif"/>
          <w:b w:val="false"/>
          <w:color w:val="000000"/>
          <w:sz w:val="20"/>
        </w:rPr>
        <w:t>Securities registered pursuant to Section 12(b) of the Act:</w:t>
      </w:r>
    </w:p>
    <w:tbl>
      <w:tblPr>
        <w:tblW w:w="7962" w:type="dxa"/>
        <w:jc w:val="left"/>
        <w:tblInd w:w="0" w:type="dxa"/>
        <w:tblLayout w:type="fixed"/>
        <w:tblCellMar>
          <w:top w:w="28" w:type="dxa"/>
          <w:left w:w="28" w:type="dxa"/>
          <w:bottom w:w="28" w:type="dxa"/>
          <w:right w:w="28" w:type="dxa"/>
        </w:tblCellMar>
      </w:tblPr>
      <w:tblGrid>
        <w:gridCol w:w="1112"/>
        <w:gridCol w:w="978"/>
        <w:gridCol w:w="984"/>
        <w:gridCol w:w="484"/>
        <w:gridCol w:w="484"/>
        <w:gridCol w:w="486"/>
        <w:gridCol w:w="1006"/>
        <w:gridCol w:w="1006"/>
        <w:gridCol w:w="1422"/>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Calibri;sans-serif" w:hAnsi="Calibri;sans-serif"/>
                <w:b/>
                <w:color w:val="000000"/>
                <w:sz w:val="18"/>
              </w:rPr>
            </w:pPr>
            <w:r>
              <w:rPr>
                <w:rFonts w:ascii="Calibri;sans-serif" w:hAnsi="Calibri;sans-serif"/>
                <w:b/>
                <w:color w:val="000000"/>
                <w:sz w:val="18"/>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Calibri;sans-serif" w:hAnsi="Calibri;sans-serif"/>
                <w:b/>
                <w:color w:val="000000"/>
                <w:sz w:val="18"/>
              </w:rPr>
            </w:pPr>
            <w:r>
              <w:rPr>
                <w:rFonts w:ascii="Calibri;sans-serif" w:hAnsi="Calibri;sans-serif"/>
                <w:b/>
                <w:color w:val="000000"/>
                <w:sz w:val="18"/>
              </w:rPr>
              <w:t>Trading Symbol(s)</w:t>
            </w:r>
          </w:p>
        </w:tc>
        <w:tc>
          <w:tcPr>
            <w:tcW w:w="34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Calibri;sans-serif" w:hAnsi="Calibri;sans-serif"/>
                <w:b/>
                <w:color w:val="000000"/>
                <w:sz w:val="18"/>
              </w:rPr>
            </w:pPr>
            <w:r>
              <w:rPr>
                <w:rFonts w:ascii="Calibri;sans-serif" w:hAnsi="Calibri;sans-serif"/>
                <w:b/>
                <w:color w:val="000000"/>
                <w:sz w:val="18"/>
              </w:rPr>
              <w:t>Name of each exchange on which registered</w:t>
            </w:r>
          </w:p>
        </w:tc>
      </w:tr>
      <w:tr>
        <w:trPr/>
        <w:tc>
          <w:tcPr>
            <w:tcW w:w="3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Calibri;sans-serif" w:hAnsi="Calibri;sans-serif"/>
                <w:b w:val="false"/>
                <w:color w:val="000000"/>
                <w:sz w:val="18"/>
              </w:rPr>
            </w:pPr>
            <w:r>
              <w:rPr>
                <w:rFonts w:ascii="Calibri;sans-serif" w:hAnsi="Calibri;sans-serif"/>
                <w:b w:val="false"/>
                <w:color w:val="000000"/>
                <w:sz w:val="18"/>
              </w:rPr>
              <w:t>Common Stock, par value $.01 per share</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Calibri;sans-serif" w:hAnsi="Calibri;sans-serif"/>
                <w:b w:val="false"/>
                <w:color w:val="000000"/>
                <w:sz w:val="18"/>
              </w:rPr>
            </w:pPr>
            <w:r>
              <w:rPr>
                <w:rFonts w:ascii="Calibri;sans-serif" w:hAnsi="Calibri;sans-serif"/>
                <w:b w:val="false"/>
                <w:color w:val="000000"/>
                <w:sz w:val="18"/>
              </w:rPr>
              <w:t>HWKN</w:t>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Calibri;sans-serif" w:hAnsi="Calibri;sans-serif"/>
                <w:b w:val="false"/>
                <w:color w:val="000000"/>
                <w:sz w:val="18"/>
              </w:rPr>
            </w:pPr>
            <w:r>
              <w:rPr>
                <w:rFonts w:ascii="Calibri;sans-serif" w:hAnsi="Calibri;sans-serif"/>
                <w:b w:val="false"/>
                <w:color w:val="000000"/>
                <w:sz w:val="18"/>
              </w:rPr>
              <w:t>Nasdaq Stock Market LLC</w:t>
            </w:r>
          </w:p>
        </w:tc>
      </w:tr>
    </w:tbl>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Indicate by check mark whether the registrant is an emerging growth company as defined in Rule 405 of the Securities Act (17 CFR 230.405) or Rule 12b-2 of the Exchange Act (17 CFR 240.12b 2).</w:t>
      </w:r>
    </w:p>
    <w:p>
      <w:pPr>
        <w:pStyle w:val="TextBody"/>
        <w:bidi w:val="0"/>
        <w:spacing w:before="0" w:after="0"/>
        <w:jc w:val="left"/>
        <w:rPr/>
      </w:pPr>
      <w:r>
        <w:rPr/>
      </w:r>
    </w:p>
    <w:p>
      <w:pPr>
        <w:pStyle w:val="TextBody"/>
        <w:bidi w:val="0"/>
        <w:spacing w:lineRule="auto" w:line="288" w:before="0" w:after="0"/>
        <w:jc w:val="right"/>
        <w:rPr/>
      </w:pPr>
      <w:r>
        <w:rPr>
          <w:rFonts w:ascii="Calibri;sans-serif" w:hAnsi="Calibri;sans-serif"/>
          <w:b w:val="false"/>
          <w:color w:val="000000"/>
          <w:sz w:val="20"/>
        </w:rPr>
        <w:t>Emerging growth company</w:t>
      </w:r>
      <w:r>
        <w:rPr>
          <w:color w:val="000000"/>
        </w:rPr>
        <w:t xml:space="preserve">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Calibri;sans-serif" w:hAnsi="Calibri;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Item 2.02. Results of Operations and Financial Condition.</w:t>
      </w:r>
    </w:p>
    <w:p>
      <w:pPr>
        <w:pStyle w:val="TextBody"/>
        <w:bidi w:val="0"/>
        <w:spacing w:lineRule="auto" w:line="288" w:before="100" w:after="283"/>
        <w:ind w:left="0" w:right="0" w:firstLine="450"/>
        <w:jc w:val="left"/>
        <w:rPr>
          <w:rFonts w:ascii="Calibri;sans-serif" w:hAnsi="Calibri;sans-serif"/>
          <w:b w:val="false"/>
          <w:color w:val="000000"/>
          <w:sz w:val="20"/>
        </w:rPr>
      </w:pPr>
      <w:r>
        <w:rPr>
          <w:rFonts w:ascii="Calibri;sans-serif" w:hAnsi="Calibri;sans-serif"/>
          <w:b w:val="false"/>
          <w:color w:val="000000"/>
          <w:sz w:val="20"/>
        </w:rPr>
        <w:t>On November 1, 2023, Hawkins, Inc. issued a press release announcing financial results for its fiscal 2024 second quarter ended October 1, 2023. A copy of the press release issued by the Registrant is furnished herewith as Exhibit 99.1 hereto and is incorporated herein by reference.</w:t>
      </w:r>
    </w:p>
    <w:p>
      <w:pPr>
        <w:pStyle w:val="TextBody"/>
        <w:bidi w:val="0"/>
        <w:spacing w:before="100" w:after="283"/>
        <w:ind w:left="0" w:right="0" w:firstLine="495"/>
        <w:jc w:val="left"/>
        <w:rPr/>
      </w:pPr>
      <w:r>
        <w:rPr/>
      </w:r>
    </w:p>
    <w:p>
      <w:pPr>
        <w:pStyle w:val="TextBody"/>
        <w:bidi w:val="0"/>
        <w:spacing w:lineRule="auto" w:line="288" w:before="0" w:after="120"/>
        <w:jc w:val="left"/>
        <w:rPr>
          <w:rFonts w:ascii="Calibri;sans-serif" w:hAnsi="Calibri;sans-serif"/>
          <w:b/>
          <w:color w:val="000000"/>
          <w:sz w:val="20"/>
        </w:rPr>
      </w:pPr>
      <w:r>
        <w:rPr>
          <w:rFonts w:ascii="Calibri;sans-serif" w:hAnsi="Calibri;sans-serif"/>
          <w:b/>
          <w:color w:val="000000"/>
          <w:sz w:val="20"/>
        </w:rPr>
        <w:t>Item 9.01. Financial Statements and Exhibits.</w:t>
      </w:r>
    </w:p>
    <w:p>
      <w:pPr>
        <w:pStyle w:val="TextBody"/>
        <w:bidi w:val="0"/>
        <w:spacing w:lineRule="auto" w:line="288" w:before="0" w:after="0"/>
        <w:ind w:left="0" w:right="0" w:hanging="360"/>
        <w:jc w:val="left"/>
        <w:rPr/>
      </w:pPr>
      <w:r>
        <w:rPr>
          <w:rFonts w:ascii="Calibri;sans-serif" w:hAnsi="Calibri;sans-serif"/>
          <w:b w:val="false"/>
          <w:color w:val="000000"/>
          <w:sz w:val="20"/>
        </w:rPr>
        <w:t>(d)</w:t>
      </w:r>
      <w:r>
        <w:rPr>
          <w:rFonts w:ascii="Calibri;sans-serif" w:hAnsi="Calibri;sans-serif"/>
          <w:b w:val="false"/>
          <w:color w:val="000000"/>
          <w:sz w:val="20"/>
          <w:u w:val="single"/>
        </w:rPr>
        <w:t>Exhibits</w:t>
      </w:r>
      <w:r>
        <w:rPr>
          <w:rFonts w:ascii="Calibri;sans-serif" w:hAnsi="Calibri;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2396"/>
        <w:gridCol w:w="2396"/>
        <w:gridCol w:w="2422"/>
        <w:gridCol w:w="109"/>
        <w:gridCol w:w="109"/>
        <w:gridCol w:w="109"/>
        <w:gridCol w:w="428"/>
        <w:gridCol w:w="428"/>
        <w:gridCol w:w="610"/>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Method of Filing</w:t>
            </w:r>
          </w:p>
        </w:tc>
      </w:tr>
      <w:tr>
        <w:trPr/>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hwknex9912024-q2.htm">
              <w:r>
                <w:rPr>
                  <w:rStyle w:val="InternetLink"/>
                  <w:rFonts w:ascii="Calibri;sans-serif" w:hAnsi="Calibri;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7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Press Release, dated November 1, 2023, announcing financial results of Hawkins, Inc. for its fiscal 2024 second quarter ended October 1,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Filed Electronically</w:t>
            </w:r>
          </w:p>
        </w:tc>
      </w:tr>
      <w:tr>
        <w:trPr/>
        <w:tc>
          <w:tcPr>
            <w:tcW w:w="5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Filed Electronically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SIGNATURES</w:t>
      </w:r>
    </w:p>
    <w:p>
      <w:pPr>
        <w:pStyle w:val="TextBody"/>
        <w:bidi w:val="0"/>
        <w:spacing w:lineRule="auto" w:line="288" w:before="180" w:after="283"/>
        <w:ind w:left="0" w:right="0" w:firstLine="495"/>
        <w:jc w:val="left"/>
        <w:rPr>
          <w:rFonts w:ascii="Calibri;sans-serif" w:hAnsi="Calibri;sans-serif"/>
          <w:b w:val="false"/>
          <w:color w:val="000000"/>
          <w:sz w:val="20"/>
        </w:rPr>
      </w:pPr>
      <w:r>
        <w:rPr>
          <w:rFonts w:ascii="Calibri;sans-serif" w:hAnsi="Calibri;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367" w:type="dxa"/>
        <w:jc w:val="left"/>
        <w:tblInd w:w="0" w:type="dxa"/>
        <w:tblLayout w:type="fixed"/>
        <w:tblCellMar>
          <w:top w:w="28" w:type="dxa"/>
          <w:left w:w="28" w:type="dxa"/>
          <w:bottom w:w="28" w:type="dxa"/>
          <w:right w:w="28" w:type="dxa"/>
        </w:tblCellMar>
      </w:tblPr>
      <w:tblGrid>
        <w:gridCol w:w="742"/>
        <w:gridCol w:w="652"/>
        <w:gridCol w:w="660"/>
        <w:gridCol w:w="109"/>
        <w:gridCol w:w="109"/>
        <w:gridCol w:w="109"/>
        <w:gridCol w:w="141"/>
        <w:gridCol w:w="141"/>
        <w:gridCol w:w="141"/>
        <w:gridCol w:w="141"/>
        <w:gridCol w:w="141"/>
        <w:gridCol w:w="141"/>
        <w:gridCol w:w="1212"/>
        <w:gridCol w:w="1212"/>
        <w:gridCol w:w="1716"/>
      </w:tblGrid>
      <w:tr>
        <w:trPr/>
        <w:tc>
          <w:tcPr>
            <w:tcW w:w="74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HAWKINS, INC.</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Date: November 1,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By:</w:t>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 xml:space="preserve">/s/ Jeffrey P. Oldenkamp </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 xml:space="preserve">Jeffrey P. Oldenkamp </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209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320"/>
        <w:gridCol w:w="320"/>
        <w:gridCol w:w="4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Exhibit 99.1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Hawkins, Inc. Reports</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Second Quarter Fiscal 2024 Results</w:t>
      </w:r>
    </w:p>
    <w:p>
      <w:pPr>
        <w:pStyle w:val="TextBody"/>
        <w:bidi w:val="0"/>
        <w:spacing w:before="0" w:after="0"/>
        <w:jc w:val="center"/>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Roseville, Minn., November 1, 2023 – Hawkins, Inc. (Nasdaq: HWKN) today announced results for the three and six months ended October 1, 2023, its second quarter of fiscal 2024.</w:t>
      </w:r>
    </w:p>
    <w:p>
      <w:pPr>
        <w:pStyle w:val="TextBody"/>
        <w:bidi w:val="0"/>
        <w:spacing w:before="0" w:after="0"/>
        <w:jc w:val="both"/>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Second Quarter Fiscal Year 2024 Highlights:</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0"/>
        </w:rPr>
        <w:t>Second quarter sales of $236.5 million, with Water Treatment group sales growth of 17% over the same quarter in the prior year.</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0"/>
        </w:rPr>
        <w:t>Record quarterly gross profit of $53.9 million, a 16% increase over the prior year, contributing to record quarterly operating income of $33.0 million, a 25% year-over-year increase.</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0"/>
        </w:rPr>
        <w:t>Record second quarter diluted earnings per share ("EPS") of $1.10, 28% higher than the same period last year.</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0"/>
        </w:rPr>
        <w:t>Record quarterly earnings before interest, taxes, depreciation and amortization ("EBITDA"), a non-GAAP measure, of $41.5 million, a 22% increase over the same period of the prior year.</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0"/>
        </w:rPr>
        <w:t>Record quarterly operating cash flow of $57.8 million, a portion of which was used to pay down $28.6 million on our revolving line of credit, reducing our debt to $60.0 million and bringing our leverage ratio to 0.45x adjusted EBITDA.</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0"/>
        </w:rPr>
        <w:t>Year-to-date diluted EPS of $2.22 grew 24% over the prior year.</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0"/>
        </w:rPr>
        <w:t>After quarter-end, added six Water Treatment locations through acquisitions of Water Solutions Unlimited, Inc. and The Miami Products &amp; Chemical Company.</w: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Executive Commentary – Patrick H. Hawkins, Chief Executive Officer and President: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Calibri;sans-serif" w:hAnsi="Calibri;sans-serif"/>
          <w:b w:val="false"/>
          <w:color w:val="000000"/>
          <w:sz w:val="20"/>
        </w:rPr>
        <w:t>We are pleased with our strong year-over-year performance in the second quarter, with our bottom line growing 29%, following our strong first-quarter growth of 19%. Our Water Treatment group once again led the way with revenue growth of 17% and operating income growth of nearly 70%. We continue to see profit growth within this segment, as we execute on our strategy to grow both the legacy business and the businesses we have acquired over the last few years. Although our Industrial group sales declined year-over-year, operating income was up 2%. In addition, the year-over-year second quarter sales decline in our Health and Nutrition group slowed to about half of what it was in the first quarter, showing signs of improvement."</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Mr. Hawkins continued, "The strong first-half results, combined with disciplined inventory management, allowed us to pay down $52 million on our debt in the first six months of the year. Our strong financial position has allowed us to continue our strategy of Water Treatment growth as we added six additional locations through two acquisitions after quarter-end. We expect continued growth in our Water Treatment segment for the remainder of the year, remain cautiously optimistic about our Industrial segment, and expect the Health and Nutrition distribution business to improve on a year-over-year basis beginning in calendar 2024. With the diversity of our businesses and the overall strength of our Company, we believe we will continue to generate strong operating cash flow and will continue to manage our balance sheet during the remainder of the fiscal year."</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Calibri;sans-serif" w:hAnsi="Calibri;sans-serif"/>
          <w:b/>
          <w:color w:val="000000"/>
          <w:sz w:val="20"/>
        </w:rPr>
      </w:pPr>
      <w:r>
        <w:rPr>
          <w:rFonts w:ascii="Calibri;sans-serif" w:hAnsi="Calibri;sans-serif"/>
          <w:b/>
          <w:color w:val="000000"/>
          <w:sz w:val="20"/>
        </w:rPr>
        <w:t>Second Quarter Financial Highlights:</w:t>
      </w:r>
    </w:p>
    <w:p>
      <w:pPr>
        <w:pStyle w:val="TextBody"/>
        <w:bidi w:val="0"/>
        <w:spacing w:before="0" w:after="0"/>
        <w:jc w:val="both"/>
        <w:rPr/>
      </w:pPr>
      <w:r>
        <w:rPr/>
      </w:r>
    </w:p>
    <w:p>
      <w:pPr>
        <w:pStyle w:val="TextBody"/>
        <w:bidi w:val="0"/>
        <w:spacing w:lineRule="auto" w:line="288" w:before="0" w:after="120"/>
        <w:jc w:val="both"/>
        <w:rPr>
          <w:rFonts w:ascii="Calibri;sans-serif" w:hAnsi="Calibri;sans-serif"/>
          <w:b/>
          <w:color w:val="000000"/>
          <w:sz w:val="20"/>
        </w:rPr>
      </w:pPr>
      <w:r>
        <w:rPr>
          <w:rFonts w:ascii="Calibri;sans-serif" w:hAnsi="Calibri;sans-serif"/>
          <w:b/>
          <w:color w:val="000000"/>
          <w:sz w:val="20"/>
        </w:rPr>
        <w:t>NET INCOME</w:t>
      </w:r>
    </w:p>
    <w:p>
      <w:pPr>
        <w:pStyle w:val="TextBody"/>
        <w:bidi w:val="0"/>
        <w:spacing w:lineRule="auto" w:line="288" w:before="0" w:after="180"/>
        <w:jc w:val="left"/>
        <w:rPr>
          <w:rFonts w:ascii="Calibri;sans-serif" w:hAnsi="Calibri;sans-serif"/>
          <w:b w:val="false"/>
          <w:color w:val="000000"/>
          <w:sz w:val="20"/>
        </w:rPr>
      </w:pPr>
      <w:r>
        <w:rPr>
          <w:rFonts w:ascii="Calibri;sans-serif" w:hAnsi="Calibri;sans-serif"/>
          <w:b w:val="false"/>
          <w:color w:val="000000"/>
          <w:sz w:val="20"/>
        </w:rPr>
        <w:t xml:space="preserve">For the second quarter of fiscal 2024, the Company reported net income of $23.2 million, or $1.10 per diluted share, compared to net income for the second quarter of fiscal 2023 of $18.0 million, or $0.86 per diluted share. </w:t>
      </w:r>
    </w:p>
    <w:p>
      <w:pPr>
        <w:pStyle w:val="TextBody"/>
        <w:bidi w:val="0"/>
        <w:spacing w:lineRule="auto" w:line="288" w:before="0" w:after="120"/>
        <w:jc w:val="both"/>
        <w:rPr>
          <w:rFonts w:ascii="Calibri;sans-serif" w:hAnsi="Calibri;sans-serif"/>
          <w:b/>
          <w:color w:val="000000"/>
          <w:sz w:val="20"/>
        </w:rPr>
      </w:pPr>
      <w:r>
        <w:rPr>
          <w:rFonts w:ascii="Calibri;sans-serif" w:hAnsi="Calibri;sans-serif"/>
          <w:b/>
          <w:color w:val="000000"/>
          <w:sz w:val="20"/>
        </w:rPr>
        <w:t>REVENUE</w:t>
      </w:r>
    </w:p>
    <w:p>
      <w:pPr>
        <w:pStyle w:val="TextBody"/>
        <w:bidi w:val="0"/>
        <w:spacing w:lineRule="auto" w:line="288" w:before="0" w:after="180"/>
        <w:jc w:val="left"/>
        <w:rPr>
          <w:rFonts w:ascii="Calibri;sans-serif" w:hAnsi="Calibri;sans-serif"/>
          <w:b w:val="false"/>
          <w:color w:val="000000"/>
          <w:sz w:val="20"/>
        </w:rPr>
      </w:pPr>
      <w:r>
        <w:rPr>
          <w:rFonts w:ascii="Calibri;sans-serif" w:hAnsi="Calibri;sans-serif"/>
          <w:b w:val="false"/>
          <w:color w:val="000000"/>
          <w:sz w:val="20"/>
        </w:rPr>
        <w:t>Sales were $236.5 million for the second quarter of fiscal 2024, a decrease of $4.7 million, or 2%, from sales of $241.2 million in the same period a year ago. Decreased sales in our Industrial and Health and Nutrition segments more than offset increased sales in our Water Treatment segment. Industrial segment sales decreased $15.4 million, or 14%, to $98.5 million for the current quarter, from $113.9 million in the same period a year ago. The sale of our consumer bleach packaging business at the end of fiscal 2023 resulted in $4.0 million lower sales in the current quarter. In addition, Industrial segment sales declined due to overall lower volumes. Water Treatment segment sales increased $14.4 million or 17%, to $100.9 million for the current quarter, from $86.5 million in the same period a year ago. Water Treatment sales increased as a result of increased selling prices on many of our products as well as increased sales volumes of certain of our products. Health and Nutrition segment sales decreased $3.7 million, or 9%, to $37.1 million for the current quarter, from $40.8 million in the same period a year ago. Health and Nutrition segment sales decreased primarily due to lower demand from our customers, which we believe was driven by excess inventory at some of our customers as well as lower consumer demand for health and immunity products. The sales decline experienced in the second quarter of fiscal 2023 was about half the decline experienced in the first quarter of fiscal 2023.</w:t>
      </w:r>
    </w:p>
    <w:p>
      <w:pPr>
        <w:pStyle w:val="TextBody"/>
        <w:bidi w:val="0"/>
        <w:spacing w:lineRule="auto" w:line="288" w:before="0" w:after="180"/>
        <w:jc w:val="left"/>
        <w:rPr>
          <w:rFonts w:ascii="Calibri;sans-serif" w:hAnsi="Calibri;sans-serif"/>
          <w:b/>
          <w:color w:val="000000"/>
          <w:sz w:val="20"/>
        </w:rPr>
      </w:pPr>
      <w:r>
        <w:rPr>
          <w:rFonts w:ascii="Calibri;sans-serif" w:hAnsi="Calibri;sans-serif"/>
          <w:b/>
          <w:color w:val="000000"/>
          <w:sz w:val="20"/>
        </w:rPr>
        <w:t>GROSS PROFIT</w:t>
      </w:r>
    </w:p>
    <w:p>
      <w:pPr>
        <w:pStyle w:val="TextBody"/>
        <w:bidi w:val="0"/>
        <w:spacing w:lineRule="auto" w:line="288" w:before="0" w:after="180"/>
        <w:jc w:val="left"/>
        <w:rPr>
          <w:rFonts w:ascii="Calibri;sans-serif" w:hAnsi="Calibri;sans-serif"/>
          <w:b w:val="false"/>
          <w:color w:val="000000"/>
          <w:sz w:val="20"/>
        </w:rPr>
      </w:pPr>
      <w:r>
        <w:rPr>
          <w:rFonts w:ascii="Calibri;sans-serif" w:hAnsi="Calibri;sans-serif"/>
          <w:b w:val="false"/>
          <w:color w:val="000000"/>
          <w:sz w:val="20"/>
        </w:rPr>
        <w:t>Gross profit increased $7.5 million, or 16%, to $53.9 million, or 23% of sales, for the current quarter, from $46.4 million, or 19% of sales, in the same period a year ago. During the current quarter, the LIFO reserve decreased, and gross profit increased, by $3.2 million due primarily to decreasing raw material prices. In the same quarter a year ago, the LIFO reserve increased, and gross profit decreased, by $5.3 million due primarily to rising raw material prices. Gross profit for the Industrial segment increased $0.1 million, or 1%, to $17.8 million, or 18% of sales, for the current quarter, from $17.7 million, or 16% of sales, in the same period a year ago. Industrial segment gross profit increased slightly due to improved unit margins on certain products. Gross profit for the Water Treatment segment increased $8.8 million, or 43%, to $29.3 million, or 29% of sales, for the current quarter, from $20.5 million, or 24% of sales, in the same period a year ago. Water Treatment segment gross profit increased as a result of improved per-unit margins on many of our products as well as increased sales. Gross profit for our Health and Nutrition segment decreased $1.5 million, or 18%, to $6.7 million, or 18% of sales, for the current quarter, from $8.2 million, or 20% of sales, in the same period a year ago. Health and Nutrition segment gross profit decreased as a result of lower sales and lower per-unit margins on certain products.</w:t>
      </w:r>
    </w:p>
    <w:p>
      <w:pPr>
        <w:pStyle w:val="TextBody"/>
        <w:bidi w:val="0"/>
        <w:spacing w:lineRule="auto" w:line="288" w:before="0" w:after="120"/>
        <w:jc w:val="left"/>
        <w:rPr>
          <w:rFonts w:ascii="Calibri;sans-serif" w:hAnsi="Calibri;sans-serif"/>
          <w:b/>
          <w:color w:val="000000"/>
          <w:sz w:val="20"/>
        </w:rPr>
      </w:pPr>
      <w:r>
        <w:rPr>
          <w:rFonts w:ascii="Calibri;sans-serif" w:hAnsi="Calibri;sans-serif"/>
          <w:b/>
          <w:color w:val="000000"/>
          <w:sz w:val="20"/>
        </w:rPr>
        <w:t>SELLING, GENERAL AND ADMINISTRATIVE EXPENSES</w:t>
      </w:r>
    </w:p>
    <w:p>
      <w:pPr>
        <w:pStyle w:val="TextBody"/>
        <w:bidi w:val="0"/>
        <w:spacing w:lineRule="auto" w:line="288" w:before="0" w:after="180"/>
        <w:jc w:val="left"/>
        <w:rPr>
          <w:rFonts w:ascii="Calibri;sans-serif" w:hAnsi="Calibri;sans-serif"/>
          <w:b w:val="false"/>
          <w:color w:val="000000"/>
          <w:sz w:val="20"/>
        </w:rPr>
      </w:pPr>
      <w:r>
        <w:rPr>
          <w:rFonts w:ascii="Calibri;sans-serif" w:hAnsi="Calibri;sans-serif"/>
          <w:b w:val="false"/>
          <w:color w:val="000000"/>
          <w:sz w:val="20"/>
        </w:rPr>
        <w:t>Selling, general and administrative expenses increased $1.1 million, or 6%, to $20.9 million, or 9% of sales, for the current quarter, from $19.8 million, or 8% of sales, in the same period a year ago. Expenses increased largely due to increased variable pay as well as added costs from acquired businesses.</w:t>
      </w:r>
    </w:p>
    <w:p>
      <w:pPr>
        <w:pStyle w:val="TextBody"/>
        <w:bidi w:val="0"/>
        <w:spacing w:lineRule="auto" w:line="288" w:before="0" w:after="120"/>
        <w:jc w:val="left"/>
        <w:rPr>
          <w:rFonts w:ascii="Calibri;sans-serif" w:hAnsi="Calibri;sans-serif"/>
          <w:b/>
          <w:color w:val="000000"/>
          <w:sz w:val="20"/>
        </w:rPr>
      </w:pPr>
      <w:r>
        <w:rPr>
          <w:rFonts w:ascii="Calibri;sans-serif" w:hAnsi="Calibri;sans-serif"/>
          <w:b/>
          <w:color w:val="000000"/>
          <w:sz w:val="20"/>
        </w:rPr>
        <w:t>ADJUSTED EBITDA</w:t>
      </w:r>
    </w:p>
    <w:p>
      <w:pPr>
        <w:pStyle w:val="TextBody"/>
        <w:bidi w:val="0"/>
        <w:spacing w:lineRule="auto" w:line="288" w:before="0" w:after="180"/>
        <w:jc w:val="left"/>
        <w:rPr>
          <w:rFonts w:ascii="Calibri;sans-serif" w:hAnsi="Calibri;sans-serif"/>
          <w:b w:val="false"/>
          <w:color w:val="000000"/>
          <w:sz w:val="20"/>
        </w:rPr>
      </w:pPr>
      <w:r>
        <w:rPr>
          <w:rFonts w:ascii="Calibri;sans-serif" w:hAnsi="Calibri;sans-serif"/>
          <w:b w:val="false"/>
          <w:color w:val="000000"/>
          <w:sz w:val="20"/>
        </w:rPr>
        <w:t>Adjusted EBITDA, a non-GAAP financial measure, is an important performance indicator and a key compliance measure under the terms of our credit agreement. An explanation of the computation of adjusted EBITDA is presented below. Adjusted EBITDA for the three months ended October 1, 2023 was $41.5 million, an increase of $7.5 million, or 22%, from $34.0 million in the same period a year ago.</w:t>
      </w:r>
    </w:p>
    <w:p>
      <w:pPr>
        <w:pStyle w:val="TextBody"/>
        <w:bidi w:val="0"/>
        <w:spacing w:lineRule="auto" w:line="288" w:before="0" w:after="120"/>
        <w:jc w:val="left"/>
        <w:rPr>
          <w:rFonts w:ascii="Calibri;sans-serif" w:hAnsi="Calibri;sans-serif"/>
          <w:b/>
          <w:color w:val="000000"/>
          <w:sz w:val="20"/>
        </w:rPr>
      </w:pPr>
      <w:r>
        <w:rPr>
          <w:rFonts w:ascii="Calibri;sans-serif" w:hAnsi="Calibri;sans-serif"/>
          <w:b/>
          <w:color w:val="000000"/>
          <w:sz w:val="20"/>
        </w:rPr>
        <w:t>INCOME TAXES</w:t>
      </w:r>
    </w:p>
    <w:p>
      <w:pPr>
        <w:pStyle w:val="TextBody"/>
        <w:bidi w:val="0"/>
        <w:spacing w:lineRule="auto" w:line="288" w:before="0" w:after="180"/>
        <w:jc w:val="left"/>
        <w:rPr>
          <w:rFonts w:ascii="Calibri;sans-serif" w:hAnsi="Calibri;sans-serif"/>
          <w:b w:val="false"/>
          <w:color w:val="000000"/>
          <w:sz w:val="20"/>
        </w:rPr>
      </w:pPr>
      <w:r>
        <w:rPr>
          <w:rFonts w:ascii="Calibri;sans-serif" w:hAnsi="Calibri;sans-serif"/>
          <w:b w:val="false"/>
          <w:color w:val="000000"/>
          <w:sz w:val="20"/>
        </w:rPr>
        <w:t>Our effective income tax rate was 27% for both the current quarter and the same period a year ago. The effective tax rate is impacted by projected levels of annual taxable income, permanent items, and state taxes. Our effective tax rate for the full year is currently expected to be approximately 26-27%.</w:t>
      </w:r>
    </w:p>
    <w:p>
      <w:pPr>
        <w:pStyle w:val="TextBody"/>
        <w:bidi w:val="0"/>
        <w:spacing w:lineRule="auto" w:line="288" w:before="0" w:after="120"/>
        <w:jc w:val="left"/>
        <w:rPr>
          <w:rFonts w:ascii="Calibri;sans-serif" w:hAnsi="Calibri;sans-serif"/>
          <w:b/>
          <w:color w:val="000000"/>
          <w:sz w:val="20"/>
        </w:rPr>
      </w:pPr>
      <w:r>
        <w:rPr>
          <w:rFonts w:ascii="Calibri;sans-serif" w:hAnsi="Calibri;sans-serif"/>
          <w:b/>
          <w:color w:val="000000"/>
          <w:sz w:val="20"/>
        </w:rPr>
        <w:t>BALANCE SHEET</w:t>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 xml:space="preserve">During the second quarter, our working capital demands decreased in large part due to favorable cash collections on accounts receivable and disciplined management of our inventory levels. This improvement, along with higher net income, allowed us to reduce our debt by $28.6 million in the quarter and $52 million year to date. We now have total outstanding debt of $60 million, which is 0.45x our trailing twelve-month adjusted EBITDA, down from 0.96x at the end of fiscal 2023.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Calibri;sans-serif" w:hAnsi="Calibri;sans-serif"/>
          <w:b w:val="false"/>
          <w:color w:val="000000"/>
          <w:sz w:val="20"/>
          <w:u w:val="single"/>
        </w:rPr>
      </w:pPr>
      <w:r>
        <w:rPr>
          <w:rFonts w:ascii="Calibri;sans-serif" w:hAnsi="Calibri;sans-serif"/>
          <w:b w:val="false"/>
          <w:color w:val="000000"/>
          <w:sz w:val="20"/>
          <w:u w:val="single"/>
        </w:rPr>
        <w:t>About Hawkins, Inc.</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 xml:space="preserve">Hawkins, Inc. was founded in 1938 and is a leading specialty chemical and ingredients company that formulates, distributes, blends, and manufactures products for its Industrial, Water Treatment, and Health &amp; Nutrition customers. Headquartered in Roseville, Minnesota, the Company has 58 facilities in 26 states and creates value for its customers through superb customer service and support, quality products and personalized applications. Hawkins, Inc. generated $935 million of revenue in fiscal 2023 and has approximately 950 employees. For more information, including registering to receive email alerts, please visit www.hawkinsinc.com/investors. </w:t>
      </w:r>
    </w:p>
    <w:p>
      <w:pPr>
        <w:pStyle w:val="TextBody"/>
        <w:bidi w:val="0"/>
        <w:spacing w:before="0" w:after="0"/>
        <w:jc w:val="left"/>
        <w:rPr/>
      </w:pPr>
      <w:r>
        <w:rPr/>
      </w:r>
    </w:p>
    <w:p>
      <w:pPr>
        <w:pStyle w:val="TextBody"/>
        <w:bidi w:val="0"/>
        <w:spacing w:lineRule="auto" w:line="288" w:before="0" w:after="200"/>
        <w:jc w:val="left"/>
        <w:rPr>
          <w:rFonts w:ascii="Calibri;sans-serif" w:hAnsi="Calibri;sans-serif"/>
          <w:b w:val="false"/>
          <w:color w:val="000000"/>
          <w:sz w:val="20"/>
          <w:u w:val="single"/>
        </w:rPr>
      </w:pPr>
      <w:r>
        <w:rPr>
          <w:rFonts w:ascii="Calibri;sans-serif" w:hAnsi="Calibri;sans-serif"/>
          <w:b w:val="false"/>
          <w:color w:val="000000"/>
          <w:sz w:val="20"/>
          <w:u w:val="single"/>
        </w:rPr>
        <w:t>Reconciliation of Non-GAAP Financial Measures</w:t>
      </w:r>
    </w:p>
    <w:p>
      <w:pPr>
        <w:pStyle w:val="TextBody"/>
        <w:bidi w:val="0"/>
        <w:spacing w:lineRule="auto" w:line="288" w:before="0" w:after="200"/>
        <w:jc w:val="left"/>
        <w:rPr>
          <w:rFonts w:ascii="Calibri;sans-serif" w:hAnsi="Calibri;sans-serif"/>
          <w:b w:val="false"/>
          <w:color w:val="000000"/>
          <w:sz w:val="20"/>
        </w:rPr>
      </w:pPr>
      <w:r>
        <w:rPr>
          <w:rFonts w:ascii="Calibri;sans-serif" w:hAnsi="Calibri;sans-serif"/>
          <w:b w:val="false"/>
          <w:color w:val="000000"/>
          <w:sz w:val="20"/>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EBITDA. This non-GAAP financial measure is not meant to be considered in isolation or as a substitute for comparable GAAP measures. The method we use to produce non-GAAP results is not computed according to GAAP and may differ from the methods used by other companies.</w:t>
      </w:r>
    </w:p>
    <w:p>
      <w:pPr>
        <w:pStyle w:val="TextBody"/>
        <w:bidi w:val="0"/>
        <w:spacing w:lineRule="auto" w:line="288" w:before="0" w:after="200"/>
        <w:jc w:val="left"/>
        <w:rPr>
          <w:rFonts w:ascii="Calibri;sans-serif" w:hAnsi="Calibri;sans-serif"/>
          <w:b w:val="false"/>
          <w:color w:val="000000"/>
          <w:sz w:val="20"/>
        </w:rPr>
      </w:pPr>
      <w:r>
        <w:rPr>
          <w:rFonts w:ascii="Calibri;sans-serif" w:hAnsi="Calibri;sans-serif"/>
          <w:b w:val="false"/>
          <w:color w:val="000000"/>
          <w:sz w:val="20"/>
        </w:rPr>
        <w:t>Management uses this non-GAAP financial measure internally to understand, manage and evaluate our business and to make operating decisions. Management believes that this non-GAAP financial measure reflects an additional way of viewing aspects of our operations that, when viewed with our GAAP results, provides a more complete understanding of the factors and trends affecting our financial condition and results of operations.</w:t>
      </w:r>
    </w:p>
    <w:p>
      <w:pPr>
        <w:pStyle w:val="TextBody"/>
        <w:bidi w:val="0"/>
        <w:spacing w:lineRule="auto" w:line="288" w:before="0" w:after="200"/>
        <w:jc w:val="left"/>
        <w:rPr>
          <w:rFonts w:ascii="Calibri;sans-serif" w:hAnsi="Calibri;sans-serif"/>
          <w:b w:val="false"/>
          <w:color w:val="000000"/>
          <w:sz w:val="20"/>
        </w:rPr>
      </w:pPr>
      <w:r>
        <w:rPr>
          <w:rFonts w:ascii="Calibri;sans-serif" w:hAnsi="Calibri;sans-serif"/>
          <w:b w:val="false"/>
          <w:color w:val="000000"/>
          <w:sz w:val="20"/>
        </w:rPr>
        <w:t>We define adjusted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non-recurring items of income or expense, if applicable.</w:t>
      </w:r>
    </w:p>
    <w:p>
      <w:pPr>
        <w:pStyle w:val="TextBody"/>
        <w:bidi w:val="0"/>
        <w:spacing w:before="0" w:after="200"/>
        <w:jc w:val="left"/>
        <w:rPr/>
      </w:pPr>
      <w:r>
        <w:rPr/>
      </w:r>
    </w:p>
    <w:tbl>
      <w:tblPr>
        <w:tblW w:w="9739" w:type="dxa"/>
        <w:jc w:val="left"/>
        <w:tblInd w:w="0" w:type="dxa"/>
        <w:tblLayout w:type="fixed"/>
        <w:tblCellMar>
          <w:top w:w="28" w:type="dxa"/>
          <w:left w:w="28" w:type="dxa"/>
          <w:bottom w:w="28" w:type="dxa"/>
          <w:right w:w="28" w:type="dxa"/>
        </w:tblCellMar>
      </w:tblPr>
      <w:tblGrid>
        <w:gridCol w:w="1071"/>
        <w:gridCol w:w="938"/>
        <w:gridCol w:w="945"/>
        <w:gridCol w:w="292"/>
        <w:gridCol w:w="998"/>
        <w:gridCol w:w="150"/>
        <w:gridCol w:w="109"/>
        <w:gridCol w:w="109"/>
        <w:gridCol w:w="109"/>
        <w:gridCol w:w="292"/>
        <w:gridCol w:w="998"/>
        <w:gridCol w:w="150"/>
        <w:gridCol w:w="109"/>
        <w:gridCol w:w="109"/>
        <w:gridCol w:w="109"/>
        <w:gridCol w:w="292"/>
        <w:gridCol w:w="998"/>
        <w:gridCol w:w="150"/>
        <w:gridCol w:w="109"/>
        <w:gridCol w:w="109"/>
        <w:gridCol w:w="109"/>
        <w:gridCol w:w="288"/>
        <w:gridCol w:w="986"/>
        <w:gridCol w:w="210"/>
      </w:tblGrid>
      <w:tr>
        <w:trPr/>
        <w:tc>
          <w:tcPr>
            <w:tcW w:w="107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Adjusted EBITDA</w:t>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Six months ended</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 thousands)</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October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October 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October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October 2, 2022</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Net Income (GAAP)</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23,216 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18,000 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46,646 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37,695 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1,383 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1,865 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2,312 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expense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8,769 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6,707 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17,015 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13,184 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Amortization of intangibles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1,724 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3,394 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3,506 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 expense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5,675 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5,064 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11,112 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9,865 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Non-cash compensation expense</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1,260 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1,085 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2,219 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1,680 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Non-recurring acquisition expenses </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Adjusted EBITDA</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41,483 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33,988 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82,373 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68,242 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CONSOLIDATED STATEMENTS OF INCOME (UNAUDITED)</w:t>
      </w:r>
    </w:p>
    <w:p>
      <w:pPr>
        <w:pStyle w:val="TextBody"/>
        <w:bidi w:val="0"/>
        <w:spacing w:lineRule="auto" w:line="288" w:before="0" w:after="0"/>
        <w:jc w:val="center"/>
        <w:rPr>
          <w:rFonts w:ascii="Calibri;sans-serif" w:hAnsi="Calibri;sans-serif"/>
          <w:b/>
          <w:color w:val="000000"/>
          <w:sz w:val="16"/>
        </w:rPr>
      </w:pPr>
      <w:r>
        <w:rPr>
          <w:rFonts w:ascii="Calibri;sans-serif" w:hAnsi="Calibri;sans-serif"/>
          <w:b/>
          <w:color w:val="000000"/>
          <w:sz w:val="16"/>
        </w:rPr>
        <w:t>(In thousands, except share and per-share data)</w:t>
      </w:r>
    </w:p>
    <w:tbl>
      <w:tblPr>
        <w:tblW w:w="10205" w:type="dxa"/>
        <w:jc w:val="center"/>
        <w:tblInd w:w="0" w:type="dxa"/>
        <w:tblLayout w:type="fixed"/>
        <w:tblCellMar>
          <w:top w:w="28" w:type="dxa"/>
          <w:left w:w="28" w:type="dxa"/>
          <w:bottom w:w="28" w:type="dxa"/>
          <w:right w:w="28" w:type="dxa"/>
        </w:tblCellMar>
      </w:tblPr>
      <w:tblGrid>
        <w:gridCol w:w="1566"/>
        <w:gridCol w:w="874"/>
        <w:gridCol w:w="889"/>
        <w:gridCol w:w="109"/>
        <w:gridCol w:w="109"/>
        <w:gridCol w:w="109"/>
        <w:gridCol w:w="270"/>
        <w:gridCol w:w="980"/>
        <w:gridCol w:w="129"/>
        <w:gridCol w:w="109"/>
        <w:gridCol w:w="109"/>
        <w:gridCol w:w="109"/>
        <w:gridCol w:w="270"/>
        <w:gridCol w:w="980"/>
        <w:gridCol w:w="129"/>
        <w:gridCol w:w="109"/>
        <w:gridCol w:w="109"/>
        <w:gridCol w:w="109"/>
        <w:gridCol w:w="270"/>
        <w:gridCol w:w="980"/>
        <w:gridCol w:w="129"/>
        <w:gridCol w:w="109"/>
        <w:gridCol w:w="109"/>
        <w:gridCol w:w="109"/>
        <w:gridCol w:w="268"/>
        <w:gridCol w:w="974"/>
        <w:gridCol w:w="189"/>
      </w:tblGrid>
      <w:tr>
        <w:trPr/>
        <w:tc>
          <w:tcPr>
            <w:tcW w:w="156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Six Months Ended</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October 01,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October 02,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October 01,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October 02, 2022</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236,526 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241,192 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487,646 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487,735 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(182,640)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(194,818)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(381,769)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(394,612)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53,886 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46,374 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105,877 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93,123 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(20,895)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(19,838)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(40,399)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(38,723)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32,991 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26,536 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65,478 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54,400 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(1,383)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(1,865)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(2,312)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Other (expense)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(1,209)</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31,985 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24,707 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63,661 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50,879 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(8,769)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(6,707)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(17,015)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(13,184)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23,216 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18,000 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46,646 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37,695 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Weighted average number of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20,903,690 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20,814,686 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20,905,707 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20,861,754 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Weighted average number of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21,026,428 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20,956,897 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21,034,153 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21,004,454 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0.86 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0.86 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dividends declared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0.31 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0.28 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CONDENSED CONSOLIDATED BALANCE SHEETS (UNAUDITED)</w:t>
      </w:r>
    </w:p>
    <w:p>
      <w:pPr>
        <w:pStyle w:val="TextBody"/>
        <w:bidi w:val="0"/>
        <w:spacing w:lineRule="auto" w:line="288" w:before="0" w:after="0"/>
        <w:jc w:val="center"/>
        <w:rPr>
          <w:rFonts w:ascii="Calibri;sans-serif" w:hAnsi="Calibri;sans-serif"/>
          <w:b/>
          <w:color w:val="000000"/>
          <w:sz w:val="16"/>
        </w:rPr>
      </w:pPr>
      <w:r>
        <w:rPr>
          <w:rFonts w:ascii="Calibri;sans-serif" w:hAnsi="Calibri;sans-serif"/>
          <w:b/>
          <w:color w:val="000000"/>
          <w:sz w:val="16"/>
        </w:rPr>
        <w:t>(In thousands, except share data)</w:t>
      </w:r>
    </w:p>
    <w:tbl>
      <w:tblPr>
        <w:tblW w:w="10205" w:type="dxa"/>
        <w:jc w:val="center"/>
        <w:tblInd w:w="0" w:type="dxa"/>
        <w:tblLayout w:type="fixed"/>
        <w:tblCellMar>
          <w:top w:w="28" w:type="dxa"/>
          <w:left w:w="28" w:type="dxa"/>
          <w:bottom w:w="28" w:type="dxa"/>
          <w:right w:w="28" w:type="dxa"/>
        </w:tblCellMar>
      </w:tblPr>
      <w:tblGrid>
        <w:gridCol w:w="2855"/>
        <w:gridCol w:w="2271"/>
        <w:gridCol w:w="2297"/>
        <w:gridCol w:w="109"/>
        <w:gridCol w:w="109"/>
        <w:gridCol w:w="109"/>
        <w:gridCol w:w="196"/>
        <w:gridCol w:w="736"/>
        <w:gridCol w:w="109"/>
        <w:gridCol w:w="109"/>
        <w:gridCol w:w="109"/>
        <w:gridCol w:w="109"/>
        <w:gridCol w:w="196"/>
        <w:gridCol w:w="736"/>
        <w:gridCol w:w="155"/>
      </w:tblGrid>
      <w:tr>
        <w:trPr/>
        <w:tc>
          <w:tcPr>
            <w:tcW w:w="2855"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October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April 2,</w:t>
              <w:br/>
              <w:t>2023</w:t>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7,566 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Trade accounts 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124,813 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129,252 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88,777 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6,449 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207,253 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232,044 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344,753 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168,504 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158,950 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192,858 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185,803 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10,199 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77,401 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Intangible assets, net of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71,491 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73,060 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compensation plan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7,367 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175,186 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172,688 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575,297 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590,535 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Accounts payable — 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53,705 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payroll and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17,279 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9,913 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6,645 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94,462 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90,871 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49,775 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101,731 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LONG-TERM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8,687 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PENSION WITHDRAWAL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23,800 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COMPENSATION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9,343 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192,641 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240,519 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Common stock; authorized: 60,000,000 shares of $0.01 par value; 20,787,626 and 20,850,454 shares issued and outstanding as of October 1, 2023 and April 2,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44,443 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342,535 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302,424 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382,656 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350,016 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575,297 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590,535 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CONDENSED CONSOLIDATED STATEMENTS OF CASH FLOWS (UNAUDITED)</w:t>
      </w:r>
    </w:p>
    <w:p>
      <w:pPr>
        <w:pStyle w:val="TextBody"/>
        <w:bidi w:val="0"/>
        <w:spacing w:lineRule="auto" w:line="288" w:before="0" w:after="0"/>
        <w:jc w:val="center"/>
        <w:rPr>
          <w:rFonts w:ascii="Calibri;sans-serif" w:hAnsi="Calibri;sans-serif"/>
          <w:b/>
          <w:color w:val="000000"/>
          <w:sz w:val="16"/>
        </w:rPr>
      </w:pPr>
      <w:r>
        <w:rPr>
          <w:rFonts w:ascii="Calibri;sans-serif" w:hAnsi="Calibri;sans-serif"/>
          <w:b/>
          <w:color w:val="000000"/>
          <w:sz w:val="16"/>
        </w:rPr>
        <w:t>(In thousands)</w:t>
      </w:r>
    </w:p>
    <w:p>
      <w:pPr>
        <w:pStyle w:val="TextBody"/>
        <w:bidi w:val="0"/>
        <w:spacing w:lineRule="auto" w:line="288" w:before="0" w:after="0"/>
        <w:jc w:val="left"/>
        <w:rPr>
          <w:color w:val="000000"/>
        </w:rPr>
      </w:pPr>
      <w:r>
        <w:rPr>
          <w:color w:val="000000"/>
        </w:rPr>
        <w:t> </w:t>
      </w:r>
    </w:p>
    <w:tbl>
      <w:tblPr>
        <w:tblW w:w="7881" w:type="dxa"/>
        <w:jc w:val="left"/>
        <w:tblInd w:w="0" w:type="dxa"/>
        <w:tblLayout w:type="fixed"/>
        <w:tblCellMar>
          <w:top w:w="28" w:type="dxa"/>
          <w:left w:w="28" w:type="dxa"/>
          <w:bottom w:w="28" w:type="dxa"/>
          <w:right w:w="28" w:type="dxa"/>
        </w:tblCellMar>
      </w:tblPr>
      <w:tblGrid>
        <w:gridCol w:w="1909"/>
        <w:gridCol w:w="1681"/>
        <w:gridCol w:w="1690"/>
        <w:gridCol w:w="109"/>
        <w:gridCol w:w="109"/>
        <w:gridCol w:w="109"/>
        <w:gridCol w:w="196"/>
        <w:gridCol w:w="646"/>
        <w:gridCol w:w="109"/>
        <w:gridCol w:w="109"/>
        <w:gridCol w:w="109"/>
        <w:gridCol w:w="109"/>
        <w:gridCol w:w="196"/>
        <w:gridCol w:w="646"/>
        <w:gridCol w:w="154"/>
      </w:tblGrid>
      <w:tr>
        <w:trPr/>
        <w:tc>
          <w:tcPr>
            <w:tcW w:w="19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Six Months Ended</w:t>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October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October 2,</w:t>
              <w:br/>
              <w:t>2022</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Reconciliation to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(Gain) loss on deferred compensation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Changes in operating accounts providing (using)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Trade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(8,481)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(18,077)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92,630 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18,803 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(20,668)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 xml:space="preserve">Other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(20,372)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dividends declared and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New shares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Payroll taxes paid in exchange for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Shares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Payments on revolving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Proceeds from revolving loan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(69,280)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SUPPLEMENTAL DISCLOSURES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paid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Noncash investing activities - capital expenditures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REPORTABLE SEGMENTS (UNAUDITED)</w:t>
      </w:r>
    </w:p>
    <w:p>
      <w:pPr>
        <w:pStyle w:val="TextBody"/>
        <w:bidi w:val="0"/>
        <w:spacing w:lineRule="auto" w:line="288" w:before="0" w:after="0"/>
        <w:jc w:val="center"/>
        <w:rPr>
          <w:rFonts w:ascii="Calibri;sans-serif" w:hAnsi="Calibri;sans-serif"/>
          <w:b/>
          <w:color w:val="000000"/>
          <w:sz w:val="16"/>
        </w:rPr>
      </w:pPr>
      <w:r>
        <w:rPr>
          <w:rFonts w:ascii="Calibri;sans-serif" w:hAnsi="Calibri;sans-serif"/>
          <w:b/>
          <w:color w:val="000000"/>
          <w:sz w:val="16"/>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10"/>
        <w:gridCol w:w="1151"/>
        <w:gridCol w:w="1156"/>
        <w:gridCol w:w="109"/>
        <w:gridCol w:w="109"/>
        <w:gridCol w:w="109"/>
        <w:gridCol w:w="211"/>
        <w:gridCol w:w="826"/>
        <w:gridCol w:w="109"/>
        <w:gridCol w:w="109"/>
        <w:gridCol w:w="109"/>
        <w:gridCol w:w="109"/>
        <w:gridCol w:w="211"/>
        <w:gridCol w:w="826"/>
        <w:gridCol w:w="109"/>
        <w:gridCol w:w="109"/>
        <w:gridCol w:w="109"/>
        <w:gridCol w:w="109"/>
        <w:gridCol w:w="364"/>
        <w:gridCol w:w="1244"/>
        <w:gridCol w:w="187"/>
        <w:gridCol w:w="109"/>
        <w:gridCol w:w="109"/>
        <w:gridCol w:w="109"/>
        <w:gridCol w:w="211"/>
        <w:gridCol w:w="826"/>
        <w:gridCol w:w="156"/>
      </w:tblGrid>
      <w:tr>
        <w:trPr/>
        <w:tc>
          <w:tcPr>
            <w:tcW w:w="131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Water</w:t>
              <w:br/>
              <w:t>Treatment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Health and Nutrition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Total</w:t>
            </w:r>
          </w:p>
        </w:tc>
      </w:tr>
      <w:tr>
        <w:trPr/>
        <w:tc>
          <w:tcPr>
            <w:tcW w:w="3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Three months ended October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98,535 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37,066 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236,526 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6,734 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53,886 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3,944 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2,790 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32,991 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Three months ended October 2,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40,765 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241,192 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8,157 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46,374 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3,865 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19,838 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4,292 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26,536 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Six months ended October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219,408 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194,576 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73,662 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487,646 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13,011 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105,877 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7,747 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40,399 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5,264 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65,478 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Six months ended October 2,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238,649 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164,978 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84,108 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487,735 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15,944 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93,123 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7,664 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38,723 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8,280 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54,400 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0"/>
        <w:jc w:val="left"/>
        <w:rPr/>
      </w:pPr>
      <w:r>
        <w:rPr>
          <w:rFonts w:ascii="Calibri;sans-serif" w:hAnsi="Calibri;sans-serif"/>
          <w:b w:val="false"/>
          <w:color w:val="000000"/>
          <w:sz w:val="20"/>
          <w:u w:val="single"/>
        </w:rPr>
        <w:t>Forward-Looking Statements</w:t>
      </w:r>
      <w:r>
        <w:rPr>
          <w:rFonts w:ascii="Calibri;sans-serif" w:hAnsi="Calibri;sans-serif"/>
          <w:b w:val="false"/>
          <w:color w:val="000000"/>
          <w:sz w:val="20"/>
        </w:rPr>
        <w:t xml:space="preserve">. Various remarks in this press release constitute forward-looking statements within the meaning of Section 27A of the Securities Act of 1933, as amended, and Section 21E of the Securities Exchange Act of 1934, as amended. These statements include those relating to consumer demand for products containing our ingredients and the impacts of those demands, expectations for results in our business segments and the timing of our filings with the Securities and Exchange Commission.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 looking statements based on a number of factors, including, but not limited to, changes in regulation, changes in the labor markets, changes in competition and price pressures, changes in demand and customer requirements or processes for our products, availability of product and disruptions to supplies, interruptions in production resulting from hazards, transportation limitations or other extraordinary events outside our control that may negatively impact our business or the supply chains in which we participate, changes in imported products and tariff levels, the availability of products and the prices at which they are available, the acceptance of new products by our customers and the timing of any such acceptance, and changes in product supplies. Additional information concerning potential factors that could affect future financial results is included in our </w:t>
      </w:r>
      <w:hyperlink r:id="rId2">
        <w:r>
          <w:rPr>
            <w:rStyle w:val="InternetLink"/>
            <w:rFonts w:ascii="Calibri;sans-serif" w:hAnsi="Calibri;sans-serif"/>
            <w:b w:val="false"/>
            <w:color w:val="0000FF"/>
            <w:sz w:val="20"/>
            <w:u w:val="single"/>
          </w:rPr>
          <w:t>Annual Report on Form 10-K for the fiscal year ended April 2, 2023</w:t>
        </w:r>
      </w:hyperlink>
      <w:r>
        <w:rPr>
          <w:rFonts w:ascii="Calibri;sans-serif" w:hAnsi="Calibri;sans-serif"/>
          <w:b w:val="false"/>
          <w:color w:val="000000"/>
          <w:sz w:val="20"/>
        </w:rPr>
        <w:t>,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Contacts:    Jeffrey P. Oldenkamp</w:t>
      </w:r>
    </w:p>
    <w:p>
      <w:pPr>
        <w:pStyle w:val="TextBody"/>
        <w:bidi w:val="0"/>
        <w:spacing w:lineRule="auto" w:line="276" w:before="0" w:after="0"/>
        <w:ind w:left="0" w:right="0" w:firstLine="720"/>
        <w:jc w:val="left"/>
        <w:rPr>
          <w:rFonts w:ascii="Calibri;sans-serif" w:hAnsi="Calibri;sans-serif"/>
          <w:b w:val="false"/>
          <w:color w:val="000000"/>
          <w:sz w:val="20"/>
        </w:rPr>
      </w:pPr>
      <w:r>
        <w:rPr>
          <w:rFonts w:ascii="Calibri;sans-serif" w:hAnsi="Calibri;sans-serif"/>
          <w:b w:val="false"/>
          <w:color w:val="000000"/>
          <w:sz w:val="20"/>
        </w:rPr>
        <w:t>Executive Vice President and Chief Financial Officer</w:t>
      </w:r>
    </w:p>
    <w:p>
      <w:pPr>
        <w:pStyle w:val="TextBody"/>
        <w:bidi w:val="0"/>
        <w:spacing w:lineRule="auto" w:line="276" w:before="0" w:after="0"/>
        <w:ind w:left="0" w:right="0" w:firstLine="720"/>
        <w:jc w:val="left"/>
        <w:rPr>
          <w:rFonts w:ascii="Calibri;sans-serif" w:hAnsi="Calibri;sans-serif"/>
          <w:b w:val="false"/>
          <w:color w:val="000000"/>
          <w:sz w:val="20"/>
        </w:rPr>
      </w:pPr>
      <w:r>
        <w:rPr>
          <w:rFonts w:ascii="Calibri;sans-serif" w:hAnsi="Calibri;sans-serif"/>
          <w:b w:val="false"/>
          <w:color w:val="000000"/>
          <w:sz w:val="20"/>
        </w:rPr>
        <w:t>612/331-6910</w:t>
      </w:r>
    </w:p>
    <w:p>
      <w:pPr>
        <w:pStyle w:val="TextBody"/>
        <w:bidi w:val="0"/>
        <w:spacing w:lineRule="auto" w:line="276" w:before="0" w:after="0"/>
        <w:ind w:left="0" w:right="0" w:firstLine="720"/>
        <w:jc w:val="left"/>
        <w:rPr>
          <w:rFonts w:ascii="Calibri;sans-serif" w:hAnsi="Calibri;sans-serif"/>
          <w:b w:val="false"/>
          <w:color w:val="000000"/>
          <w:sz w:val="20"/>
          <w:u w:val="single"/>
        </w:rPr>
      </w:pPr>
      <w:r>
        <w:rPr>
          <w:rFonts w:ascii="Calibri;sans-serif" w:hAnsi="Calibri;sans-serif"/>
          <w:b w:val="false"/>
          <w:color w:val="000000"/>
          <w:sz w:val="20"/>
          <w:u w:val="single"/>
        </w:rPr>
        <w:t>ir@HawkinsInc.com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46250/000004625023000015/hwkn-20230402.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3297</Words>
  <Characters>18370</Characters>
  <CharactersWithSpaces>21363</CharactersWithSpaces>
  <Paragraphs>637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