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February 8, 2017</w:t>
      </w:r>
    </w:p>
    <w:p>
      <w:pPr>
        <w:spacing w:after="0" w:line="200" w:lineRule="exact"/>
        <w:rPr>
          <w:sz w:val="24"/>
          <w:szCs w:val="24"/>
          <w:color w:val="auto"/>
        </w:rPr>
      </w:pPr>
    </w:p>
    <w:p>
      <w:pPr>
        <w:spacing w:after="0" w:line="366"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February 8, 2017, Hawkins, Inc. issued a press release announcing financial results for its fiscal 2017 third quarter ended January 1, 2017. A copy of the press release issued by the Registrant is furnished herewith as Exhibit 99.1 hereto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640" w:firstLine="878"/>
        <w:spacing w:after="0" w:line="277" w:lineRule="auto"/>
        <w:rPr>
          <w:sz w:val="20"/>
          <w:szCs w:val="20"/>
          <w:color w:val="auto"/>
        </w:rPr>
      </w:pPr>
      <w:r>
        <w:rPr>
          <w:rFonts w:ascii="Arial" w:cs="Arial" w:eastAsia="Arial" w:hAnsi="Arial"/>
          <w:sz w:val="18"/>
          <w:szCs w:val="18"/>
          <w:color w:val="auto"/>
        </w:rPr>
        <w:t>Exhibit 99.1—Press Release, dated February 8, 2017, announcing financial results of Hawkins, Inc. for its fiscal 2017 third quarter ended January 1, 2017.</w:t>
      </w:r>
    </w:p>
    <w:p>
      <w:pPr>
        <w:sectPr>
          <w:pgSz w:w="11900" w:h="16838" w:orient="portrait"/>
          <w:cols w:equalWidth="0" w:num="1">
            <w:col w:w="11420"/>
          </w:cols>
          <w:pgMar w:left="240" w:top="58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February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Press Release, dated February 8, 2017,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2017 third quarter ended January 1, 2017.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8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February 8,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FISCAL 2017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Minneapolis, MN, February 8, 2017 – Hawkins, Inc. (Nasdaq: HWKN) today announced third quarter results for fiscal 2017. Sales of $112.4 million for the three months ended January 1, 2017 represented an increase of 27.1% from $88.4 million for the same period of the prior year. Net income was $3.6 million, or $0.34 per diluted share, compared to net income of $0.8 million, or $0.08 per diluted share, for the same period in fiscal 2016. Net income in the prior year included pre-tax expenses of $2.7 million (approximately $2.1 million after tax, or $0.20 per diluted share) related to our acquisition of Stauber Performance Ingredients ("Stauber") during the third quarter of fiscal 2016. Adjusted net income for the third quarter of fiscal 2016, excluding the Stauber acquisition expenses, was $3.0 million, or $0.28 per diluted share.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January 1, 2017, Hawkins reported sales of $365.0 million as compared to $284.5 million for the same period of the prior year. Net income for the nine months ended January 1, 2017 was $18.3 million, or $1.73 per diluted share, compared to net income of $13.3 million, or $1.25 per diluted share, for the first nine months of fiscal 2016. Excluding the acquisition expenses noted above, adjusted net income was $15.4 million, or $1.46 per fully diluted share, for the nine months ended December 27, 2015.</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 am very pleased by our Industrial segment performance this quarter and for the year. This segment reported higher profits again this quarter as a result of improved margins from certain of our specialized products,” said Patrick Hawkins, Chief Executive Officer and President. “Our Water Treatment segment results declined this quarter as we had some customers serving the oil and gas industry significantly curtail their operations. We continue to focus on sales execution and leveraging the staffing additions we have made over the last several quarters to drive improved performance in these segments. Our Health and Nutrition segment sales were higher than the pro forma sales for the same period in the prior year. While we experienced lower demand from certain of our major customers, we believe that our new business results and prospects remain encouraging. We are continuing to focus on integrating the talent we have added to this segment to build on this group’s capabilities and are optimistic that they are well-positioned for future growth.”</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third quarter of fiscal 2017, Industrial segment sales were $57.1 million, a decrease of $2.2 million, or 3.8%, from the same period of the prior year. Sales decreased primarily due to decreased per-unit selling prices resulting from lower raw material prices on certain products, and to a lesser extent, a decrease in overall sales volumes. Water Treatment segment sales were $28.1 million for the most recent quarter, a decrease of $1.0 million, or 3.3%, from the same period of the prior year. Overall sales volumes increased slightly year over year, but a decrease in equipment project revenues along with lower per-unit selling prices due largely to reduced raw material prices on certain products led to a reduction in sales dollars. Sales for our Health and Nutrition segment established near the end of the third quarter of fiscal 2016 were $27.2 million for the current quarter. This compares to pro forma sales of $26.0 million for the same period last year and sales of $28.5 million in the second quarter of fiscal 2017.</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Company-wide gross profit for the third quarter of fiscal 2017 was $20.9 million, or 18.6% of sales, an increase of $6.2 million from $14.7 million, or 16.6% of sales, for the same period of the prior year.</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Gross profit for the Industrial segment was $8.4 million, or 14.7% of sales, for the quarter, an increase of $0.9 million from $7.5 million, or 12.6% of sales, for the same period of the prior year. The LIFO method of valuing inventory increased gross profit by $0.3 million in the current year and had a nominal impact on gross profit for the same period of the prior year. Despite a slight decrease in overall sales volumes, gross profit dollars and gross profit as a percentage of sales increased, primarily due to improved per-unit margins on certain of our specialized products. The improvement in gross profit as a percentage of sales was also due to decreased selling prices resulting from lower raw material costs.</w:t>
      </w:r>
    </w:p>
    <w:p>
      <w:pPr>
        <w:sectPr>
          <w:pgSz w:w="11900" w:h="16838" w:orient="portrait"/>
          <w:cols w:equalWidth="0" w:num="1">
            <w:col w:w="11420"/>
          </w:cols>
          <w:pgMar w:left="240" w:top="746" w:right="239" w:bottom="1440" w:gutter="0" w:footer="0" w:header="0"/>
          <w:type w:val="continuous"/>
        </w:sectPr>
      </w:pPr>
    </w:p>
    <w:bookmarkStart w:id="5" w:name="page6"/>
    <w:bookmarkEnd w:id="5"/>
    <w:p>
      <w:pPr>
        <w:ind w:right="160"/>
        <w:spacing w:after="0" w:line="257" w:lineRule="auto"/>
        <w:rPr>
          <w:sz w:val="20"/>
          <w:szCs w:val="20"/>
          <w:color w:val="auto"/>
        </w:rPr>
      </w:pPr>
      <w:r>
        <w:rPr>
          <w:rFonts w:ascii="Arial" w:cs="Arial" w:eastAsia="Arial" w:hAnsi="Arial"/>
          <w:sz w:val="18"/>
          <w:szCs w:val="18"/>
          <w:color w:val="auto"/>
        </w:rPr>
        <w:t>Gross profit for the Water Treatment segment was $7.2 million for both the three months ended January 1, 2017 and the same period of the prior year. Gross profit as a percentage of sales was 25.8% for the current quarter and 24.9% for the same period of the prior year. The LIFO method of valuing inventory increased gross profit by $0.1 million for the three months ended January 1, 2017 and had a nominal impact during the same quarter of the prior year. Although we experienced a slight increase in overall volumes, gross profit dollars were flat due to decreased per-unit margins on certain high-volume products.</w:t>
      </w:r>
    </w:p>
    <w:p>
      <w:pPr>
        <w:spacing w:after="0" w:line="1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Gross profit for our Health and Nutrition segment was $5.3 million, or 19.5% of sales, for the third quarter of fiscal 2017. This is a decrease of $0.5 million from the gross profit reported in the second quarter primarily resulting from lower sales with operational overhead costs that are largely fixed in nature. Inventories in this segment are valued using the FIFO method.</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Company-wide selling, general and administrative expenses ("SG&amp;A") were $14.9 million, or 13.3% of sales, for the quarter, compared to $12.8 million, or 14.5% of sales, for the same period of the prior year. We incurred $2.7 million of expenses related to our acquisition of Stauber, which were reported in our Health and Nutrition segment in the third quarter of the prior year. SG&amp;A expenses in our Health and Nutrition segment in the current year were $4.6 million, including $1.2 million of amortization expense on acquired intangible assets and $0.5 million of allocated corporate costs. In addition to the $4.1 million of costs incurred within the Health and Nutrition segment, SG&amp;A costs incurred elsewhere in the company increased by $0.7 million compared to the prior year, with this increase driven primarily by the addition of sales and support personnel in our Industrial and Water Treatment segments.</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borrowed $131.0 million to partially fund the acquisition of Stauber in the third quarter of fiscal 2016. As a result, adjusted EBITDA, a non-GAAP financial measure, has become an important performance indicator and a key compliance measure under the terms of our new credit agreement. An explanation of the computation of adjusted EBITDA is presented below. Adjusted EBITDA for the three months ended January 1, 2017 was $11.7 million, an increase of $3.2 million, or 38%, from adjusted EBITDA of $8.5 million for the same period in the prior year. The increase was due primarily to the addition of our Health and Nutrition segment and higher gross profits, partially offset by the increase in SG&amp;A expenses in our other segments described earlier.</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income tax rate was 33.8% for the three months ended January 1, 2017, compared to 56.1% for the three months ended December 27, 2015. Our tax rate for the quarter ended December 27, 2015 was impacted by income tax expense of approximately $0.5 million associated with $1.3 million of acquisition-related expenditures which were not deductible for tax purposes. The effective tax rate is impacted by projected levels of annual taxable income, permanent items, and state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adjusted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ectPr>
          <w:pgSz w:w="11900" w:h="16838" w:orient="portrait"/>
          <w:cols w:equalWidth="0" w:num="1">
            <w:col w:w="11420"/>
          </w:cols>
          <w:pgMar w:left="240" w:top="746"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w w:val="96"/>
              </w:rPr>
              <w:t>Three months ended January 1,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5"/>
            <w:shd w:val="clear" w:color="auto" w:fill="CCEEFF"/>
          </w:tcPr>
          <w:p>
            <w:pPr>
              <w:jc w:val="right"/>
              <w:ind w:right="550"/>
              <w:spacing w:after="0"/>
              <w:rPr>
                <w:sz w:val="20"/>
                <w:szCs w:val="20"/>
                <w:color w:val="auto"/>
              </w:rPr>
            </w:pPr>
            <w:r>
              <w:rPr>
                <w:rFonts w:ascii="Arial" w:cs="Arial" w:eastAsia="Arial" w:hAnsi="Arial"/>
                <w:sz w:val="16"/>
                <w:szCs w:val="16"/>
                <w:b w:val="1"/>
                <w:bCs w:val="1"/>
                <w:color w:val="auto"/>
              </w:rPr>
              <w:t>Three months ended December 27, 2015</w:t>
            </w:r>
          </w:p>
        </w:tc>
      </w:tr>
      <w:tr>
        <w:trPr>
          <w:trHeight w:val="225"/>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Net Income</w:t>
            </w:r>
          </w:p>
        </w:tc>
        <w:tc>
          <w:tcPr>
            <w:tcW w:w="26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(1)</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1,857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2,690</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2,145</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4,547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10,595,140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10,528,126 shares used in calculating diluted earnings per share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b w:val="1"/>
                <w:bCs w:val="1"/>
                <w:color w:val="auto"/>
              </w:rPr>
              <w:t>Nine months ended January 1, 2017</w:t>
            </w:r>
          </w:p>
        </w:tc>
        <w:tc>
          <w:tcPr>
            <w:tcW w:w="1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5"/>
            <w:shd w:val="clear" w:color="auto" w:fill="CCEEFF"/>
          </w:tcPr>
          <w:p>
            <w:pPr>
              <w:jc w:val="right"/>
              <w:ind w:right="610"/>
              <w:spacing w:after="0"/>
              <w:rPr>
                <w:sz w:val="20"/>
                <w:szCs w:val="20"/>
                <w:color w:val="auto"/>
              </w:rPr>
            </w:pPr>
            <w:r>
              <w:rPr>
                <w:rFonts w:ascii="Arial" w:cs="Arial" w:eastAsia="Arial" w:hAnsi="Arial"/>
                <w:sz w:val="16"/>
                <w:szCs w:val="16"/>
                <w:b w:val="1"/>
                <w:bCs w:val="1"/>
                <w:color w:val="auto"/>
              </w:rPr>
              <w:t>Nine months ended December 27, 2015</w:t>
            </w:r>
          </w:p>
        </w:tc>
      </w:tr>
      <w:tr>
        <w:trPr>
          <w:trHeight w:val="225"/>
        </w:trPr>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(3)</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 (4)</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29,270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18,345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22,215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2,690</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2,145</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29,270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18,345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24,905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10,592,550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10,591,543 shares used in calculating diluted earnings per share</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23"/>
                <w:szCs w:val="23"/>
                <w:color w:val="auto"/>
              </w:rPr>
            </w:pPr>
          </w:p>
        </w:tc>
        <w:tc>
          <w:tcPr>
            <w:tcW w:w="292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shd w:val="clear" w:color="auto" w:fill="CCEEFF"/>
          </w:tcPr>
          <w:p>
            <w:pPr>
              <w:spacing w:after="0"/>
              <w:rPr>
                <w:sz w:val="23"/>
                <w:szCs w:val="23"/>
                <w:color w:val="auto"/>
              </w:rPr>
            </w:pPr>
          </w:p>
        </w:tc>
        <w:tc>
          <w:tcPr>
            <w:tcW w:w="292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27,</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27,</w:t>
            </w:r>
          </w:p>
        </w:tc>
      </w:tr>
      <w:tr>
        <w:trPr>
          <w:trHeight w:val="234"/>
        </w:trPr>
        <w:tc>
          <w:tcPr>
            <w:tcW w:w="42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January 1, 2017</w:t>
            </w:r>
          </w:p>
        </w:tc>
        <w:tc>
          <w:tcPr>
            <w:tcW w:w="2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1, 2017</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13,284</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8,931</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4,564</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915</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3,648</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10,889</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9,553</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1,277</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Stauber acquisition expenses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2,690</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11,741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48,411</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36,671</w:t>
            </w: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w:t>
      </w:r>
    </w:p>
    <w:p>
      <w:pPr>
        <w:sectPr>
          <w:pgSz w:w="11900" w:h="16838" w:orient="portrait"/>
          <w:cols w:equalWidth="0" w:num="1">
            <w:col w:w="11420"/>
          </w:cols>
          <w:pgMar w:left="240" w:top="584" w:right="23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7"/>
          <w:szCs w:val="17"/>
          <w:color w:val="auto"/>
        </w:rPr>
        <w:t>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April 3, 2016,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2017 RESULTS</w:t>
      </w:r>
    </w:p>
    <w:p>
      <w:pPr>
        <w:spacing w:after="0" w:line="200" w:lineRule="exact"/>
        <w:rPr>
          <w:sz w:val="20"/>
          <w:szCs w:val="20"/>
          <w:color w:val="auto"/>
        </w:rPr>
      </w:pPr>
    </w:p>
    <w:p>
      <w:pPr>
        <w:spacing w:after="0" w:line="38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3"/>
                <w:szCs w:val="13"/>
                <w:color w:val="auto"/>
              </w:rPr>
            </w:pPr>
          </w:p>
        </w:tc>
        <w:tc>
          <w:tcPr>
            <w:tcW w:w="120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6"/>
              </w:rPr>
              <w:t>December 27,</w:t>
            </w:r>
          </w:p>
        </w:tc>
        <w:tc>
          <w:tcPr>
            <w:tcW w:w="280" w:type="dxa"/>
            <w:vAlign w:val="bottom"/>
          </w:tcPr>
          <w:p>
            <w:pPr>
              <w:spacing w:after="0"/>
              <w:rPr>
                <w:sz w:val="13"/>
                <w:szCs w:val="13"/>
                <w:color w:val="auto"/>
              </w:rPr>
            </w:pPr>
          </w:p>
        </w:tc>
        <w:tc>
          <w:tcPr>
            <w:tcW w:w="12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3"/>
                <w:szCs w:val="13"/>
                <w:color w:val="auto"/>
              </w:rPr>
            </w:pPr>
          </w:p>
        </w:tc>
        <w:tc>
          <w:tcPr>
            <w:tcW w:w="114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w w:val="96"/>
              </w:rPr>
              <w:t>December 27,</w:t>
            </w:r>
          </w:p>
        </w:tc>
      </w:tr>
      <w:tr>
        <w:trPr>
          <w:trHeight w:val="192"/>
        </w:trPr>
        <w:tc>
          <w:tcPr>
            <w:tcW w:w="5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88,375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364,975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284,463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(73,666)</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(288,815)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(229,208)</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14,709</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55,255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(12,825)</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(33,019)</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22,236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(8,931)</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10,538,328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10,478,266</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10,529,259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10,534,933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10,595,140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10,528,126</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10,592,550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10,591,543</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0.08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r>
      <w:tr>
        <w:trPr>
          <w:trHeight w:val="324"/>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5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0900"/>
      </w:cols>
      <w:pgMar w:left="240" w:top="58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2019-12-05T03:50:30Z</dcterms:created>
  <dcterms:modified xsi:type="dcterms:W3CDTF">2019-12-05T03:50:30Z</dcterms:modified>
</cp:coreProperties>
</file>