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D0E00"/>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D0E00"/>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D0E0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225425</wp:posOffset>
            </wp:positionV>
            <wp:extent cx="95631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0D0E0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93980</wp:posOffset>
            </wp:positionV>
            <wp:extent cx="9563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0D0E00"/>
        </w:rPr>
        <w:t>QUARTERLY REPORT 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D0E00"/>
        </w:rPr>
        <w:t>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D0E00"/>
        </w:rPr>
        <w:t>For the quarterly period ended December 31, 2009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D0E00"/>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231775</wp:posOffset>
            </wp:positionV>
            <wp:extent cx="95631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0D0E00"/>
        </w:rPr>
        <w:t>HAWKINS,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0D0E00"/>
        </w:rPr>
        <w:t>(Exact name of registrant as specified in its charter)</w:t>
      </w:r>
    </w:p>
    <w:p>
      <w:pPr>
        <w:sectPr>
          <w:pgSz w:w="11900" w:h="16838" w:orient="portrait"/>
          <w:cols w:equalWidth="0" w:num="1">
            <w:col w:w="11440"/>
          </w:cols>
          <w:pgMar w:left="240" w:top="233" w:right="219" w:bottom="1440" w:gutter="0" w:footer="0" w:header="0"/>
        </w:sectPr>
      </w:pPr>
    </w:p>
    <w:p>
      <w:pPr>
        <w:spacing w:after="0" w:line="223"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0D0E00"/>
        </w:rPr>
        <w:t>MINNESOTA</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9"/>
          <w:szCs w:val="19"/>
          <w:b w:val="1"/>
          <w:bCs w:val="1"/>
          <w:color w:val="0D0E00"/>
        </w:rPr>
        <w:t>41-0771293</w:t>
      </w:r>
    </w:p>
    <w:p>
      <w:pPr>
        <w:spacing w:after="0" w:line="62" w:lineRule="exact"/>
        <w:rPr>
          <w:sz w:val="24"/>
          <w:szCs w:val="24"/>
          <w:color w:val="auto"/>
        </w:rPr>
      </w:pPr>
    </w:p>
    <w:p>
      <w:pPr>
        <w:sectPr>
          <w:pgSz w:w="11900" w:h="16838" w:orient="portrait"/>
          <w:cols w:equalWidth="0" w:num="2">
            <w:col w:w="7320" w:space="720"/>
            <w:col w:w="3400"/>
          </w:cols>
          <w:pgMar w:left="240" w:top="233" w:right="219" w:bottom="1440" w:gutter="0" w:footer="0" w:header="0"/>
          <w:type w:val="continuous"/>
        </w:sectPr>
      </w:pPr>
    </w:p>
    <w:p>
      <w:pPr>
        <w:ind w:left="1820"/>
        <w:spacing w:after="0"/>
        <w:rPr>
          <w:sz w:val="20"/>
          <w:szCs w:val="20"/>
          <w:color w:val="auto"/>
        </w:rPr>
      </w:pPr>
      <w:r>
        <w:rPr>
          <w:rFonts w:ascii="Arial" w:cs="Arial" w:eastAsia="Arial" w:hAnsi="Arial"/>
          <w:sz w:val="16"/>
          <w:szCs w:val="16"/>
          <w:color w:val="0D0E00"/>
        </w:rPr>
        <w:t>(State or other jurisdiction of</w:t>
      </w:r>
    </w:p>
    <w:p>
      <w:pPr>
        <w:spacing w:after="0" w:line="22" w:lineRule="exact"/>
        <w:rPr>
          <w:sz w:val="24"/>
          <w:szCs w:val="24"/>
          <w:color w:val="auto"/>
        </w:rPr>
      </w:pPr>
    </w:p>
    <w:p>
      <w:pPr>
        <w:ind w:left="1780"/>
        <w:spacing w:after="0"/>
        <w:rPr>
          <w:sz w:val="20"/>
          <w:szCs w:val="20"/>
          <w:color w:val="auto"/>
        </w:rPr>
      </w:pPr>
      <w:r>
        <w:rPr>
          <w:rFonts w:ascii="Arial" w:cs="Arial" w:eastAsia="Arial" w:hAnsi="Arial"/>
          <w:sz w:val="16"/>
          <w:szCs w:val="16"/>
          <w:color w:val="0D0E00"/>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0D0E00"/>
        </w:rPr>
        <w:t>(I.R.S. Employer Identification No.)</w:t>
      </w:r>
    </w:p>
    <w:p>
      <w:pPr>
        <w:spacing w:after="0" w:line="394" w:lineRule="exact"/>
        <w:rPr>
          <w:sz w:val="24"/>
          <w:szCs w:val="24"/>
          <w:color w:val="auto"/>
        </w:rPr>
      </w:pPr>
    </w:p>
    <w:p>
      <w:pPr>
        <w:sectPr>
          <w:pgSz w:w="11900" w:h="16838" w:orient="portrait"/>
          <w:cols w:equalWidth="0" w:num="2">
            <w:col w:w="6540" w:space="720"/>
            <w:col w:w="4180"/>
          </w:cols>
          <w:pgMar w:left="240" w:top="233" w:right="219" w:bottom="1440" w:gutter="0" w:footer="0" w:header="0"/>
          <w:type w:val="continuous"/>
        </w:sectPr>
      </w:pP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3100 EAST HENNEPIN AVENUE, MINNEAPOLIS, MINNESOTA 55413</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0D0E00"/>
        </w:rPr>
        <w:t>(Address of principal executive offices, including zip code)</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(612) 331-6910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0D0E00"/>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225425</wp:posOffset>
            </wp:positionV>
            <wp:extent cx="9563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631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0D0E0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0D0E00"/>
        </w:rPr>
        <w:t>☒</w:t>
      </w:r>
      <w:r>
        <w:rPr>
          <w:rFonts w:ascii="Arial" w:cs="Arial" w:eastAsia="Arial" w:hAnsi="Arial"/>
          <w:sz w:val="18"/>
          <w:szCs w:val="18"/>
          <w:color w:val="0D0E00"/>
        </w:rPr>
        <w:t xml:space="preserve"> NO o</w:t>
      </w:r>
    </w:p>
    <w:p>
      <w:pPr>
        <w:spacing w:after="0" w:line="211"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0D0E0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208"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0D0E00"/>
        </w:rPr>
        <w:t>Indicate by check mark whether the registrant is a large accelerated filer, an accelerated filer, or a non-accelerated filer (as defined in Rule 12b-2 of the Exchange Act).</w:t>
      </w:r>
    </w:p>
    <w:p>
      <w:pPr>
        <w:spacing w:after="0" w:line="165" w:lineRule="exact"/>
        <w:rPr>
          <w:sz w:val="24"/>
          <w:szCs w:val="24"/>
          <w:color w:val="auto"/>
        </w:rPr>
      </w:pPr>
    </w:p>
    <w:p>
      <w:pPr>
        <w:spacing w:after="0" w:line="207" w:lineRule="exact"/>
        <w:tabs>
          <w:tab w:leader="none" w:pos="2880" w:val="left"/>
          <w:tab w:leader="none" w:pos="5180" w:val="left"/>
          <w:tab w:leader="none" w:pos="7920" w:val="left"/>
        </w:tabs>
        <w:rPr>
          <w:sz w:val="20"/>
          <w:szCs w:val="20"/>
          <w:color w:val="auto"/>
        </w:rPr>
      </w:pPr>
      <w:r>
        <w:rPr>
          <w:rFonts w:ascii="Arial" w:cs="Arial" w:eastAsia="Arial" w:hAnsi="Arial"/>
          <w:sz w:val="18"/>
          <w:szCs w:val="18"/>
          <w:color w:val="0D0E00"/>
        </w:rPr>
        <w:t>Large Accelerated Filer o</w:t>
      </w:r>
      <w:r>
        <w:rPr>
          <w:sz w:val="20"/>
          <w:szCs w:val="20"/>
          <w:color w:val="auto"/>
        </w:rPr>
        <w:tab/>
      </w:r>
      <w:r>
        <w:rPr>
          <w:rFonts w:ascii="Arial" w:cs="Arial" w:eastAsia="Arial" w:hAnsi="Arial"/>
          <w:sz w:val="18"/>
          <w:szCs w:val="18"/>
          <w:color w:val="0D0E00"/>
        </w:rPr>
        <w:t xml:space="preserve">Accelerated Filer </w:t>
      </w:r>
      <w:r>
        <w:rPr>
          <w:rFonts w:ascii="MS PGothic" w:cs="MS PGothic" w:eastAsia="MS PGothic" w:hAnsi="MS PGothic"/>
          <w:sz w:val="18"/>
          <w:szCs w:val="18"/>
          <w:color w:val="0D0E00"/>
        </w:rPr>
        <w:t>☒</w:t>
      </w:r>
      <w:r>
        <w:rPr>
          <w:sz w:val="20"/>
          <w:szCs w:val="20"/>
          <w:color w:val="auto"/>
        </w:rPr>
        <w:tab/>
      </w:r>
      <w:r>
        <w:rPr>
          <w:rFonts w:ascii="Arial" w:cs="Arial" w:eastAsia="Arial" w:hAnsi="Arial"/>
          <w:sz w:val="18"/>
          <w:szCs w:val="18"/>
          <w:color w:val="0D0E00"/>
        </w:rPr>
        <w:t>Non-Accelerated Filer o</w:t>
      </w:r>
      <w:r>
        <w:rPr>
          <w:sz w:val="20"/>
          <w:szCs w:val="20"/>
          <w:color w:val="auto"/>
        </w:rPr>
        <w:tab/>
      </w:r>
      <w:r>
        <w:rPr>
          <w:rFonts w:ascii="Arial" w:cs="Arial" w:eastAsia="Arial" w:hAnsi="Arial"/>
          <w:sz w:val="16"/>
          <w:szCs w:val="16"/>
          <w:color w:val="0D0E00"/>
        </w:rPr>
        <w:t>Smaller Reporting Company o</w:t>
      </w:r>
    </w:p>
    <w:p>
      <w:pPr>
        <w:spacing w:after="0" w:line="252" w:lineRule="exact"/>
        <w:rPr>
          <w:sz w:val="24"/>
          <w:szCs w:val="24"/>
          <w:color w:val="auto"/>
        </w:rPr>
      </w:pPr>
    </w:p>
    <w:p>
      <w:pPr>
        <w:spacing w:after="0" w:line="207" w:lineRule="exact"/>
        <w:tabs>
          <w:tab w:leader="none" w:pos="9000" w:val="left"/>
        </w:tabs>
        <w:rPr>
          <w:sz w:val="20"/>
          <w:szCs w:val="20"/>
          <w:color w:val="auto"/>
        </w:rPr>
      </w:pPr>
      <w:r>
        <w:rPr>
          <w:rFonts w:ascii="Arial" w:cs="Arial" w:eastAsia="Arial" w:hAnsi="Arial"/>
          <w:sz w:val="17"/>
          <w:szCs w:val="17"/>
          <w:color w:val="0D0E00"/>
        </w:rPr>
        <w:t>Indicate by check mark whether the registrant is a shell company (as defined in Rule 12b-2 of the Exchange Act). YES o</w:t>
      </w:r>
      <w:r>
        <w:rPr>
          <w:sz w:val="20"/>
          <w:szCs w:val="20"/>
          <w:color w:val="auto"/>
        </w:rPr>
        <w:tab/>
      </w:r>
      <w:r>
        <w:rPr>
          <w:rFonts w:ascii="Arial" w:cs="Arial" w:eastAsia="Arial" w:hAnsi="Arial"/>
          <w:sz w:val="18"/>
          <w:szCs w:val="18"/>
          <w:color w:val="0D0E00"/>
        </w:rPr>
        <w:t xml:space="preserve">NO </w:t>
      </w:r>
      <w:r>
        <w:rPr>
          <w:rFonts w:ascii="MS PGothic" w:cs="MS PGothic" w:eastAsia="MS PGothic" w:hAnsi="MS PGothic"/>
          <w:sz w:val="18"/>
          <w:szCs w:val="18"/>
          <w:color w:val="0D0E00"/>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0D0E00"/>
        </w:rPr>
        <w:t>Indicate the number of shares outstanding of each of the issuer’s classes of common stock, as of the latest practicable date.</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6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0D0E00"/>
                <w:w w:val="96"/>
              </w:rPr>
              <w:t>CLASS</w:t>
            </w:r>
          </w:p>
        </w:tc>
        <w:tc>
          <w:tcPr>
            <w:tcW w:w="4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0D0E00"/>
              </w:rPr>
              <w:t>OUTSTANDING AT JANUARY 28, 2010</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4"/>
        </w:trPr>
        <w:tc>
          <w:tcPr>
            <w:tcW w:w="1160" w:type="dxa"/>
            <w:vAlign w:val="bottom"/>
          </w:tcPr>
          <w:p>
            <w:pPr>
              <w:spacing w:after="0"/>
              <w:rPr>
                <w:sz w:val="19"/>
                <w:szCs w:val="19"/>
                <w:color w:val="auto"/>
              </w:rPr>
            </w:pPr>
          </w:p>
        </w:tc>
        <w:tc>
          <w:tcPr>
            <w:tcW w:w="4660" w:type="dxa"/>
            <w:vAlign w:val="bottom"/>
          </w:tcPr>
          <w:p>
            <w:pPr>
              <w:jc w:val="center"/>
              <w:ind w:right="39"/>
              <w:spacing w:after="0"/>
              <w:rPr>
                <w:sz w:val="20"/>
                <w:szCs w:val="20"/>
                <w:color w:val="auto"/>
              </w:rPr>
            </w:pPr>
            <w:r>
              <w:rPr>
                <w:rFonts w:ascii="Arial" w:cs="Arial" w:eastAsia="Arial" w:hAnsi="Arial"/>
                <w:sz w:val="18"/>
                <w:szCs w:val="18"/>
                <w:color w:val="0D0E00"/>
                <w:w w:val="89"/>
              </w:rPr>
              <w:t>Common Stock, par value $.05 per share</w:t>
            </w:r>
          </w:p>
        </w:tc>
        <w:tc>
          <w:tcPr>
            <w:tcW w:w="4460" w:type="dxa"/>
            <w:vAlign w:val="bottom"/>
          </w:tcPr>
          <w:p>
            <w:pPr>
              <w:jc w:val="right"/>
              <w:ind w:right="1799"/>
              <w:spacing w:after="0"/>
              <w:rPr>
                <w:sz w:val="20"/>
                <w:szCs w:val="20"/>
                <w:color w:val="auto"/>
              </w:rPr>
            </w:pPr>
            <w:r>
              <w:rPr>
                <w:rFonts w:ascii="Arial" w:cs="Arial" w:eastAsia="Arial" w:hAnsi="Arial"/>
                <w:sz w:val="18"/>
                <w:szCs w:val="18"/>
                <w:color w:val="0D0E00"/>
              </w:rPr>
              <w:t>10,282,458</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90"/>
        </w:trPr>
        <w:tc>
          <w:tcPr>
            <w:tcW w:w="1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1"/>
        </w:trPr>
        <w:tc>
          <w:tcPr>
            <w:tcW w:w="1160" w:type="dxa"/>
            <w:vAlign w:val="bottom"/>
            <w:shd w:val="clear" w:color="auto" w:fill="000000"/>
          </w:tcPr>
          <w:p>
            <w:pPr>
              <w:spacing w:after="0"/>
              <w:rPr>
                <w:sz w:val="6"/>
                <w:szCs w:val="6"/>
                <w:color w:val="auto"/>
              </w:rPr>
            </w:pPr>
          </w:p>
        </w:tc>
        <w:tc>
          <w:tcPr>
            <w:tcW w:w="4660" w:type="dxa"/>
            <w:vAlign w:val="bottom"/>
            <w:shd w:val="clear" w:color="auto" w:fill="000000"/>
          </w:tcPr>
          <w:p>
            <w:pPr>
              <w:spacing w:after="0"/>
              <w:rPr>
                <w:sz w:val="6"/>
                <w:szCs w:val="6"/>
                <w:color w:val="auto"/>
              </w:rPr>
            </w:pPr>
          </w:p>
        </w:tc>
        <w:tc>
          <w:tcPr>
            <w:tcW w:w="446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0D0E00"/>
        </w:rPr>
        <w:t>HAWKINS,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D0E00"/>
        </w:rPr>
        <w:t>INDEX TO FORM 10-Q</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80" w:type="dxa"/>
            <w:vAlign w:val="bottom"/>
          </w:tcPr>
          <w:p>
            <w:pPr>
              <w:ind w:left="1400"/>
              <w:spacing w:after="0"/>
              <w:rPr>
                <w:sz w:val="20"/>
                <w:szCs w:val="20"/>
                <w:color w:val="auto"/>
              </w:rPr>
            </w:pPr>
            <w:r>
              <w:rPr>
                <w:rFonts w:ascii="Arial" w:cs="Arial" w:eastAsia="Arial" w:hAnsi="Arial"/>
                <w:sz w:val="18"/>
                <w:szCs w:val="18"/>
                <w:b w:val="1"/>
                <w:bCs w:val="1"/>
                <w:color w:val="0D0E00"/>
                <w:w w:val="83"/>
              </w:rPr>
              <w:t>Page</w:t>
            </w:r>
          </w:p>
        </w:tc>
      </w:tr>
      <w:tr>
        <w:trPr>
          <w:trHeight w:val="270"/>
        </w:trPr>
        <w:tc>
          <w:tcPr>
            <w:tcW w:w="920" w:type="dxa"/>
            <w:vAlign w:val="bottom"/>
          </w:tcPr>
          <w:p>
            <w:pPr>
              <w:spacing w:after="0"/>
              <w:rPr>
                <w:sz w:val="20"/>
                <w:szCs w:val="20"/>
                <w:color w:val="auto"/>
              </w:rPr>
            </w:pPr>
            <w:r>
              <w:rPr>
                <w:rFonts w:ascii="Arial" w:cs="Arial" w:eastAsia="Arial" w:hAnsi="Arial"/>
                <w:sz w:val="18"/>
                <w:szCs w:val="18"/>
                <w:b w:val="1"/>
                <w:bCs w:val="1"/>
                <w:color w:val="0D0E00"/>
              </w:rPr>
              <w:t>PART I.</w:t>
            </w:r>
          </w:p>
        </w:tc>
        <w:tc>
          <w:tcPr>
            <w:tcW w:w="8400" w:type="dxa"/>
            <w:vAlign w:val="bottom"/>
            <w:gridSpan w:val="9"/>
          </w:tcPr>
          <w:p>
            <w:pPr>
              <w:spacing w:after="0"/>
              <w:rPr>
                <w:sz w:val="20"/>
                <w:szCs w:val="20"/>
                <w:color w:val="auto"/>
              </w:rPr>
            </w:pPr>
            <w:r>
              <w:rPr>
                <w:rFonts w:ascii="Arial" w:cs="Arial" w:eastAsia="Arial" w:hAnsi="Arial"/>
                <w:sz w:val="18"/>
                <w:szCs w:val="18"/>
                <w:b w:val="1"/>
                <w:bCs w:val="1"/>
                <w:color w:val="0D0E00"/>
              </w:rPr>
              <w:t>FINANCIAL INFORMATION</w:t>
            </w:r>
          </w:p>
        </w:tc>
        <w:tc>
          <w:tcPr>
            <w:tcW w:w="1780" w:type="dxa"/>
            <w:vAlign w:val="bottom"/>
          </w:tcPr>
          <w:p>
            <w:pPr>
              <w:spacing w:after="0"/>
              <w:rPr>
                <w:sz w:val="23"/>
                <w:szCs w:val="23"/>
                <w:color w:val="auto"/>
              </w:rPr>
            </w:pP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0D0E00"/>
              </w:rPr>
              <w:t>Item 1.</w:t>
            </w:r>
          </w:p>
        </w:tc>
        <w:tc>
          <w:tcPr>
            <w:tcW w:w="840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50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Balance Sheets – December 31, 2009 and March 29, 2009</w:t>
              </w:r>
            </w:hyperlink>
          </w:p>
        </w:tc>
        <w:tc>
          <w:tcPr>
            <w:tcW w:w="3360" w:type="dxa"/>
            <w:vAlign w:val="bottom"/>
            <w:gridSpan w:val="4"/>
          </w:tcPr>
          <w:p>
            <w:pPr>
              <w:spacing w:after="0"/>
              <w:rPr>
                <w:sz w:val="24"/>
                <w:szCs w:val="24"/>
                <w:color w:val="auto"/>
              </w:rPr>
            </w:pPr>
          </w:p>
        </w:tc>
        <w:tc>
          <w:tcPr>
            <w:tcW w:w="1780" w:type="dxa"/>
            <w:vAlign w:val="bottom"/>
          </w:tcPr>
          <w:p>
            <w:pPr>
              <w:jc w:val="center"/>
              <w:ind w:left="1310"/>
              <w:spacing w:after="0"/>
              <w:rPr>
                <w:sz w:val="20"/>
                <w:szCs w:val="20"/>
                <w:color w:val="auto"/>
              </w:rPr>
            </w:pPr>
            <w:r>
              <w:rPr>
                <w:rFonts w:ascii="Arial" w:cs="Arial" w:eastAsia="Arial" w:hAnsi="Arial"/>
                <w:sz w:val="18"/>
                <w:szCs w:val="18"/>
                <w:color w:val="0D0E00"/>
                <w:w w:val="99"/>
              </w:rPr>
              <w:t>3</w:t>
            </w:r>
          </w:p>
        </w:tc>
      </w:tr>
      <w:tr>
        <w:trPr>
          <w:trHeight w:val="466"/>
        </w:trPr>
        <w:tc>
          <w:tcPr>
            <w:tcW w:w="920" w:type="dxa"/>
            <w:vAlign w:val="bottom"/>
          </w:tcPr>
          <w:p>
            <w:pPr>
              <w:spacing w:after="0"/>
              <w:rPr>
                <w:sz w:val="24"/>
                <w:szCs w:val="24"/>
                <w:color w:val="auto"/>
              </w:rPr>
            </w:pPr>
          </w:p>
        </w:tc>
        <w:tc>
          <w:tcPr>
            <w:tcW w:w="8400" w:type="dxa"/>
            <w:vAlign w:val="bottom"/>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Income – Three and Nine Months Ended December 31, 2009 and 2008</w:t>
              </w:r>
            </w:hyperlink>
          </w:p>
        </w:tc>
        <w:tc>
          <w:tcPr>
            <w:tcW w:w="1780" w:type="dxa"/>
            <w:vAlign w:val="bottom"/>
          </w:tcPr>
          <w:p>
            <w:pPr>
              <w:jc w:val="center"/>
              <w:ind w:left="1310"/>
              <w:spacing w:after="0"/>
              <w:rPr>
                <w:sz w:val="20"/>
                <w:szCs w:val="20"/>
                <w:color w:val="auto"/>
              </w:rPr>
            </w:pPr>
            <w:r>
              <w:rPr>
                <w:rFonts w:ascii="Arial" w:cs="Arial" w:eastAsia="Arial" w:hAnsi="Arial"/>
                <w:sz w:val="18"/>
                <w:szCs w:val="18"/>
                <w:color w:val="0D0E00"/>
                <w:w w:val="99"/>
              </w:rPr>
              <w:t>4</w:t>
            </w:r>
          </w:p>
        </w:tc>
      </w:tr>
      <w:tr>
        <w:trPr>
          <w:trHeight w:val="466"/>
        </w:trPr>
        <w:tc>
          <w:tcPr>
            <w:tcW w:w="920" w:type="dxa"/>
            <w:vAlign w:val="bottom"/>
          </w:tcPr>
          <w:p>
            <w:pPr>
              <w:spacing w:after="0"/>
              <w:rPr>
                <w:sz w:val="24"/>
                <w:szCs w:val="24"/>
                <w:color w:val="auto"/>
              </w:rPr>
            </w:pPr>
          </w:p>
        </w:tc>
        <w:tc>
          <w:tcPr>
            <w:tcW w:w="6980" w:type="dxa"/>
            <w:vAlign w:val="bottom"/>
            <w:tcBorders>
              <w:top w:val="single" w:sz="8" w:color="0000FF"/>
            </w:tcBorders>
            <w:gridSpan w:val="8"/>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Condensed Statements of Cash Flows – Nine Months Ended December 31, 2009 and 2008</w:t>
              </w:r>
            </w:hyperlink>
          </w:p>
        </w:tc>
        <w:tc>
          <w:tcPr>
            <w:tcW w:w="1420" w:type="dxa"/>
            <w:vAlign w:val="bottom"/>
          </w:tcPr>
          <w:p>
            <w:pPr>
              <w:spacing w:after="0"/>
              <w:rPr>
                <w:sz w:val="24"/>
                <w:szCs w:val="24"/>
                <w:color w:val="auto"/>
              </w:rPr>
            </w:pPr>
          </w:p>
        </w:tc>
        <w:tc>
          <w:tcPr>
            <w:tcW w:w="1780" w:type="dxa"/>
            <w:vAlign w:val="bottom"/>
          </w:tcPr>
          <w:p>
            <w:pPr>
              <w:jc w:val="center"/>
              <w:ind w:left="1310"/>
              <w:spacing w:after="0"/>
              <w:rPr>
                <w:sz w:val="20"/>
                <w:szCs w:val="20"/>
                <w:color w:val="auto"/>
              </w:rPr>
            </w:pPr>
            <w:r>
              <w:rPr>
                <w:rFonts w:ascii="Arial" w:cs="Arial" w:eastAsia="Arial" w:hAnsi="Arial"/>
                <w:sz w:val="18"/>
                <w:szCs w:val="18"/>
                <w:color w:val="0D0E00"/>
                <w:w w:val="99"/>
              </w:rPr>
              <w:t>5</w:t>
            </w:r>
          </w:p>
        </w:tc>
      </w:tr>
      <w:tr>
        <w:trPr>
          <w:trHeight w:val="466"/>
        </w:trPr>
        <w:tc>
          <w:tcPr>
            <w:tcW w:w="920" w:type="dxa"/>
            <w:vAlign w:val="bottom"/>
          </w:tcPr>
          <w:p>
            <w:pPr>
              <w:spacing w:after="0"/>
              <w:rPr>
                <w:sz w:val="24"/>
                <w:szCs w:val="24"/>
                <w:color w:val="auto"/>
              </w:rPr>
            </w:pPr>
          </w:p>
        </w:tc>
        <w:tc>
          <w:tcPr>
            <w:tcW w:w="6520" w:type="dxa"/>
            <w:vAlign w:val="bottom"/>
            <w:tcBorders>
              <w:top w:val="single" w:sz="8" w:color="0000FF"/>
            </w:tcBorders>
            <w:gridSpan w:val="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Financial Statements</w:t>
              </w:r>
            </w:hyperlink>
          </w:p>
        </w:tc>
        <w:tc>
          <w:tcPr>
            <w:tcW w:w="1880" w:type="dxa"/>
            <w:vAlign w:val="bottom"/>
            <w:gridSpan w:val="2"/>
          </w:tcPr>
          <w:p>
            <w:pPr>
              <w:spacing w:after="0"/>
              <w:rPr>
                <w:sz w:val="24"/>
                <w:szCs w:val="24"/>
                <w:color w:val="auto"/>
              </w:rPr>
            </w:pPr>
          </w:p>
        </w:tc>
        <w:tc>
          <w:tcPr>
            <w:tcW w:w="1780" w:type="dxa"/>
            <w:vAlign w:val="bottom"/>
          </w:tcPr>
          <w:p>
            <w:pPr>
              <w:jc w:val="center"/>
              <w:ind w:left="1310"/>
              <w:spacing w:after="0"/>
              <w:rPr>
                <w:sz w:val="20"/>
                <w:szCs w:val="20"/>
                <w:color w:val="auto"/>
              </w:rPr>
            </w:pPr>
            <w:r>
              <w:rPr>
                <w:rFonts w:ascii="Arial" w:cs="Arial" w:eastAsia="Arial" w:hAnsi="Arial"/>
                <w:sz w:val="18"/>
                <w:szCs w:val="18"/>
                <w:color w:val="0D0E00"/>
                <w:w w:val="99"/>
              </w:rPr>
              <w:t>6</w:t>
            </w: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66"/>
        </w:trPr>
        <w:tc>
          <w:tcPr>
            <w:tcW w:w="920" w:type="dxa"/>
            <w:vAlign w:val="bottom"/>
          </w:tcPr>
          <w:p>
            <w:pPr>
              <w:spacing w:after="0"/>
              <w:rPr>
                <w:sz w:val="20"/>
                <w:szCs w:val="20"/>
                <w:color w:val="auto"/>
              </w:rPr>
            </w:pPr>
            <w:r>
              <w:rPr>
                <w:rFonts w:ascii="Arial" w:cs="Arial" w:eastAsia="Arial" w:hAnsi="Arial"/>
                <w:sz w:val="18"/>
                <w:szCs w:val="18"/>
                <w:color w:val="0D0E00"/>
              </w:rPr>
              <w:t>Item 2.</w:t>
            </w:r>
          </w:p>
        </w:tc>
        <w:tc>
          <w:tcPr>
            <w:tcW w:w="8400" w:type="dxa"/>
            <w:vAlign w:val="bottom"/>
            <w:gridSpan w:val="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Management’s Discussion and Analysis of Financial Condition and Results of Operations</w:t>
              </w:r>
            </w:hyperlink>
          </w:p>
        </w:tc>
        <w:tc>
          <w:tcPr>
            <w:tcW w:w="1780" w:type="dxa"/>
            <w:vAlign w:val="bottom"/>
          </w:tcPr>
          <w:p>
            <w:pPr>
              <w:jc w:val="center"/>
              <w:ind w:left="1310"/>
              <w:spacing w:after="0"/>
              <w:rPr>
                <w:sz w:val="20"/>
                <w:szCs w:val="20"/>
                <w:color w:val="auto"/>
              </w:rPr>
            </w:pPr>
            <w:r>
              <w:rPr>
                <w:rFonts w:ascii="Arial" w:cs="Arial" w:eastAsia="Arial" w:hAnsi="Arial"/>
                <w:sz w:val="18"/>
                <w:szCs w:val="18"/>
                <w:color w:val="0D0E00"/>
                <w:w w:val="89"/>
              </w:rPr>
              <w:t>11</w:t>
            </w: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0D0E00"/>
              </w:rPr>
              <w:t>Item 3.</w:t>
            </w:r>
          </w:p>
        </w:tc>
        <w:tc>
          <w:tcPr>
            <w:tcW w:w="4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6">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2"/>
          </w:tcPr>
          <w:p>
            <w:pPr>
              <w:spacing w:after="0"/>
              <w:rPr>
                <w:sz w:val="24"/>
                <w:szCs w:val="24"/>
                <w:color w:val="auto"/>
              </w:rPr>
            </w:pPr>
          </w:p>
        </w:tc>
        <w:tc>
          <w:tcPr>
            <w:tcW w:w="1940" w:type="dxa"/>
            <w:vAlign w:val="bottom"/>
            <w:gridSpan w:val="3"/>
          </w:tcPr>
          <w:p>
            <w:pPr>
              <w:spacing w:after="0"/>
              <w:rPr>
                <w:sz w:val="24"/>
                <w:szCs w:val="24"/>
                <w:color w:val="auto"/>
              </w:rPr>
            </w:pPr>
          </w:p>
        </w:tc>
        <w:tc>
          <w:tcPr>
            <w:tcW w:w="1780" w:type="dxa"/>
            <w:vAlign w:val="bottom"/>
          </w:tcPr>
          <w:p>
            <w:pPr>
              <w:jc w:val="center"/>
              <w:ind w:left="1310"/>
              <w:spacing w:after="0"/>
              <w:rPr>
                <w:sz w:val="20"/>
                <w:szCs w:val="20"/>
                <w:color w:val="auto"/>
              </w:rPr>
            </w:pPr>
            <w:r>
              <w:rPr>
                <w:rFonts w:ascii="Arial" w:cs="Arial" w:eastAsia="Arial" w:hAnsi="Arial"/>
                <w:sz w:val="18"/>
                <w:szCs w:val="18"/>
                <w:color w:val="0D0E00"/>
                <w:w w:val="89"/>
              </w:rPr>
              <w:t>16</w:t>
            </w: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0D0E00"/>
              </w:rPr>
              <w:t>Item 4.</w:t>
            </w:r>
          </w:p>
        </w:tc>
        <w:tc>
          <w:tcPr>
            <w:tcW w:w="17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6">
              <w:r>
                <w:rPr>
                  <w:rFonts w:ascii="Arial" w:cs="Arial" w:eastAsia="Arial" w:hAnsi="Arial"/>
                  <w:sz w:val="18"/>
                  <w:szCs w:val="18"/>
                  <w:color w:val="0000FF"/>
                  <w:w w:val="88"/>
                </w:rPr>
                <w:t>Controls and Procedures</w:t>
              </w:r>
            </w:hyperlink>
          </w:p>
        </w:tc>
        <w:tc>
          <w:tcPr>
            <w:tcW w:w="6620" w:type="dxa"/>
            <w:vAlign w:val="bottom"/>
            <w:gridSpan w:val="7"/>
          </w:tcPr>
          <w:p>
            <w:pPr>
              <w:spacing w:after="0"/>
              <w:rPr>
                <w:sz w:val="24"/>
                <w:szCs w:val="24"/>
                <w:color w:val="auto"/>
              </w:rPr>
            </w:pPr>
          </w:p>
        </w:tc>
        <w:tc>
          <w:tcPr>
            <w:tcW w:w="1780" w:type="dxa"/>
            <w:vAlign w:val="bottom"/>
          </w:tcPr>
          <w:p>
            <w:pPr>
              <w:jc w:val="center"/>
              <w:ind w:left="1310"/>
              <w:spacing w:after="0"/>
              <w:rPr>
                <w:sz w:val="20"/>
                <w:szCs w:val="20"/>
                <w:color w:val="auto"/>
              </w:rPr>
            </w:pPr>
            <w:r>
              <w:rPr>
                <w:rFonts w:ascii="Arial" w:cs="Arial" w:eastAsia="Arial" w:hAnsi="Arial"/>
                <w:sz w:val="18"/>
                <w:szCs w:val="18"/>
                <w:color w:val="0D0E00"/>
                <w:w w:val="89"/>
              </w:rPr>
              <w:t>16</w:t>
            </w: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4"/>
          </w:tcPr>
          <w:p>
            <w:pPr>
              <w:spacing w:after="0"/>
              <w:rPr>
                <w:sz w:val="20"/>
                <w:szCs w:val="20"/>
                <w:color w:val="auto"/>
              </w:rPr>
            </w:pPr>
            <w:r>
              <w:rPr>
                <w:rFonts w:ascii="Arial" w:cs="Arial" w:eastAsia="Arial" w:hAnsi="Arial"/>
                <w:sz w:val="18"/>
                <w:szCs w:val="18"/>
                <w:b w:val="1"/>
                <w:bCs w:val="1"/>
                <w:color w:val="0D0E00"/>
              </w:rPr>
              <w:t>PART II.</w:t>
            </w:r>
          </w:p>
        </w:tc>
        <w:tc>
          <w:tcPr>
            <w:tcW w:w="3380" w:type="dxa"/>
            <w:vAlign w:val="bottom"/>
            <w:gridSpan w:val="3"/>
          </w:tcPr>
          <w:p>
            <w:pPr>
              <w:spacing w:after="0"/>
              <w:rPr>
                <w:sz w:val="20"/>
                <w:szCs w:val="20"/>
                <w:color w:val="auto"/>
              </w:rPr>
            </w:pPr>
            <w:r>
              <w:rPr>
                <w:rFonts w:ascii="Arial" w:cs="Arial" w:eastAsia="Arial" w:hAnsi="Arial"/>
                <w:sz w:val="18"/>
                <w:szCs w:val="18"/>
                <w:b w:val="1"/>
                <w:bCs w:val="1"/>
                <w:color w:val="0D0E00"/>
              </w:rPr>
              <w:t>OTHER INFORMATION</w:t>
            </w:r>
          </w:p>
        </w:tc>
        <w:tc>
          <w:tcPr>
            <w:tcW w:w="7140" w:type="dxa"/>
            <w:vAlign w:val="bottom"/>
          </w:tcPr>
          <w:p>
            <w:pPr>
              <w:spacing w:after="0"/>
              <w:rPr>
                <w:sz w:val="20"/>
                <w:szCs w:val="20"/>
                <w:color w:val="auto"/>
              </w:rPr>
            </w:pPr>
          </w:p>
        </w:tc>
      </w:tr>
      <w:tr>
        <w:trPr>
          <w:trHeight w:val="446"/>
        </w:trPr>
        <w:tc>
          <w:tcPr>
            <w:tcW w:w="920" w:type="dxa"/>
            <w:vAlign w:val="bottom"/>
            <w:gridSpan w:val="4"/>
          </w:tcPr>
          <w:p>
            <w:pPr>
              <w:spacing w:after="0"/>
              <w:rPr>
                <w:sz w:val="20"/>
                <w:szCs w:val="20"/>
                <w:color w:val="auto"/>
              </w:rPr>
            </w:pPr>
            <w:r>
              <w:rPr>
                <w:rFonts w:ascii="Arial" w:cs="Arial" w:eastAsia="Arial" w:hAnsi="Arial"/>
                <w:sz w:val="18"/>
                <w:szCs w:val="18"/>
                <w:color w:val="0D0E00"/>
              </w:rPr>
              <w:t>Item 1A.</w:t>
            </w:r>
          </w:p>
        </w:tc>
        <w:tc>
          <w:tcPr>
            <w:tcW w:w="9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Risk Factors</w:t>
              </w:r>
            </w:hyperlink>
          </w:p>
        </w:tc>
        <w:tc>
          <w:tcPr>
            <w:tcW w:w="2460" w:type="dxa"/>
            <w:vAlign w:val="bottom"/>
          </w:tcPr>
          <w:p>
            <w:pPr>
              <w:spacing w:after="0"/>
              <w:rPr>
                <w:sz w:val="24"/>
                <w:szCs w:val="24"/>
                <w:color w:val="auto"/>
              </w:rPr>
            </w:pPr>
          </w:p>
        </w:tc>
        <w:tc>
          <w:tcPr>
            <w:tcW w:w="7140" w:type="dxa"/>
            <w:vAlign w:val="bottom"/>
          </w:tcPr>
          <w:p>
            <w:pPr>
              <w:jc w:val="right"/>
              <w:ind w:right="350"/>
              <w:spacing w:after="0"/>
              <w:rPr>
                <w:sz w:val="20"/>
                <w:szCs w:val="20"/>
                <w:color w:val="auto"/>
              </w:rPr>
            </w:pPr>
            <w:r>
              <w:rPr>
                <w:rFonts w:ascii="Arial" w:cs="Arial" w:eastAsia="Arial" w:hAnsi="Arial"/>
                <w:sz w:val="18"/>
                <w:szCs w:val="18"/>
                <w:color w:val="0D0E00"/>
              </w:rPr>
              <w:t>17</w:t>
            </w:r>
          </w:p>
        </w:tc>
      </w:tr>
      <w:tr>
        <w:trPr>
          <w:trHeight w:val="439"/>
        </w:trPr>
        <w:tc>
          <w:tcPr>
            <w:tcW w:w="920" w:type="dxa"/>
            <w:vAlign w:val="bottom"/>
            <w:gridSpan w:val="4"/>
          </w:tcPr>
          <w:p>
            <w:pPr>
              <w:spacing w:after="0"/>
              <w:rPr>
                <w:sz w:val="20"/>
                <w:szCs w:val="20"/>
                <w:color w:val="auto"/>
              </w:rPr>
            </w:pPr>
            <w:r>
              <w:rPr>
                <w:rFonts w:ascii="Arial" w:cs="Arial" w:eastAsia="Arial" w:hAnsi="Arial"/>
                <w:sz w:val="18"/>
                <w:szCs w:val="18"/>
                <w:color w:val="0D0E00"/>
              </w:rPr>
              <w:t>Item 6.</w:t>
            </w:r>
          </w:p>
        </w:tc>
        <w:tc>
          <w:tcPr>
            <w:tcW w:w="3380" w:type="dxa"/>
            <w:vAlign w:val="bottom"/>
            <w:gridSpan w:val="3"/>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Exhibits</w:t>
              </w:r>
            </w:hyperlink>
          </w:p>
        </w:tc>
        <w:tc>
          <w:tcPr>
            <w:tcW w:w="7140" w:type="dxa"/>
            <w:vAlign w:val="bottom"/>
          </w:tcPr>
          <w:p>
            <w:pPr>
              <w:jc w:val="right"/>
              <w:ind w:right="350"/>
              <w:spacing w:after="0"/>
              <w:rPr>
                <w:sz w:val="20"/>
                <w:szCs w:val="20"/>
                <w:color w:val="auto"/>
              </w:rPr>
            </w:pPr>
            <w:r>
              <w:rPr>
                <w:rFonts w:ascii="Arial" w:cs="Arial" w:eastAsia="Arial" w:hAnsi="Arial"/>
                <w:sz w:val="18"/>
                <w:szCs w:val="18"/>
                <w:color w:val="0D0E00"/>
              </w:rPr>
              <w:t>17</w:t>
            </w:r>
          </w:p>
        </w:tc>
      </w:tr>
      <w:tr>
        <w:trPr>
          <w:trHeight w:val="682"/>
        </w:trPr>
        <w:tc>
          <w:tcPr>
            <w:tcW w:w="920" w:type="dxa"/>
            <w:vAlign w:val="bottom"/>
            <w:gridSpan w:val="4"/>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140" w:type="dxa"/>
            <w:vAlign w:val="bottom"/>
          </w:tcPr>
          <w:p>
            <w:pPr>
              <w:jc w:val="right"/>
              <w:ind w:right="350"/>
              <w:spacing w:after="0"/>
              <w:rPr>
                <w:sz w:val="20"/>
                <w:szCs w:val="20"/>
                <w:color w:val="auto"/>
              </w:rPr>
            </w:pPr>
            <w:r>
              <w:rPr>
                <w:rFonts w:ascii="Arial" w:cs="Arial" w:eastAsia="Arial" w:hAnsi="Arial"/>
                <w:sz w:val="18"/>
                <w:szCs w:val="18"/>
                <w:color w:val="0D0E00"/>
              </w:rPr>
              <w:t>18</w:t>
            </w:r>
          </w:p>
        </w:tc>
      </w:tr>
      <w:tr>
        <w:trPr>
          <w:trHeight w:val="466"/>
        </w:trPr>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6"/>
              </w:rPr>
            </w:pPr>
            <w:hyperlink w:anchor="page19">
              <w:r>
                <w:rPr>
                  <w:rFonts w:ascii="Arial" w:cs="Arial" w:eastAsia="Arial" w:hAnsi="Arial"/>
                  <w:sz w:val="18"/>
                  <w:szCs w:val="18"/>
                  <w:color w:val="0000FF"/>
                  <w:w w:val="96"/>
                </w:rPr>
                <w:t>Exhibit</w:t>
              </w:r>
            </w:hyperlink>
          </w:p>
        </w:tc>
        <w:tc>
          <w:tcPr>
            <w:tcW w:w="2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140" w:type="dxa"/>
            <w:vAlign w:val="bottom"/>
          </w:tcPr>
          <w:p>
            <w:pPr>
              <w:jc w:val="right"/>
              <w:ind w:right="350"/>
              <w:spacing w:after="0"/>
              <w:rPr>
                <w:sz w:val="20"/>
                <w:szCs w:val="20"/>
                <w:color w:val="auto"/>
              </w:rPr>
            </w:pPr>
            <w:r>
              <w:rPr>
                <w:rFonts w:ascii="Arial" w:cs="Arial" w:eastAsia="Arial" w:hAnsi="Arial"/>
                <w:sz w:val="18"/>
                <w:szCs w:val="18"/>
                <w:color w:val="0D0E00"/>
              </w:rPr>
              <w:t>19</w:t>
            </w:r>
          </w:p>
        </w:tc>
      </w:tr>
      <w:tr>
        <w:trPr>
          <w:trHeight w:val="196"/>
        </w:trPr>
        <w:tc>
          <w:tcPr>
            <w:tcW w:w="920" w:type="dxa"/>
            <w:vAlign w:val="bottom"/>
            <w:gridSpan w:val="4"/>
          </w:tcPr>
          <w:p>
            <w:pPr>
              <w:spacing w:after="0" w:line="196" w:lineRule="exact"/>
              <w:rPr>
                <w:rFonts w:ascii="Arial" w:cs="Arial" w:eastAsia="Arial" w:hAnsi="Arial"/>
                <w:sz w:val="18"/>
                <w:szCs w:val="18"/>
                <w:color w:val="0000FF"/>
              </w:rPr>
            </w:pPr>
            <w:hyperlink w:anchor="page19">
              <w:r>
                <w:rPr>
                  <w:rFonts w:ascii="Arial" w:cs="Arial" w:eastAsia="Arial" w:hAnsi="Arial"/>
                  <w:sz w:val="18"/>
                  <w:szCs w:val="18"/>
                  <w:color w:val="0000FF"/>
                </w:rPr>
                <w:t>Index</w:t>
              </w:r>
            </w:hyperlink>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912"/>
        </w:trPr>
        <w:tc>
          <w:tcPr>
            <w:tcW w:w="4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140" w:type="dxa"/>
            <w:vAlign w:val="bottom"/>
          </w:tcPr>
          <w:p>
            <w:pPr>
              <w:jc w:val="right"/>
              <w:ind w:right="5590"/>
              <w:spacing w:after="0"/>
              <w:rPr>
                <w:sz w:val="20"/>
                <w:szCs w:val="20"/>
                <w:color w:val="auto"/>
              </w:rPr>
            </w:pPr>
            <w:r>
              <w:rPr>
                <w:rFonts w:ascii="Arial" w:cs="Arial" w:eastAsia="Arial" w:hAnsi="Arial"/>
                <w:sz w:val="18"/>
                <w:szCs w:val="18"/>
                <w:color w:val="auto"/>
              </w:rPr>
              <w:t>2</w:t>
            </w:r>
          </w:p>
        </w:tc>
      </w:tr>
      <w:tr>
        <w:trPr>
          <w:trHeight w:val="226"/>
        </w:trPr>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D0E00"/>
        </w:rPr>
        <w:t>PART I. FINANCIAL INFORMATION</w:t>
      </w:r>
    </w:p>
    <w:p>
      <w:pPr>
        <w:spacing w:after="0" w:line="10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1.</w:t>
      </w:r>
      <w:r>
        <w:rPr>
          <w:sz w:val="20"/>
          <w:szCs w:val="20"/>
          <w:color w:val="auto"/>
        </w:rPr>
        <w:tab/>
      </w:r>
      <w:r>
        <w:rPr>
          <w:rFonts w:ascii="Arial" w:cs="Arial" w:eastAsia="Arial" w:hAnsi="Arial"/>
          <w:sz w:val="21"/>
          <w:szCs w:val="21"/>
          <w:color w:val="0D0E00"/>
        </w:rPr>
        <w:t>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CONDENSED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D0E00"/>
        </w:rPr>
        <w:t>In thousands, except share and per-share data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vMerge w:val="restart"/>
          </w:tcPr>
          <w:p>
            <w:pPr>
              <w:spacing w:after="0"/>
              <w:rPr>
                <w:sz w:val="20"/>
                <w:szCs w:val="20"/>
                <w:color w:val="auto"/>
              </w:rPr>
            </w:pPr>
            <w:r>
              <w:rPr>
                <w:rFonts w:ascii="Arial" w:cs="Arial" w:eastAsia="Arial" w:hAnsi="Arial"/>
                <w:sz w:val="18"/>
                <w:szCs w:val="18"/>
                <w:color w:val="0D0E00"/>
              </w:rPr>
              <w:t>ASSETS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0D0E00"/>
              </w:rPr>
              <w:t>DECEMBER 31, 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D0E00"/>
                <w:w w:val="99"/>
              </w:rPr>
              <w:t>MARCH 29, 2009</w:t>
            </w: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0D0E00"/>
              </w:rPr>
              <w:t>(UNAUDITED)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0D0E00"/>
              </w:rPr>
              <w:t>(AUDITED)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8180" w:type="dxa"/>
            <w:vAlign w:val="bottom"/>
          </w:tcPr>
          <w:p>
            <w:pPr>
              <w:spacing w:after="0"/>
              <w:rPr>
                <w:sz w:val="20"/>
                <w:szCs w:val="20"/>
                <w:color w:val="auto"/>
              </w:rPr>
            </w:pPr>
            <w:r>
              <w:rPr>
                <w:rFonts w:ascii="Arial" w:cs="Arial" w:eastAsia="Arial" w:hAnsi="Arial"/>
                <w:sz w:val="18"/>
                <w:szCs w:val="18"/>
                <w:color w:val="0D0E00"/>
              </w:rPr>
              <w:t>CURRENT ASSETS: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Cash and cash equivalents</w:t>
            </w:r>
          </w:p>
        </w:tc>
        <w:tc>
          <w:tcPr>
            <w:tcW w:w="1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0D0E00"/>
              </w:rPr>
              <w:t>$</w:t>
            </w: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12,854</w:t>
            </w:r>
          </w:p>
        </w:tc>
        <w:tc>
          <w:tcPr>
            <w:tcW w:w="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0D0E00"/>
              </w:rPr>
              <w:t>$</w:t>
            </w: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29,536</w:t>
            </w: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0D0E00"/>
              </w:rPr>
              <w:t>Investments available-for-sale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20,991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02"/>
        </w:trPr>
        <w:tc>
          <w:tcPr>
            <w:tcW w:w="8180" w:type="dxa"/>
            <w:vAlign w:val="bottom"/>
            <w:shd w:val="clear" w:color="auto" w:fill="D6F3E8"/>
          </w:tcPr>
          <w:p>
            <w:pPr>
              <w:ind w:left="260"/>
              <w:spacing w:after="0" w:line="201" w:lineRule="exact"/>
              <w:rPr>
                <w:sz w:val="20"/>
                <w:szCs w:val="20"/>
                <w:color w:val="auto"/>
              </w:rPr>
            </w:pPr>
            <w:r>
              <w:rPr>
                <w:rFonts w:ascii="Arial" w:cs="Arial" w:eastAsia="Arial" w:hAnsi="Arial"/>
                <w:sz w:val="18"/>
                <w:szCs w:val="18"/>
                <w:color w:val="0D0E00"/>
                <w:w w:val="91"/>
              </w:rPr>
              <w:t>Trade receivables – less allowance for doubtful accounts of $300 for December 31, 2009 and $350 for March</w:t>
            </w:r>
          </w:p>
        </w:tc>
        <w:tc>
          <w:tcPr>
            <w:tcW w:w="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40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D6F3E8"/>
          </w:tcPr>
          <w:p>
            <w:pPr>
              <w:ind w:left="500"/>
              <w:spacing w:after="0"/>
              <w:rPr>
                <w:sz w:val="20"/>
                <w:szCs w:val="20"/>
                <w:color w:val="auto"/>
              </w:rPr>
            </w:pPr>
            <w:r>
              <w:rPr>
                <w:rFonts w:ascii="Arial" w:cs="Arial" w:eastAsia="Arial" w:hAnsi="Arial"/>
                <w:sz w:val="18"/>
                <w:szCs w:val="18"/>
                <w:color w:val="0D0E00"/>
              </w:rPr>
              <w:t>29, 2009</w:t>
            </w:r>
          </w:p>
        </w:tc>
        <w:tc>
          <w:tcPr>
            <w:tcW w:w="6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23,845</w:t>
            </w:r>
          </w:p>
        </w:tc>
        <w:tc>
          <w:tcPr>
            <w:tcW w:w="16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28,883</w:t>
            </w: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0D0E00"/>
              </w:rPr>
              <w:t>Inventories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18,305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19,951</w:t>
            </w: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Prepaid expenses and other current assets</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2,260</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1,464</w:t>
            </w: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0D0E00"/>
              </w:rPr>
              <w:t>Income tax receivable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174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1,728</w:t>
            </w: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Deferred tax asset</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1,201</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683</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D6F3E8"/>
            </w:tcBorders>
          </w:tcPr>
          <w:p>
            <w:pPr>
              <w:ind w:left="260"/>
              <w:spacing w:after="0"/>
              <w:rPr>
                <w:sz w:val="20"/>
                <w:szCs w:val="20"/>
                <w:color w:val="auto"/>
              </w:rPr>
            </w:pPr>
            <w:r>
              <w:rPr>
                <w:rFonts w:ascii="Arial" w:cs="Arial" w:eastAsia="Arial" w:hAnsi="Arial"/>
                <w:sz w:val="18"/>
                <w:szCs w:val="18"/>
                <w:color w:val="0D0E00"/>
              </w:rPr>
              <w:t>Assets held for sale (Note 4)</w:t>
            </w:r>
          </w:p>
        </w:tc>
        <w:tc>
          <w:tcPr>
            <w:tcW w:w="60" w:type="dxa"/>
            <w:vAlign w:val="bottom"/>
            <w:tcBorders>
              <w:bottom w:val="single" w:sz="8" w:color="D6F3E8"/>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D0E00"/>
              </w:rPr>
              <w:t>—</w:t>
            </w:r>
          </w:p>
        </w:tc>
        <w:tc>
          <w:tcPr>
            <w:tcW w:w="160" w:type="dxa"/>
            <w:vAlign w:val="bottom"/>
            <w:tcBorders>
              <w:bottom w:val="single" w:sz="8" w:color="D6F3E8"/>
            </w:tcBorders>
          </w:tcPr>
          <w:p>
            <w:pPr>
              <w:spacing w:after="0"/>
              <w:rPr>
                <w:sz w:val="21"/>
                <w:szCs w:val="21"/>
                <w:color w:val="auto"/>
              </w:rPr>
            </w:pPr>
          </w:p>
        </w:tc>
        <w:tc>
          <w:tcPr>
            <w:tcW w:w="160" w:type="dxa"/>
            <w:vAlign w:val="bottom"/>
            <w:tcBorders>
              <w:bottom w:val="single" w:sz="8" w:color="D6F3E8"/>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D0E00"/>
              </w:rPr>
              <w:t>1,890</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D6F3E8"/>
          </w:tcPr>
          <w:p>
            <w:pPr>
              <w:ind w:left="500"/>
              <w:spacing w:after="0"/>
              <w:rPr>
                <w:sz w:val="20"/>
                <w:szCs w:val="20"/>
                <w:color w:val="auto"/>
              </w:rPr>
            </w:pPr>
            <w:r>
              <w:rPr>
                <w:rFonts w:ascii="Arial" w:cs="Arial" w:eastAsia="Arial" w:hAnsi="Arial"/>
                <w:sz w:val="18"/>
                <w:szCs w:val="18"/>
                <w:color w:val="0D0E00"/>
              </w:rPr>
              <w:t>Total current assets</w:t>
            </w:r>
          </w:p>
        </w:tc>
        <w:tc>
          <w:tcPr>
            <w:tcW w:w="6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79,630</w:t>
            </w:r>
          </w:p>
        </w:tc>
        <w:tc>
          <w:tcPr>
            <w:tcW w:w="16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84,135</w:t>
            </w:r>
          </w:p>
        </w:tc>
        <w:tc>
          <w:tcPr>
            <w:tcW w:w="0" w:type="dxa"/>
            <w:vAlign w:val="bottom"/>
          </w:tcPr>
          <w:p>
            <w:pPr>
              <w:spacing w:after="0"/>
              <w:rPr>
                <w:sz w:val="1"/>
                <w:szCs w:val="1"/>
                <w:color w:val="auto"/>
              </w:rPr>
            </w:pPr>
          </w:p>
        </w:tc>
      </w:tr>
      <w:tr>
        <w:trPr>
          <w:trHeight w:val="486"/>
        </w:trPr>
        <w:tc>
          <w:tcPr>
            <w:tcW w:w="8180" w:type="dxa"/>
            <w:vAlign w:val="bottom"/>
          </w:tcPr>
          <w:p>
            <w:pPr>
              <w:spacing w:after="0"/>
              <w:rPr>
                <w:sz w:val="20"/>
                <w:szCs w:val="20"/>
                <w:color w:val="auto"/>
              </w:rPr>
            </w:pPr>
            <w:r>
              <w:rPr>
                <w:rFonts w:ascii="Arial" w:cs="Arial" w:eastAsia="Arial" w:hAnsi="Arial"/>
                <w:sz w:val="18"/>
                <w:szCs w:val="18"/>
                <w:color w:val="0D0E00"/>
              </w:rPr>
              <w:t>PROPERTY, PLANT AND EQUIPMENT – net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46,462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45,620</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spacing w:after="0"/>
              <w:rPr>
                <w:sz w:val="20"/>
                <w:szCs w:val="20"/>
                <w:color w:val="auto"/>
              </w:rPr>
            </w:pPr>
            <w:r>
              <w:rPr>
                <w:rFonts w:ascii="Arial" w:cs="Arial" w:eastAsia="Arial" w:hAnsi="Arial"/>
                <w:sz w:val="18"/>
                <w:szCs w:val="18"/>
                <w:color w:val="0D0E00"/>
              </w:rPr>
              <w:t>GOODWILL AND INTANGIBLE ASSETS</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5,996</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6,440</w:t>
            </w:r>
          </w:p>
        </w:tc>
        <w:tc>
          <w:tcPr>
            <w:tcW w:w="0" w:type="dxa"/>
            <w:vAlign w:val="bottom"/>
          </w:tcPr>
          <w:p>
            <w:pPr>
              <w:spacing w:after="0"/>
              <w:rPr>
                <w:sz w:val="1"/>
                <w:szCs w:val="1"/>
                <w:color w:val="auto"/>
              </w:rPr>
            </w:pPr>
          </w:p>
        </w:tc>
      </w:tr>
      <w:tr>
        <w:trPr>
          <w:trHeight w:val="486"/>
        </w:trPr>
        <w:tc>
          <w:tcPr>
            <w:tcW w:w="8180" w:type="dxa"/>
            <w:vAlign w:val="bottom"/>
          </w:tcPr>
          <w:p>
            <w:pPr>
              <w:spacing w:after="0"/>
              <w:rPr>
                <w:sz w:val="20"/>
                <w:szCs w:val="20"/>
                <w:color w:val="auto"/>
              </w:rPr>
            </w:pPr>
            <w:r>
              <w:rPr>
                <w:rFonts w:ascii="Arial" w:cs="Arial" w:eastAsia="Arial" w:hAnsi="Arial"/>
                <w:sz w:val="18"/>
                <w:szCs w:val="18"/>
                <w:color w:val="0D0E00"/>
              </w:rPr>
              <w:t>LONG-TERM INVESTMENTS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12,349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spacing w:after="0"/>
              <w:rPr>
                <w:sz w:val="20"/>
                <w:szCs w:val="20"/>
                <w:color w:val="auto"/>
              </w:rPr>
            </w:pPr>
            <w:r>
              <w:rPr>
                <w:rFonts w:ascii="Arial" w:cs="Arial" w:eastAsia="Arial" w:hAnsi="Arial"/>
                <w:sz w:val="18"/>
                <w:szCs w:val="18"/>
                <w:color w:val="0D0E00"/>
              </w:rPr>
              <w:t>OTHER ASSETS</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277</w:t>
            </w: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95</w:t>
            </w:r>
          </w:p>
        </w:tc>
        <w:tc>
          <w:tcPr>
            <w:tcW w:w="0" w:type="dxa"/>
            <w:vAlign w:val="bottom"/>
          </w:tcPr>
          <w:p>
            <w:pPr>
              <w:spacing w:after="0"/>
              <w:rPr>
                <w:sz w:val="1"/>
                <w:szCs w:val="1"/>
                <w:color w:val="auto"/>
              </w:rPr>
            </w:pPr>
          </w:p>
        </w:tc>
      </w:tr>
      <w:tr>
        <w:trPr>
          <w:trHeight w:val="217"/>
        </w:trPr>
        <w:tc>
          <w:tcPr>
            <w:tcW w:w="8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rPr>
              <w:t>144,714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rPr>
              <w:t>136,290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0"/>
                <w:szCs w:val="20"/>
                <w:color w:val="auto"/>
              </w:rPr>
            </w:pPr>
            <w:r>
              <w:rPr>
                <w:rFonts w:ascii="Arial" w:cs="Arial" w:eastAsia="Arial" w:hAnsi="Arial"/>
                <w:sz w:val="18"/>
                <w:szCs w:val="18"/>
                <w:color w:val="0D0E00"/>
              </w:rPr>
              <w:t>LIABILITIES AND SHAREHOLDERS’ EQUITY</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180" w:type="dxa"/>
            <w:vAlign w:val="bottom"/>
          </w:tcPr>
          <w:p>
            <w:pPr>
              <w:spacing w:after="0"/>
              <w:rPr>
                <w:sz w:val="20"/>
                <w:szCs w:val="20"/>
                <w:color w:val="auto"/>
              </w:rPr>
            </w:pPr>
            <w:r>
              <w:rPr>
                <w:rFonts w:ascii="Arial" w:cs="Arial" w:eastAsia="Arial" w:hAnsi="Arial"/>
                <w:sz w:val="18"/>
                <w:szCs w:val="18"/>
                <w:color w:val="0D0E00"/>
              </w:rPr>
              <w:t>CURRENT LIABILITIES: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Accounts payable – trade</w:t>
            </w:r>
          </w:p>
        </w:tc>
        <w:tc>
          <w:tcPr>
            <w:tcW w:w="1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0D0E00"/>
              </w:rPr>
              <w:t>$</w:t>
            </w: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12,128</w:t>
            </w:r>
          </w:p>
        </w:tc>
        <w:tc>
          <w:tcPr>
            <w:tcW w:w="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0D0E00"/>
              </w:rPr>
              <w:t>$</w:t>
            </w: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14,426</w:t>
            </w: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0D0E00"/>
              </w:rPr>
              <w:t>Dividends payable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2,666</w:t>
            </w: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Accrued payroll and employee benefits</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5,956</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8,212</w:t>
            </w: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0D0E00"/>
              </w:rPr>
              <w:t>Container deposits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964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946</w:t>
            </w: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Other accruals</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1,370</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1,586</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D6F3E8"/>
            </w:tcBorders>
          </w:tcPr>
          <w:p>
            <w:pPr>
              <w:ind w:left="260"/>
              <w:spacing w:after="0"/>
              <w:rPr>
                <w:sz w:val="20"/>
                <w:szCs w:val="20"/>
                <w:color w:val="auto"/>
              </w:rPr>
            </w:pPr>
            <w:r>
              <w:rPr>
                <w:rFonts w:ascii="Arial" w:cs="Arial" w:eastAsia="Arial" w:hAnsi="Arial"/>
                <w:sz w:val="18"/>
                <w:szCs w:val="18"/>
                <w:color w:val="0D0E00"/>
              </w:rPr>
              <w:t>Income taxes</w:t>
            </w:r>
          </w:p>
        </w:tc>
        <w:tc>
          <w:tcPr>
            <w:tcW w:w="60" w:type="dxa"/>
            <w:vAlign w:val="bottom"/>
            <w:tcBorders>
              <w:bottom w:val="single" w:sz="8" w:color="D6F3E8"/>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D0E00"/>
              </w:rPr>
              <w:t>618</w:t>
            </w:r>
          </w:p>
        </w:tc>
        <w:tc>
          <w:tcPr>
            <w:tcW w:w="160" w:type="dxa"/>
            <w:vAlign w:val="bottom"/>
            <w:tcBorders>
              <w:bottom w:val="single" w:sz="8" w:color="D6F3E8"/>
            </w:tcBorders>
          </w:tcPr>
          <w:p>
            <w:pPr>
              <w:spacing w:after="0"/>
              <w:rPr>
                <w:sz w:val="21"/>
                <w:szCs w:val="21"/>
                <w:color w:val="auto"/>
              </w:rPr>
            </w:pPr>
          </w:p>
        </w:tc>
        <w:tc>
          <w:tcPr>
            <w:tcW w:w="160" w:type="dxa"/>
            <w:vAlign w:val="bottom"/>
            <w:tcBorders>
              <w:bottom w:val="single" w:sz="8" w:color="D6F3E8"/>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D0E00"/>
              </w:rPr>
              <w:t>—</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D6F3E8"/>
          </w:tcPr>
          <w:p>
            <w:pPr>
              <w:ind w:left="500"/>
              <w:spacing w:after="0"/>
              <w:rPr>
                <w:sz w:val="20"/>
                <w:szCs w:val="20"/>
                <w:color w:val="auto"/>
              </w:rPr>
            </w:pPr>
            <w:r>
              <w:rPr>
                <w:rFonts w:ascii="Arial" w:cs="Arial" w:eastAsia="Arial" w:hAnsi="Arial"/>
                <w:sz w:val="18"/>
                <w:szCs w:val="18"/>
                <w:color w:val="0D0E00"/>
              </w:rPr>
              <w:t>Total current liabilities</w:t>
            </w:r>
          </w:p>
        </w:tc>
        <w:tc>
          <w:tcPr>
            <w:tcW w:w="6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21,036</w:t>
            </w:r>
          </w:p>
        </w:tc>
        <w:tc>
          <w:tcPr>
            <w:tcW w:w="16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27,836</w:t>
            </w:r>
          </w:p>
        </w:tc>
        <w:tc>
          <w:tcPr>
            <w:tcW w:w="0" w:type="dxa"/>
            <w:vAlign w:val="bottom"/>
          </w:tcPr>
          <w:p>
            <w:pPr>
              <w:spacing w:after="0"/>
              <w:rPr>
                <w:sz w:val="1"/>
                <w:szCs w:val="1"/>
                <w:color w:val="auto"/>
              </w:rPr>
            </w:pPr>
          </w:p>
        </w:tc>
      </w:tr>
      <w:tr>
        <w:trPr>
          <w:trHeight w:val="486"/>
        </w:trPr>
        <w:tc>
          <w:tcPr>
            <w:tcW w:w="8180" w:type="dxa"/>
            <w:vAlign w:val="bottom"/>
          </w:tcPr>
          <w:p>
            <w:pPr>
              <w:spacing w:after="0"/>
              <w:rPr>
                <w:sz w:val="20"/>
                <w:szCs w:val="20"/>
                <w:color w:val="auto"/>
              </w:rPr>
            </w:pPr>
            <w:r>
              <w:rPr>
                <w:rFonts w:ascii="Arial" w:cs="Arial" w:eastAsia="Arial" w:hAnsi="Arial"/>
                <w:sz w:val="18"/>
                <w:szCs w:val="18"/>
                <w:color w:val="0D0E00"/>
              </w:rPr>
              <w:t>OTHER LONG-TERM LIABILITIES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168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604</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spacing w:after="0"/>
              <w:rPr>
                <w:sz w:val="20"/>
                <w:szCs w:val="20"/>
                <w:color w:val="auto"/>
              </w:rPr>
            </w:pPr>
            <w:r>
              <w:rPr>
                <w:rFonts w:ascii="Arial" w:cs="Arial" w:eastAsia="Arial" w:hAnsi="Arial"/>
                <w:sz w:val="18"/>
                <w:szCs w:val="18"/>
                <w:color w:val="0D0E00"/>
              </w:rPr>
              <w:t>DEFERRED INCOME TAXES</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4,871</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4,120</w:t>
            </w:r>
          </w:p>
        </w:tc>
        <w:tc>
          <w:tcPr>
            <w:tcW w:w="0" w:type="dxa"/>
            <w:vAlign w:val="bottom"/>
          </w:tcPr>
          <w:p>
            <w:pPr>
              <w:spacing w:after="0"/>
              <w:rPr>
                <w:sz w:val="1"/>
                <w:szCs w:val="1"/>
                <w:color w:val="auto"/>
              </w:rPr>
            </w:pPr>
          </w:p>
        </w:tc>
      </w:tr>
      <w:tr>
        <w:trPr>
          <w:trHeight w:val="486"/>
        </w:trPr>
        <w:tc>
          <w:tcPr>
            <w:tcW w:w="8180" w:type="dxa"/>
            <w:vAlign w:val="bottom"/>
          </w:tcPr>
          <w:p>
            <w:pPr>
              <w:spacing w:after="0"/>
              <w:rPr>
                <w:sz w:val="20"/>
                <w:szCs w:val="20"/>
                <w:color w:val="auto"/>
              </w:rPr>
            </w:pPr>
            <w:r>
              <w:rPr>
                <w:rFonts w:ascii="Arial" w:cs="Arial" w:eastAsia="Arial" w:hAnsi="Arial"/>
                <w:sz w:val="18"/>
                <w:szCs w:val="18"/>
                <w:color w:val="0D0E00"/>
              </w:rPr>
              <w:t>COMMITMENTS AND CONTINGENCIES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180" w:type="dxa"/>
            <w:vAlign w:val="bottom"/>
          </w:tcPr>
          <w:p>
            <w:pPr>
              <w:spacing w:after="0"/>
              <w:rPr>
                <w:sz w:val="20"/>
                <w:szCs w:val="20"/>
                <w:color w:val="auto"/>
              </w:rPr>
            </w:pPr>
            <w:r>
              <w:rPr>
                <w:rFonts w:ascii="Arial" w:cs="Arial" w:eastAsia="Arial" w:hAnsi="Arial"/>
                <w:sz w:val="18"/>
                <w:szCs w:val="18"/>
                <w:color w:val="0D0E00"/>
              </w:rPr>
              <w:t>SHAREHOLDERS’ EQUITY: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60"/>
              <w:spacing w:after="0"/>
              <w:rPr>
                <w:sz w:val="20"/>
                <w:szCs w:val="20"/>
                <w:color w:val="auto"/>
              </w:rPr>
            </w:pPr>
            <w:r>
              <w:rPr>
                <w:rFonts w:ascii="Arial" w:cs="Arial" w:eastAsia="Arial" w:hAnsi="Arial"/>
                <w:sz w:val="18"/>
                <w:szCs w:val="18"/>
                <w:color w:val="0D0E00"/>
                <w:w w:val="97"/>
              </w:rPr>
              <w:t>Common stock, par value $.05 per share; 10,253,458 and 10,246,458 shares issued and 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500"/>
              <w:spacing w:after="0"/>
              <w:rPr>
                <w:sz w:val="20"/>
                <w:szCs w:val="20"/>
                <w:color w:val="auto"/>
              </w:rPr>
            </w:pPr>
            <w:r>
              <w:rPr>
                <w:rFonts w:ascii="Arial" w:cs="Arial" w:eastAsia="Arial" w:hAnsi="Arial"/>
                <w:sz w:val="18"/>
                <w:szCs w:val="18"/>
                <w:color w:val="0D0E00"/>
              </w:rPr>
              <w:t>respectively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513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512</w:t>
            </w: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Additional paid-in capital</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38,846</w:t>
            </w:r>
          </w:p>
        </w:tc>
        <w:tc>
          <w:tcPr>
            <w:tcW w:w="16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38,368</w:t>
            </w: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0D0E00"/>
              </w:rPr>
              <w:t>Accumulated other comprehensive income/(loss)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D0E00"/>
              </w:rPr>
              <w:t>14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0D0E00"/>
              </w:rPr>
              <w:t>(10)</w:t>
            </w:r>
          </w:p>
        </w:tc>
        <w:tc>
          <w:tcPr>
            <w:tcW w:w="0" w:type="dxa"/>
            <w:vAlign w:val="bottom"/>
          </w:tcPr>
          <w:p>
            <w:pPr>
              <w:spacing w:after="0"/>
              <w:rPr>
                <w:sz w:val="1"/>
                <w:szCs w:val="1"/>
                <w:color w:val="auto"/>
              </w:rPr>
            </w:pPr>
          </w:p>
        </w:tc>
      </w:tr>
      <w:tr>
        <w:trPr>
          <w:trHeight w:val="243"/>
        </w:trPr>
        <w:tc>
          <w:tcPr>
            <w:tcW w:w="8180" w:type="dxa"/>
            <w:vAlign w:val="bottom"/>
            <w:shd w:val="clear" w:color="auto" w:fill="D6F3E8"/>
          </w:tcPr>
          <w:p>
            <w:pPr>
              <w:ind w:left="260"/>
              <w:spacing w:after="0"/>
              <w:rPr>
                <w:sz w:val="20"/>
                <w:szCs w:val="20"/>
                <w:color w:val="auto"/>
              </w:rPr>
            </w:pPr>
            <w:r>
              <w:rPr>
                <w:rFonts w:ascii="Arial" w:cs="Arial" w:eastAsia="Arial" w:hAnsi="Arial"/>
                <w:sz w:val="18"/>
                <w:szCs w:val="18"/>
                <w:color w:val="0D0E00"/>
              </w:rPr>
              <w:t>Retained earnings</w:t>
            </w:r>
          </w:p>
        </w:tc>
        <w:tc>
          <w:tcPr>
            <w:tcW w:w="60" w:type="dxa"/>
            <w:vAlign w:val="bottom"/>
            <w:shd w:val="clear" w:color="auto" w:fill="D6F3E8"/>
          </w:tcPr>
          <w:p>
            <w:pPr>
              <w:spacing w:after="0"/>
              <w:rPr>
                <w:sz w:val="21"/>
                <w:szCs w:val="21"/>
                <w:color w:val="auto"/>
              </w:rPr>
            </w:pPr>
          </w:p>
        </w:tc>
        <w:tc>
          <w:tcPr>
            <w:tcW w:w="100" w:type="dxa"/>
            <w:vAlign w:val="bottom"/>
            <w:tcBorders>
              <w:bottom w:val="single" w:sz="8" w:color="auto"/>
            </w:tcBorders>
            <w:shd w:val="clear" w:color="auto" w:fill="D6F3E8"/>
          </w:tcPr>
          <w:p>
            <w:pPr>
              <w:spacing w:after="0"/>
              <w:rPr>
                <w:sz w:val="21"/>
                <w:szCs w:val="21"/>
                <w:color w:val="auto"/>
              </w:rPr>
            </w:pPr>
          </w:p>
        </w:tc>
        <w:tc>
          <w:tcPr>
            <w:tcW w:w="14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79,266</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spacing w:after="0"/>
              <w:rPr>
                <w:sz w:val="21"/>
                <w:szCs w:val="21"/>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64,860</w:t>
            </w:r>
          </w:p>
        </w:tc>
        <w:tc>
          <w:tcPr>
            <w:tcW w:w="10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0D0E00"/>
              </w:rPr>
              <w:t>Total shareholders’ equity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0D0E00"/>
              </w:rPr>
              <w:t>118,639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0D0E00"/>
              </w:rPr>
              <w:t>103,730</w:t>
            </w:r>
          </w:p>
        </w:tc>
        <w:tc>
          <w:tcPr>
            <w:tcW w:w="0" w:type="dxa"/>
            <w:vAlign w:val="bottom"/>
          </w:tcPr>
          <w:p>
            <w:pPr>
              <w:spacing w:after="0"/>
              <w:rPr>
                <w:sz w:val="1"/>
                <w:szCs w:val="1"/>
                <w:color w:val="auto"/>
              </w:rPr>
            </w:pPr>
          </w:p>
        </w:tc>
      </w:tr>
      <w:tr>
        <w:trPr>
          <w:trHeight w:val="217"/>
        </w:trPr>
        <w:tc>
          <w:tcPr>
            <w:tcW w:w="8180" w:type="dxa"/>
            <w:vAlign w:val="bottom"/>
            <w:tcBorders>
              <w:top w:val="single" w:sz="8" w:color="D6F3E8"/>
              <w:bottom w:val="single" w:sz="8" w:color="D6F3E8"/>
            </w:tcBorders>
            <w:shd w:val="clear" w:color="auto" w:fill="D6F3E8"/>
          </w:tcPr>
          <w:p>
            <w:pPr>
              <w:spacing w:after="0"/>
              <w:rPr>
                <w:sz w:val="18"/>
                <w:szCs w:val="18"/>
                <w:color w:val="auto"/>
              </w:rPr>
            </w:pPr>
          </w:p>
        </w:tc>
        <w:tc>
          <w:tcPr>
            <w:tcW w:w="6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4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144,714</w:t>
            </w: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136,290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D0E00"/>
        </w:rPr>
        <w:t>See accompanying notes to condensed financial statements – unaudited.</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0D0E00"/>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0D0E00"/>
        </w:rPr>
        <w:t>CONDENSED STATEMENTS OF INCOME (UNAUDITED)</w:t>
      </w:r>
    </w:p>
    <w:p>
      <w:pPr>
        <w:spacing w:after="0"/>
        <w:rPr>
          <w:sz w:val="20"/>
          <w:szCs w:val="20"/>
          <w:color w:val="auto"/>
        </w:rPr>
      </w:pPr>
      <w:r>
        <w:rPr>
          <w:rFonts w:ascii="Arial" w:cs="Arial" w:eastAsia="Arial" w:hAnsi="Arial"/>
          <w:sz w:val="14"/>
          <w:szCs w:val="14"/>
          <w:b w:val="1"/>
          <w:bCs w:val="1"/>
          <w:i w:val="1"/>
          <w:iCs w:val="1"/>
          <w:u w:val="single" w:color="auto"/>
          <w:color w:val="0D0E00"/>
        </w:rPr>
        <w:t>In thousands, except share and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0D0E00"/>
              </w:rPr>
              <w:t>THREE MONTHS ENDED</w:t>
            </w:r>
          </w:p>
        </w:tc>
        <w:tc>
          <w:tcPr>
            <w:tcW w:w="280" w:type="dxa"/>
            <w:vAlign w:val="bottom"/>
          </w:tcPr>
          <w:p>
            <w:pPr>
              <w:spacing w:after="0"/>
              <w:rPr>
                <w:sz w:val="14"/>
                <w:szCs w:val="14"/>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0D0E00"/>
              </w:rPr>
              <w:t>NINE MONTHS ENDED</w:t>
            </w:r>
          </w:p>
        </w:tc>
        <w:tc>
          <w:tcPr>
            <w:tcW w:w="2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D0E00"/>
              </w:rPr>
              <w:t>DECEMBER 31</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D0E00"/>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5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0D0E00"/>
              </w:rPr>
              <w:t>2009</w:t>
            </w: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0D0E00"/>
              </w:rPr>
              <w:t>2008</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0D0E00"/>
              </w:rPr>
              <w:t>2009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0D0E00"/>
              </w:rPr>
              <w:t>2008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28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0D0E00"/>
              </w:rPr>
              <w:t>Sales</w:t>
            </w:r>
          </w:p>
        </w:tc>
        <w:tc>
          <w:tcPr>
            <w:tcW w:w="240" w:type="dxa"/>
            <w:vAlign w:val="bottom"/>
            <w:shd w:val="clear" w:color="auto" w:fill="D6F3E8"/>
          </w:tcPr>
          <w:p>
            <w:pPr>
              <w:jc w:val="right"/>
              <w:ind w:right="85"/>
              <w:spacing w:after="0"/>
              <w:rPr>
                <w:sz w:val="20"/>
                <w:szCs w:val="20"/>
                <w:color w:val="auto"/>
              </w:rPr>
            </w:pPr>
            <w:r>
              <w:rPr>
                <w:rFonts w:ascii="Arial" w:cs="Arial" w:eastAsia="Arial" w:hAnsi="Arial"/>
                <w:sz w:val="15"/>
                <w:szCs w:val="15"/>
                <w:color w:val="0D0E00"/>
                <w:w w:val="71"/>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60,627</w:t>
            </w:r>
          </w:p>
        </w:tc>
        <w:tc>
          <w:tcPr>
            <w:tcW w:w="380" w:type="dxa"/>
            <w:vAlign w:val="bottom"/>
            <w:shd w:val="clear" w:color="auto" w:fill="D6F3E8"/>
          </w:tcPr>
          <w:p>
            <w:pPr>
              <w:jc w:val="right"/>
              <w:ind w:right="225"/>
              <w:spacing w:after="0"/>
              <w:rPr>
                <w:sz w:val="20"/>
                <w:szCs w:val="20"/>
                <w:color w:val="auto"/>
              </w:rPr>
            </w:pPr>
            <w:r>
              <w:rPr>
                <w:rFonts w:ascii="Arial" w:cs="Arial" w:eastAsia="Arial" w:hAnsi="Arial"/>
                <w:sz w:val="15"/>
                <w:szCs w:val="15"/>
                <w:color w:val="0D0E00"/>
                <w:w w:val="71"/>
              </w:rPr>
              <w:t>$</w:t>
            </w: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75,555</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0D0E00"/>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199,189</w:t>
            </w:r>
          </w:p>
        </w:tc>
        <w:tc>
          <w:tcPr>
            <w:tcW w:w="200" w:type="dxa"/>
            <w:vAlign w:val="bottom"/>
            <w:shd w:val="clear" w:color="auto" w:fill="D6F3E8"/>
          </w:tcPr>
          <w:p>
            <w:pPr>
              <w:spacing w:after="0"/>
              <w:rPr>
                <w:sz w:val="21"/>
                <w:szCs w:val="21"/>
                <w:color w:val="auto"/>
              </w:rPr>
            </w:pPr>
          </w:p>
        </w:tc>
        <w:tc>
          <w:tcPr>
            <w:tcW w:w="520" w:type="dxa"/>
            <w:vAlign w:val="bottom"/>
            <w:gridSpan w:val="2"/>
            <w:shd w:val="clear" w:color="auto" w:fill="D6F3E8"/>
          </w:tcPr>
          <w:p>
            <w:pPr>
              <w:jc w:val="right"/>
              <w:ind w:right="210"/>
              <w:spacing w:after="0"/>
              <w:rPr>
                <w:sz w:val="20"/>
                <w:szCs w:val="20"/>
                <w:color w:val="auto"/>
              </w:rPr>
            </w:pPr>
            <w:r>
              <w:rPr>
                <w:rFonts w:ascii="Arial" w:cs="Arial" w:eastAsia="Arial" w:hAnsi="Arial"/>
                <w:sz w:val="18"/>
                <w:szCs w:val="18"/>
                <w:color w:val="0D0E00"/>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216,572</w:t>
            </w:r>
          </w:p>
        </w:tc>
        <w:tc>
          <w:tcPr>
            <w:tcW w:w="20" w:type="dxa"/>
            <w:vAlign w:val="bottom"/>
          </w:tcPr>
          <w:p>
            <w:pPr>
              <w:spacing w:after="0"/>
              <w:rPr>
                <w:sz w:val="21"/>
                <w:szCs w:val="2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0D0E00"/>
              </w:rPr>
              <w:t>Cost of sales</w:t>
            </w:r>
          </w:p>
        </w:tc>
        <w:tc>
          <w:tcPr>
            <w:tcW w:w="2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0D0E00"/>
              </w:rPr>
              <w:t>(44,772)</w:t>
            </w:r>
          </w:p>
        </w:tc>
        <w:tc>
          <w:tcPr>
            <w:tcW w:w="3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0D0E00"/>
              </w:rPr>
              <w:t>(57,453)</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0D0E00"/>
              </w:rPr>
              <w:t>(150,062)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0D0E00"/>
              </w:rPr>
              <w:t>(167,709)</w:t>
            </w:r>
          </w:p>
        </w:tc>
        <w:tc>
          <w:tcPr>
            <w:tcW w:w="20" w:type="dxa"/>
            <w:vAlign w:val="bottom"/>
          </w:tcPr>
          <w:p>
            <w:pPr>
              <w:spacing w:after="0"/>
              <w:rPr>
                <w:sz w:val="21"/>
                <w:szCs w:val="21"/>
                <w:color w:val="auto"/>
              </w:rPr>
            </w:pPr>
          </w:p>
        </w:tc>
      </w:tr>
      <w:tr>
        <w:trPr>
          <w:trHeight w:val="20"/>
        </w:trPr>
        <w:tc>
          <w:tcPr>
            <w:tcW w:w="5280" w:type="dxa"/>
            <w:vAlign w:val="bottom"/>
            <w:tcBorders>
              <w:right w:val="single" w:sz="8" w:color="D6F3E8"/>
            </w:tcBorders>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8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0D0E00"/>
              </w:rPr>
              <w:t>Gross profit</w:t>
            </w:r>
          </w:p>
        </w:tc>
        <w:tc>
          <w:tcPr>
            <w:tcW w:w="240" w:type="dxa"/>
            <w:vAlign w:val="bottom"/>
            <w:shd w:val="clear" w:color="auto" w:fill="D6F3E8"/>
          </w:tcPr>
          <w:p>
            <w:pPr>
              <w:spacing w:after="0"/>
              <w:rPr>
                <w:sz w:val="20"/>
                <w:szCs w:val="20"/>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15,855</w:t>
            </w:r>
          </w:p>
        </w:tc>
        <w:tc>
          <w:tcPr>
            <w:tcW w:w="38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18,102</w:t>
            </w:r>
          </w:p>
        </w:tc>
        <w:tc>
          <w:tcPr>
            <w:tcW w:w="2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0D0E00"/>
              </w:rPr>
              <w:t>49,127</w:t>
            </w:r>
          </w:p>
        </w:tc>
        <w:tc>
          <w:tcPr>
            <w:tcW w:w="120" w:type="dxa"/>
            <w:vAlign w:val="bottom"/>
            <w:shd w:val="clear" w:color="auto" w:fill="D6F3E8"/>
          </w:tcPr>
          <w:p>
            <w:pPr>
              <w:spacing w:after="0"/>
              <w:rPr>
                <w:sz w:val="20"/>
                <w:szCs w:val="20"/>
                <w:color w:val="auto"/>
              </w:rPr>
            </w:pPr>
          </w:p>
        </w:tc>
        <w:tc>
          <w:tcPr>
            <w:tcW w:w="400" w:type="dxa"/>
            <w:vAlign w:val="bottom"/>
            <w:shd w:val="clear" w:color="auto" w:fill="D6F3E8"/>
          </w:tcPr>
          <w:p>
            <w:pPr>
              <w:spacing w:after="0"/>
              <w:rPr>
                <w:sz w:val="20"/>
                <w:szCs w:val="20"/>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48,863</w:t>
            </w:r>
          </w:p>
        </w:tc>
        <w:tc>
          <w:tcPr>
            <w:tcW w:w="20" w:type="dxa"/>
            <w:vAlign w:val="bottom"/>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0D0E00"/>
              </w:rPr>
              <w:t>Selling, general and administrative expenses</w:t>
            </w:r>
          </w:p>
        </w:tc>
        <w:tc>
          <w:tcPr>
            <w:tcW w:w="2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0D0E00"/>
              </w:rPr>
              <w:t>(6,447)</w:t>
            </w:r>
          </w:p>
        </w:tc>
        <w:tc>
          <w:tcPr>
            <w:tcW w:w="3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0D0E00"/>
              </w:rPr>
              <w:t>(6,906)</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0D0E00"/>
              </w:rPr>
              <w:t>(19,370)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0D0E00"/>
              </w:rPr>
              <w:t>(19,005)</w:t>
            </w:r>
          </w:p>
        </w:tc>
        <w:tc>
          <w:tcPr>
            <w:tcW w:w="20" w:type="dxa"/>
            <w:vAlign w:val="bottom"/>
          </w:tcPr>
          <w:p>
            <w:pPr>
              <w:spacing w:after="0"/>
              <w:rPr>
                <w:sz w:val="21"/>
                <w:szCs w:val="21"/>
                <w:color w:val="auto"/>
              </w:rPr>
            </w:pPr>
          </w:p>
        </w:tc>
      </w:tr>
      <w:tr>
        <w:trPr>
          <w:trHeight w:val="20"/>
        </w:trPr>
        <w:tc>
          <w:tcPr>
            <w:tcW w:w="5280" w:type="dxa"/>
            <w:vAlign w:val="bottom"/>
            <w:tcBorders>
              <w:right w:val="single" w:sz="8" w:color="D6F3E8"/>
            </w:tcBorders>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8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0D0E00"/>
              </w:rPr>
              <w:t>Operating income</w:t>
            </w:r>
          </w:p>
        </w:tc>
        <w:tc>
          <w:tcPr>
            <w:tcW w:w="240" w:type="dxa"/>
            <w:vAlign w:val="bottom"/>
            <w:shd w:val="clear" w:color="auto" w:fill="D6F3E8"/>
          </w:tcPr>
          <w:p>
            <w:pPr>
              <w:spacing w:after="0"/>
              <w:rPr>
                <w:sz w:val="20"/>
                <w:szCs w:val="20"/>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9,408</w:t>
            </w:r>
          </w:p>
        </w:tc>
        <w:tc>
          <w:tcPr>
            <w:tcW w:w="38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11,196</w:t>
            </w:r>
          </w:p>
        </w:tc>
        <w:tc>
          <w:tcPr>
            <w:tcW w:w="2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0D0E00"/>
              </w:rPr>
              <w:t>29,757</w:t>
            </w:r>
          </w:p>
        </w:tc>
        <w:tc>
          <w:tcPr>
            <w:tcW w:w="120" w:type="dxa"/>
            <w:vAlign w:val="bottom"/>
            <w:shd w:val="clear" w:color="auto" w:fill="D6F3E8"/>
          </w:tcPr>
          <w:p>
            <w:pPr>
              <w:spacing w:after="0"/>
              <w:rPr>
                <w:sz w:val="20"/>
                <w:szCs w:val="20"/>
                <w:color w:val="auto"/>
              </w:rPr>
            </w:pPr>
          </w:p>
        </w:tc>
        <w:tc>
          <w:tcPr>
            <w:tcW w:w="400" w:type="dxa"/>
            <w:vAlign w:val="bottom"/>
            <w:shd w:val="clear" w:color="auto" w:fill="D6F3E8"/>
          </w:tcPr>
          <w:p>
            <w:pPr>
              <w:spacing w:after="0"/>
              <w:rPr>
                <w:sz w:val="20"/>
                <w:szCs w:val="20"/>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29,858</w:t>
            </w:r>
          </w:p>
        </w:tc>
        <w:tc>
          <w:tcPr>
            <w:tcW w:w="20" w:type="dxa"/>
            <w:vAlign w:val="bottom"/>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0D0E00"/>
              </w:rPr>
              <w:t>Investment income</w:t>
            </w:r>
          </w:p>
        </w:tc>
        <w:tc>
          <w:tcPr>
            <w:tcW w:w="24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0D0E00"/>
              </w:rPr>
              <w:t>99</w:t>
            </w: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0D0E00"/>
              </w:rPr>
              <w:t>81</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0D0E00"/>
              </w:rPr>
              <w:t>188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0D0E00"/>
              </w:rPr>
              <w:t>337</w:t>
            </w:r>
          </w:p>
        </w:tc>
        <w:tc>
          <w:tcPr>
            <w:tcW w:w="20" w:type="dxa"/>
            <w:vAlign w:val="bottom"/>
          </w:tcPr>
          <w:p>
            <w:pPr>
              <w:spacing w:after="0"/>
              <w:rPr>
                <w:sz w:val="21"/>
                <w:szCs w:val="21"/>
                <w:color w:val="auto"/>
              </w:rPr>
            </w:pPr>
          </w:p>
        </w:tc>
      </w:tr>
      <w:tr>
        <w:trPr>
          <w:trHeight w:val="20"/>
        </w:trPr>
        <w:tc>
          <w:tcPr>
            <w:tcW w:w="5280" w:type="dxa"/>
            <w:vAlign w:val="bottom"/>
            <w:tcBorders>
              <w:right w:val="single" w:sz="8" w:color="D6F3E8"/>
            </w:tcBorders>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8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0D0E00"/>
              </w:rPr>
              <w:t>Income from continuing operations before income taxes</w:t>
            </w:r>
          </w:p>
        </w:tc>
        <w:tc>
          <w:tcPr>
            <w:tcW w:w="240" w:type="dxa"/>
            <w:vAlign w:val="bottom"/>
            <w:shd w:val="clear" w:color="auto" w:fill="D6F3E8"/>
          </w:tcPr>
          <w:p>
            <w:pPr>
              <w:spacing w:after="0"/>
              <w:rPr>
                <w:sz w:val="20"/>
                <w:szCs w:val="20"/>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9,507</w:t>
            </w:r>
          </w:p>
        </w:tc>
        <w:tc>
          <w:tcPr>
            <w:tcW w:w="38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11,277</w:t>
            </w:r>
          </w:p>
        </w:tc>
        <w:tc>
          <w:tcPr>
            <w:tcW w:w="2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0D0E00"/>
              </w:rPr>
              <w:t>29,945</w:t>
            </w:r>
          </w:p>
        </w:tc>
        <w:tc>
          <w:tcPr>
            <w:tcW w:w="120" w:type="dxa"/>
            <w:vAlign w:val="bottom"/>
            <w:shd w:val="clear" w:color="auto" w:fill="D6F3E8"/>
          </w:tcPr>
          <w:p>
            <w:pPr>
              <w:spacing w:after="0"/>
              <w:rPr>
                <w:sz w:val="20"/>
                <w:szCs w:val="20"/>
                <w:color w:val="auto"/>
              </w:rPr>
            </w:pPr>
          </w:p>
        </w:tc>
        <w:tc>
          <w:tcPr>
            <w:tcW w:w="400" w:type="dxa"/>
            <w:vAlign w:val="bottom"/>
            <w:shd w:val="clear" w:color="auto" w:fill="D6F3E8"/>
          </w:tcPr>
          <w:p>
            <w:pPr>
              <w:spacing w:after="0"/>
              <w:rPr>
                <w:sz w:val="20"/>
                <w:szCs w:val="20"/>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30,195</w:t>
            </w:r>
          </w:p>
        </w:tc>
        <w:tc>
          <w:tcPr>
            <w:tcW w:w="20" w:type="dxa"/>
            <w:vAlign w:val="bottom"/>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0D0E00"/>
              </w:rPr>
              <w:t>Provision for income taxes</w:t>
            </w:r>
          </w:p>
        </w:tc>
        <w:tc>
          <w:tcPr>
            <w:tcW w:w="2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0D0E00"/>
              </w:rPr>
              <w:t>(3,912)</w:t>
            </w:r>
          </w:p>
        </w:tc>
        <w:tc>
          <w:tcPr>
            <w:tcW w:w="38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0D0E00"/>
              </w:rPr>
              <w:t>(4,354)</w:t>
            </w:r>
          </w:p>
        </w:tc>
        <w:tc>
          <w:tcPr>
            <w:tcW w:w="2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0D0E00"/>
              </w:rPr>
              <w:t>(11,741)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0D0E00"/>
              </w:rPr>
              <w:t>(11,656)</w:t>
            </w:r>
          </w:p>
        </w:tc>
        <w:tc>
          <w:tcPr>
            <w:tcW w:w="20" w:type="dxa"/>
            <w:vAlign w:val="bottom"/>
          </w:tcPr>
          <w:p>
            <w:pPr>
              <w:spacing w:after="0"/>
              <w:rPr>
                <w:sz w:val="21"/>
                <w:szCs w:val="21"/>
                <w:color w:val="auto"/>
              </w:rPr>
            </w:pPr>
          </w:p>
        </w:tc>
      </w:tr>
      <w:tr>
        <w:trPr>
          <w:trHeight w:val="20"/>
        </w:trPr>
        <w:tc>
          <w:tcPr>
            <w:tcW w:w="5280" w:type="dxa"/>
            <w:vAlign w:val="bottom"/>
            <w:tcBorders>
              <w:right w:val="single" w:sz="8" w:color="D6F3E8"/>
            </w:tcBorders>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28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0D0E00"/>
              </w:rPr>
              <w:t>Income from continuing operations</w:t>
            </w:r>
          </w:p>
        </w:tc>
        <w:tc>
          <w:tcPr>
            <w:tcW w:w="240" w:type="dxa"/>
            <w:vAlign w:val="bottom"/>
            <w:shd w:val="clear" w:color="auto" w:fill="D6F3E8"/>
          </w:tcPr>
          <w:p>
            <w:pPr>
              <w:spacing w:after="0"/>
              <w:rPr>
                <w:sz w:val="20"/>
                <w:szCs w:val="20"/>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5,595</w:t>
            </w:r>
          </w:p>
        </w:tc>
        <w:tc>
          <w:tcPr>
            <w:tcW w:w="380" w:type="dxa"/>
            <w:vAlign w:val="bottom"/>
            <w:shd w:val="clear" w:color="auto" w:fill="D6F3E8"/>
          </w:tcPr>
          <w:p>
            <w:pPr>
              <w:spacing w:after="0"/>
              <w:rPr>
                <w:sz w:val="20"/>
                <w:szCs w:val="20"/>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6,923</w:t>
            </w:r>
          </w:p>
        </w:tc>
        <w:tc>
          <w:tcPr>
            <w:tcW w:w="280" w:type="dxa"/>
            <w:vAlign w:val="bottom"/>
            <w:shd w:val="clear" w:color="auto" w:fill="D6F3E8"/>
          </w:tcPr>
          <w:p>
            <w:pPr>
              <w:spacing w:after="0"/>
              <w:rPr>
                <w:sz w:val="20"/>
                <w:szCs w:val="20"/>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0D0E00"/>
              </w:rPr>
              <w:t>18,204</w:t>
            </w:r>
          </w:p>
        </w:tc>
        <w:tc>
          <w:tcPr>
            <w:tcW w:w="120" w:type="dxa"/>
            <w:vAlign w:val="bottom"/>
            <w:shd w:val="clear" w:color="auto" w:fill="D6F3E8"/>
          </w:tcPr>
          <w:p>
            <w:pPr>
              <w:spacing w:after="0"/>
              <w:rPr>
                <w:sz w:val="20"/>
                <w:szCs w:val="20"/>
                <w:color w:val="auto"/>
              </w:rPr>
            </w:pPr>
          </w:p>
        </w:tc>
        <w:tc>
          <w:tcPr>
            <w:tcW w:w="400" w:type="dxa"/>
            <w:vAlign w:val="bottom"/>
            <w:shd w:val="clear" w:color="auto" w:fill="D6F3E8"/>
          </w:tcPr>
          <w:p>
            <w:pPr>
              <w:spacing w:after="0"/>
              <w:rPr>
                <w:sz w:val="20"/>
                <w:szCs w:val="20"/>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18,539</w:t>
            </w:r>
          </w:p>
        </w:tc>
        <w:tc>
          <w:tcPr>
            <w:tcW w:w="20" w:type="dxa"/>
            <w:vAlign w:val="bottom"/>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0D0E00"/>
              </w:rPr>
              <w:t>Income from discontinued operations, net of tax (Note 4)</w:t>
            </w:r>
          </w:p>
        </w:tc>
        <w:tc>
          <w:tcPr>
            <w:tcW w:w="24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0D0E00"/>
              </w:rPr>
              <w:t>—</w:t>
            </w: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0D0E00"/>
              </w:rPr>
              <w:t>50</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0D0E00"/>
              </w:rPr>
              <w:t>109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0D0E00"/>
              </w:rPr>
              <w:t>133</w:t>
            </w:r>
          </w:p>
        </w:tc>
        <w:tc>
          <w:tcPr>
            <w:tcW w:w="20" w:type="dxa"/>
            <w:vAlign w:val="bottom"/>
          </w:tcPr>
          <w:p>
            <w:pPr>
              <w:spacing w:after="0"/>
              <w:rPr>
                <w:sz w:val="21"/>
                <w:szCs w:val="21"/>
                <w:color w:val="auto"/>
              </w:rPr>
            </w:pPr>
          </w:p>
        </w:tc>
      </w:tr>
      <w:tr>
        <w:trPr>
          <w:trHeight w:val="217"/>
        </w:trPr>
        <w:tc>
          <w:tcPr>
            <w:tcW w:w="5280" w:type="dxa"/>
            <w:vAlign w:val="bottom"/>
            <w:tcBorders>
              <w:top w:val="single" w:sz="8" w:color="D6F3E8"/>
              <w:bottom w:val="single" w:sz="8" w:color="D6F3E8"/>
              <w:right w:val="single" w:sz="8" w:color="D6F3E8"/>
            </w:tcBorders>
            <w:shd w:val="clear" w:color="auto" w:fill="D6F3E8"/>
          </w:tcPr>
          <w:p>
            <w:pPr>
              <w:spacing w:after="0"/>
              <w:rPr>
                <w:sz w:val="20"/>
                <w:szCs w:val="20"/>
                <w:color w:val="auto"/>
              </w:rPr>
            </w:pPr>
            <w:r>
              <w:rPr>
                <w:rFonts w:ascii="Arial" w:cs="Arial" w:eastAsia="Arial" w:hAnsi="Arial"/>
                <w:sz w:val="18"/>
                <w:szCs w:val="18"/>
                <w:color w:val="0D0E00"/>
              </w:rPr>
              <w:t>Net income</w:t>
            </w:r>
          </w:p>
        </w:tc>
        <w:tc>
          <w:tcPr>
            <w:tcW w:w="240" w:type="dxa"/>
            <w:vAlign w:val="bottom"/>
            <w:tcBorders>
              <w:top w:val="single" w:sz="8" w:color="auto"/>
              <w:bottom w:val="single" w:sz="8" w:color="auto"/>
            </w:tcBorders>
            <w:shd w:val="clear" w:color="auto" w:fill="D6F3E8"/>
          </w:tcPr>
          <w:p>
            <w:pPr>
              <w:jc w:val="right"/>
              <w:ind w:right="85"/>
              <w:spacing w:after="0"/>
              <w:rPr>
                <w:sz w:val="20"/>
                <w:szCs w:val="20"/>
                <w:color w:val="auto"/>
              </w:rPr>
            </w:pPr>
            <w:r>
              <w:rPr>
                <w:rFonts w:ascii="Arial" w:cs="Arial" w:eastAsia="Arial" w:hAnsi="Arial"/>
                <w:sz w:val="15"/>
                <w:szCs w:val="15"/>
                <w:color w:val="0D0E00"/>
                <w:w w:val="71"/>
              </w:rPr>
              <w:t>$</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5,595</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380" w:type="dxa"/>
            <w:vAlign w:val="bottom"/>
            <w:tcBorders>
              <w:top w:val="single" w:sz="8" w:color="auto"/>
              <w:bottom w:val="single" w:sz="8" w:color="auto"/>
            </w:tcBorders>
            <w:shd w:val="clear" w:color="auto" w:fill="D6F3E8"/>
          </w:tcPr>
          <w:p>
            <w:pPr>
              <w:jc w:val="right"/>
              <w:ind w:right="225"/>
              <w:spacing w:after="0"/>
              <w:rPr>
                <w:sz w:val="20"/>
                <w:szCs w:val="20"/>
                <w:color w:val="auto"/>
              </w:rPr>
            </w:pPr>
            <w:r>
              <w:rPr>
                <w:rFonts w:ascii="Arial" w:cs="Arial" w:eastAsia="Arial" w:hAnsi="Arial"/>
                <w:sz w:val="15"/>
                <w:szCs w:val="15"/>
                <w:color w:val="0D0E00"/>
                <w:w w:val="71"/>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6,973</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0D0E00"/>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18,313</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jc w:val="right"/>
              <w:ind w:right="210"/>
              <w:spacing w:after="0"/>
              <w:rPr>
                <w:sz w:val="20"/>
                <w:szCs w:val="20"/>
                <w:color w:val="auto"/>
              </w:rPr>
            </w:pPr>
            <w:r>
              <w:rPr>
                <w:rFonts w:ascii="Arial" w:cs="Arial" w:eastAsia="Arial" w:hAnsi="Arial"/>
                <w:sz w:val="18"/>
                <w:szCs w:val="18"/>
                <w:color w:val="0D0E00"/>
                <w:w w:val="79"/>
              </w:rPr>
              <w:t>$</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18,672</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Pr>
          <w:p>
            <w:pPr>
              <w:spacing w:after="0"/>
              <w:rPr>
                <w:sz w:val="18"/>
                <w:szCs w:val="18"/>
                <w:color w:val="auto"/>
              </w:rPr>
            </w:pPr>
          </w:p>
        </w:tc>
      </w:tr>
      <w:tr>
        <w:trPr>
          <w:trHeight w:val="493"/>
        </w:trPr>
        <w:tc>
          <w:tcPr>
            <w:tcW w:w="5280" w:type="dxa"/>
            <w:vAlign w:val="bottom"/>
          </w:tcPr>
          <w:p>
            <w:pPr>
              <w:spacing w:after="0"/>
              <w:rPr>
                <w:sz w:val="20"/>
                <w:szCs w:val="20"/>
                <w:color w:val="auto"/>
              </w:rPr>
            </w:pPr>
            <w:r>
              <w:rPr>
                <w:rFonts w:ascii="Arial" w:cs="Arial" w:eastAsia="Arial" w:hAnsi="Arial"/>
                <w:sz w:val="18"/>
                <w:szCs w:val="18"/>
                <w:color w:val="0D0E00"/>
              </w:rPr>
              <w:t>Weighted average number of shares outstanding – basic</w:t>
            </w:r>
          </w:p>
        </w:tc>
        <w:tc>
          <w:tcPr>
            <w:tcW w:w="2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0D0E00"/>
              </w:rPr>
              <w:t>10,253,458</w:t>
            </w:r>
          </w:p>
        </w:tc>
        <w:tc>
          <w:tcPr>
            <w:tcW w:w="38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0D0E00"/>
                <w:w w:val="95"/>
              </w:rPr>
              <w:t>10,246,458</w:t>
            </w: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0D0E00"/>
              </w:rPr>
              <w:t>10,250,198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0D0E00"/>
                <w:w w:val="93"/>
              </w:rPr>
              <w:t>10,243,174</w:t>
            </w:r>
          </w:p>
        </w:tc>
        <w:tc>
          <w:tcPr>
            <w:tcW w:w="20" w:type="dxa"/>
            <w:vAlign w:val="bottom"/>
          </w:tcPr>
          <w:p>
            <w:pPr>
              <w:spacing w:after="0"/>
              <w:rPr>
                <w:sz w:val="24"/>
                <w:szCs w:val="24"/>
                <w:color w:val="auto"/>
              </w:rPr>
            </w:pPr>
          </w:p>
        </w:tc>
      </w:tr>
      <w:tr>
        <w:trPr>
          <w:trHeight w:val="243"/>
        </w:trPr>
        <w:tc>
          <w:tcPr>
            <w:tcW w:w="52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5280" w:type="dxa"/>
            <w:vAlign w:val="bottom"/>
            <w:tcBorders>
              <w:right w:val="single" w:sz="8" w:color="D6F3E8"/>
            </w:tcBorders>
            <w:shd w:val="clear" w:color="auto" w:fill="D6F3E8"/>
          </w:tcPr>
          <w:p>
            <w:pPr>
              <w:spacing w:after="0"/>
              <w:rPr>
                <w:sz w:val="20"/>
                <w:szCs w:val="20"/>
                <w:color w:val="auto"/>
              </w:rPr>
            </w:pPr>
            <w:r>
              <w:rPr>
                <w:rFonts w:ascii="Arial" w:cs="Arial" w:eastAsia="Arial" w:hAnsi="Arial"/>
                <w:sz w:val="18"/>
                <w:szCs w:val="18"/>
                <w:color w:val="0D0E00"/>
              </w:rPr>
              <w:t>Weighted average number of shares outstanding – diluted</w:t>
            </w:r>
          </w:p>
        </w:tc>
        <w:tc>
          <w:tcPr>
            <w:tcW w:w="240" w:type="dxa"/>
            <w:vAlign w:val="bottom"/>
            <w:shd w:val="clear" w:color="auto" w:fill="D6F3E8"/>
          </w:tcPr>
          <w:p>
            <w:pPr>
              <w:spacing w:after="0"/>
              <w:rPr>
                <w:sz w:val="22"/>
                <w:szCs w:val="22"/>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10,283,206</w:t>
            </w:r>
          </w:p>
        </w:tc>
        <w:tc>
          <w:tcPr>
            <w:tcW w:w="380" w:type="dxa"/>
            <w:vAlign w:val="bottom"/>
            <w:shd w:val="clear" w:color="auto" w:fill="D6F3E8"/>
          </w:tcPr>
          <w:p>
            <w:pPr>
              <w:spacing w:after="0"/>
              <w:rPr>
                <w:sz w:val="22"/>
                <w:szCs w:val="22"/>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w w:val="95"/>
              </w:rPr>
              <w:t>10,250,774</w:t>
            </w:r>
          </w:p>
        </w:tc>
        <w:tc>
          <w:tcPr>
            <w:tcW w:w="280" w:type="dxa"/>
            <w:vAlign w:val="bottom"/>
            <w:shd w:val="clear" w:color="auto" w:fill="D6F3E8"/>
          </w:tcPr>
          <w:p>
            <w:pPr>
              <w:spacing w:after="0"/>
              <w:rPr>
                <w:sz w:val="22"/>
                <w:szCs w:val="22"/>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0D0E00"/>
              </w:rPr>
              <w:t>10,279,417</w:t>
            </w:r>
          </w:p>
        </w:tc>
        <w:tc>
          <w:tcPr>
            <w:tcW w:w="120" w:type="dxa"/>
            <w:vAlign w:val="bottom"/>
            <w:shd w:val="clear" w:color="auto" w:fill="D6F3E8"/>
          </w:tcPr>
          <w:p>
            <w:pPr>
              <w:spacing w:after="0"/>
              <w:rPr>
                <w:sz w:val="22"/>
                <w:szCs w:val="22"/>
                <w:color w:val="auto"/>
              </w:rPr>
            </w:pPr>
          </w:p>
        </w:tc>
        <w:tc>
          <w:tcPr>
            <w:tcW w:w="400" w:type="dxa"/>
            <w:vAlign w:val="bottom"/>
            <w:shd w:val="clear" w:color="auto" w:fill="D6F3E8"/>
          </w:tcPr>
          <w:p>
            <w:pPr>
              <w:spacing w:after="0"/>
              <w:rPr>
                <w:sz w:val="22"/>
                <w:szCs w:val="22"/>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w w:val="93"/>
              </w:rPr>
              <w:t>10,256,540</w:t>
            </w:r>
          </w:p>
        </w:tc>
        <w:tc>
          <w:tcPr>
            <w:tcW w:w="20" w:type="dxa"/>
            <w:vAlign w:val="bottom"/>
          </w:tcPr>
          <w:p>
            <w:pPr>
              <w:spacing w:after="0"/>
              <w:rPr>
                <w:sz w:val="22"/>
                <w:szCs w:val="22"/>
                <w:color w:val="auto"/>
              </w:rPr>
            </w:pPr>
          </w:p>
        </w:tc>
      </w:tr>
      <w:tr>
        <w:trPr>
          <w:trHeight w:val="473"/>
        </w:trPr>
        <w:tc>
          <w:tcPr>
            <w:tcW w:w="5280" w:type="dxa"/>
            <w:vAlign w:val="bottom"/>
            <w:tcBorders>
              <w:top w:val="single" w:sz="8" w:color="D6F3E8"/>
            </w:tcBorders>
          </w:tcPr>
          <w:p>
            <w:pPr>
              <w:spacing w:after="0"/>
              <w:rPr>
                <w:sz w:val="20"/>
                <w:szCs w:val="20"/>
                <w:color w:val="auto"/>
              </w:rPr>
            </w:pPr>
            <w:r>
              <w:rPr>
                <w:rFonts w:ascii="Arial" w:cs="Arial" w:eastAsia="Arial" w:hAnsi="Arial"/>
                <w:sz w:val="18"/>
                <w:szCs w:val="18"/>
                <w:color w:val="0D0E00"/>
              </w:rPr>
              <w:t>Basic earnings per share:</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D6F3E8"/>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D6F3E8"/>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D6F3E8"/>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D6F3E8"/>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0D0E00"/>
              </w:rPr>
              <w:t>Earnings per share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0D0E00"/>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0D0E00"/>
              </w:rPr>
              <w:t>0.55</w:t>
            </w:r>
          </w:p>
        </w:tc>
        <w:tc>
          <w:tcPr>
            <w:tcW w:w="380" w:type="dxa"/>
            <w:vAlign w:val="bottom"/>
          </w:tcPr>
          <w:p>
            <w:pPr>
              <w:jc w:val="right"/>
              <w:ind w:right="225"/>
              <w:spacing w:after="0"/>
              <w:rPr>
                <w:sz w:val="20"/>
                <w:szCs w:val="20"/>
                <w:color w:val="auto"/>
              </w:rPr>
            </w:pPr>
            <w:r>
              <w:rPr>
                <w:rFonts w:ascii="Arial" w:cs="Arial" w:eastAsia="Arial" w:hAnsi="Arial"/>
                <w:sz w:val="15"/>
                <w:szCs w:val="15"/>
                <w:color w:val="0D0E00"/>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0D0E00"/>
              </w:rPr>
              <w:t>0.68</w:t>
            </w:r>
          </w:p>
        </w:tc>
        <w:tc>
          <w:tcPr>
            <w:tcW w:w="280" w:type="dxa"/>
            <w:vAlign w:val="bottom"/>
          </w:tcPr>
          <w:p>
            <w:pPr>
              <w:jc w:val="right"/>
              <w:ind w:right="90"/>
              <w:spacing w:after="0"/>
              <w:rPr>
                <w:sz w:val="20"/>
                <w:szCs w:val="20"/>
                <w:color w:val="auto"/>
              </w:rPr>
            </w:pPr>
            <w:r>
              <w:rPr>
                <w:rFonts w:ascii="Arial" w:cs="Arial" w:eastAsia="Arial" w:hAnsi="Arial"/>
                <w:sz w:val="18"/>
                <w:szCs w:val="18"/>
                <w:color w:val="0D0E00"/>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0D0E00"/>
              </w:rPr>
              <w:t>1.78</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0D0E00"/>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0D0E00"/>
              </w:rPr>
              <w:t>$1.81</w:t>
            </w:r>
          </w:p>
        </w:tc>
        <w:tc>
          <w:tcPr>
            <w:tcW w:w="20" w:type="dxa"/>
            <w:vAlign w:val="bottom"/>
          </w:tcPr>
          <w:p>
            <w:pPr>
              <w:spacing w:after="0"/>
              <w:rPr>
                <w:sz w:val="21"/>
                <w:szCs w:val="21"/>
                <w:color w:val="auto"/>
              </w:rPr>
            </w:pPr>
          </w:p>
        </w:tc>
      </w:tr>
      <w:tr>
        <w:trPr>
          <w:trHeight w:val="243"/>
        </w:trPr>
        <w:tc>
          <w:tcPr>
            <w:tcW w:w="5280" w:type="dxa"/>
            <w:vAlign w:val="bottom"/>
            <w:tcBorders>
              <w:right w:val="single" w:sz="8" w:color="D6F3E8"/>
            </w:tcBorders>
            <w:shd w:val="clear" w:color="auto" w:fill="D6F3E8"/>
          </w:tcPr>
          <w:p>
            <w:pPr>
              <w:ind w:left="260"/>
              <w:spacing w:after="0"/>
              <w:rPr>
                <w:sz w:val="20"/>
                <w:szCs w:val="20"/>
                <w:color w:val="auto"/>
              </w:rPr>
            </w:pPr>
            <w:r>
              <w:rPr>
                <w:rFonts w:ascii="Arial" w:cs="Arial" w:eastAsia="Arial" w:hAnsi="Arial"/>
                <w:sz w:val="18"/>
                <w:szCs w:val="18"/>
                <w:color w:val="0D0E00"/>
              </w:rPr>
              <w:t>Earnings per share from discontinued operations</w:t>
            </w:r>
          </w:p>
        </w:tc>
        <w:tc>
          <w:tcPr>
            <w:tcW w:w="240" w:type="dxa"/>
            <w:vAlign w:val="bottom"/>
            <w:shd w:val="clear" w:color="auto" w:fill="D6F3E8"/>
          </w:tcPr>
          <w:p>
            <w:pPr>
              <w:spacing w:after="0"/>
              <w:rPr>
                <w:sz w:val="21"/>
                <w:szCs w:val="21"/>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w:t>
            </w:r>
          </w:p>
        </w:tc>
        <w:tc>
          <w:tcPr>
            <w:tcW w:w="38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0D0E00"/>
              </w:rPr>
              <w:t>0.01</w:t>
            </w:r>
          </w:p>
        </w:tc>
        <w:tc>
          <w:tcPr>
            <w:tcW w:w="12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0.01</w:t>
            </w:r>
          </w:p>
        </w:tc>
        <w:tc>
          <w:tcPr>
            <w:tcW w:w="20" w:type="dxa"/>
            <w:vAlign w:val="bottom"/>
          </w:tcPr>
          <w:p>
            <w:pPr>
              <w:spacing w:after="0"/>
              <w:rPr>
                <w:sz w:val="21"/>
                <w:szCs w:val="21"/>
                <w:color w:val="auto"/>
              </w:rPr>
            </w:pPr>
          </w:p>
        </w:tc>
      </w:tr>
      <w:tr>
        <w:trPr>
          <w:trHeight w:val="217"/>
        </w:trPr>
        <w:tc>
          <w:tcPr>
            <w:tcW w:w="5280" w:type="dxa"/>
            <w:vAlign w:val="bottom"/>
          </w:tcPr>
          <w:p>
            <w:pPr>
              <w:ind w:left="260"/>
              <w:spacing w:after="0"/>
              <w:rPr>
                <w:sz w:val="20"/>
                <w:szCs w:val="20"/>
                <w:color w:val="auto"/>
              </w:rPr>
            </w:pPr>
            <w:r>
              <w:rPr>
                <w:rFonts w:ascii="Arial" w:cs="Arial" w:eastAsia="Arial" w:hAnsi="Arial"/>
                <w:sz w:val="18"/>
                <w:szCs w:val="18"/>
                <w:color w:val="0D0E00"/>
              </w:rPr>
              <w:t>Earnings per share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0D0E00"/>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rPr>
              <w:t>0.55</w:t>
            </w:r>
          </w:p>
        </w:tc>
        <w:tc>
          <w:tcPr>
            <w:tcW w:w="3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0D0E00"/>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rPr>
              <w:t>0.68</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0D0E00"/>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rPr>
              <w:t>1.79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0D0E00"/>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D0E00"/>
              </w:rPr>
              <w:t>1.82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0D0E00"/>
              </w:rPr>
              <w:t>Diluted earnings per share:</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280" w:type="dxa"/>
            <w:vAlign w:val="bottom"/>
            <w:tcBorders>
              <w:right w:val="single" w:sz="8" w:color="D6F3E8"/>
            </w:tcBorders>
            <w:shd w:val="clear" w:color="auto" w:fill="D6F3E8"/>
          </w:tcPr>
          <w:p>
            <w:pPr>
              <w:ind w:left="260"/>
              <w:spacing w:after="0"/>
              <w:rPr>
                <w:sz w:val="20"/>
                <w:szCs w:val="20"/>
                <w:color w:val="auto"/>
              </w:rPr>
            </w:pPr>
            <w:r>
              <w:rPr>
                <w:rFonts w:ascii="Arial" w:cs="Arial" w:eastAsia="Arial" w:hAnsi="Arial"/>
                <w:sz w:val="18"/>
                <w:szCs w:val="18"/>
                <w:color w:val="0D0E00"/>
              </w:rPr>
              <w:t>Earnings per share from continuing operations</w:t>
            </w:r>
          </w:p>
        </w:tc>
        <w:tc>
          <w:tcPr>
            <w:tcW w:w="240" w:type="dxa"/>
            <w:vAlign w:val="bottom"/>
            <w:shd w:val="clear" w:color="auto" w:fill="D6F3E8"/>
          </w:tcPr>
          <w:p>
            <w:pPr>
              <w:jc w:val="right"/>
              <w:ind w:right="85"/>
              <w:spacing w:after="0"/>
              <w:rPr>
                <w:sz w:val="20"/>
                <w:szCs w:val="20"/>
                <w:color w:val="auto"/>
              </w:rPr>
            </w:pPr>
            <w:r>
              <w:rPr>
                <w:rFonts w:ascii="Arial" w:cs="Arial" w:eastAsia="Arial" w:hAnsi="Arial"/>
                <w:sz w:val="15"/>
                <w:szCs w:val="15"/>
                <w:color w:val="0D0E00"/>
                <w:w w:val="71"/>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0.54</w:t>
            </w:r>
          </w:p>
        </w:tc>
        <w:tc>
          <w:tcPr>
            <w:tcW w:w="380" w:type="dxa"/>
            <w:vAlign w:val="bottom"/>
            <w:shd w:val="clear" w:color="auto" w:fill="D6F3E8"/>
          </w:tcPr>
          <w:p>
            <w:pPr>
              <w:jc w:val="right"/>
              <w:ind w:right="225"/>
              <w:spacing w:after="0"/>
              <w:rPr>
                <w:sz w:val="20"/>
                <w:szCs w:val="20"/>
                <w:color w:val="auto"/>
              </w:rPr>
            </w:pPr>
            <w:r>
              <w:rPr>
                <w:rFonts w:ascii="Arial" w:cs="Arial" w:eastAsia="Arial" w:hAnsi="Arial"/>
                <w:sz w:val="15"/>
                <w:szCs w:val="15"/>
                <w:color w:val="0D0E00"/>
                <w:w w:val="71"/>
              </w:rPr>
              <w:t>$</w:t>
            </w: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0.68</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0D0E00"/>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0D0E00"/>
              </w:rPr>
              <w:t>1.77</w:t>
            </w:r>
          </w:p>
        </w:tc>
        <w:tc>
          <w:tcPr>
            <w:tcW w:w="520" w:type="dxa"/>
            <w:vAlign w:val="bottom"/>
            <w:gridSpan w:val="2"/>
            <w:shd w:val="clear" w:color="auto" w:fill="D6F3E8"/>
          </w:tcPr>
          <w:p>
            <w:pPr>
              <w:jc w:val="right"/>
              <w:ind w:right="210"/>
              <w:spacing w:after="0"/>
              <w:rPr>
                <w:sz w:val="20"/>
                <w:szCs w:val="20"/>
                <w:color w:val="auto"/>
              </w:rPr>
            </w:pPr>
            <w:r>
              <w:rPr>
                <w:rFonts w:ascii="Arial" w:cs="Arial" w:eastAsia="Arial" w:hAnsi="Arial"/>
                <w:sz w:val="18"/>
                <w:szCs w:val="18"/>
                <w:color w:val="0D0E00"/>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1.81</w:t>
            </w:r>
          </w:p>
        </w:tc>
        <w:tc>
          <w:tcPr>
            <w:tcW w:w="20" w:type="dxa"/>
            <w:vAlign w:val="bottom"/>
          </w:tcPr>
          <w:p>
            <w:pPr>
              <w:spacing w:after="0"/>
              <w:rPr>
                <w:sz w:val="21"/>
                <w:szCs w:val="21"/>
                <w:color w:val="auto"/>
              </w:rPr>
            </w:pP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0D0E00"/>
              </w:rPr>
              <w:t>Earnings per share from discontinued operations</w:t>
            </w:r>
          </w:p>
        </w:tc>
        <w:tc>
          <w:tcPr>
            <w:tcW w:w="24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0D0E00"/>
              </w:rPr>
              <w:t>—</w:t>
            </w: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0D0E00"/>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0D0E00"/>
              </w:rPr>
              <w:t>0.01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0D0E00"/>
              </w:rPr>
              <w:t>0.01</w:t>
            </w:r>
          </w:p>
        </w:tc>
        <w:tc>
          <w:tcPr>
            <w:tcW w:w="20" w:type="dxa"/>
            <w:vAlign w:val="bottom"/>
          </w:tcPr>
          <w:p>
            <w:pPr>
              <w:spacing w:after="0"/>
              <w:rPr>
                <w:sz w:val="21"/>
                <w:szCs w:val="21"/>
                <w:color w:val="auto"/>
              </w:rPr>
            </w:pPr>
          </w:p>
        </w:tc>
      </w:tr>
      <w:tr>
        <w:trPr>
          <w:trHeight w:val="217"/>
        </w:trPr>
        <w:tc>
          <w:tcPr>
            <w:tcW w:w="5280" w:type="dxa"/>
            <w:vAlign w:val="bottom"/>
            <w:tcBorders>
              <w:top w:val="single" w:sz="8" w:color="D6F3E8"/>
              <w:bottom w:val="single" w:sz="8" w:color="D6F3E8"/>
              <w:right w:val="single" w:sz="8" w:color="D6F3E8"/>
            </w:tcBorders>
            <w:shd w:val="clear" w:color="auto" w:fill="D6F3E8"/>
          </w:tcPr>
          <w:p>
            <w:pPr>
              <w:ind w:left="260"/>
              <w:spacing w:after="0"/>
              <w:rPr>
                <w:sz w:val="20"/>
                <w:szCs w:val="20"/>
                <w:color w:val="auto"/>
              </w:rPr>
            </w:pPr>
            <w:r>
              <w:rPr>
                <w:rFonts w:ascii="Arial" w:cs="Arial" w:eastAsia="Arial" w:hAnsi="Arial"/>
                <w:sz w:val="18"/>
                <w:szCs w:val="18"/>
                <w:color w:val="0D0E00"/>
              </w:rPr>
              <w:t>Earnings per share</w:t>
            </w:r>
          </w:p>
        </w:tc>
        <w:tc>
          <w:tcPr>
            <w:tcW w:w="240" w:type="dxa"/>
            <w:vAlign w:val="bottom"/>
            <w:tcBorders>
              <w:top w:val="single" w:sz="8" w:color="auto"/>
              <w:bottom w:val="single" w:sz="8" w:color="auto"/>
            </w:tcBorders>
            <w:shd w:val="clear" w:color="auto" w:fill="D6F3E8"/>
          </w:tcPr>
          <w:p>
            <w:pPr>
              <w:jc w:val="right"/>
              <w:ind w:right="85"/>
              <w:spacing w:after="0"/>
              <w:rPr>
                <w:sz w:val="20"/>
                <w:szCs w:val="20"/>
                <w:color w:val="auto"/>
              </w:rPr>
            </w:pPr>
            <w:r>
              <w:rPr>
                <w:rFonts w:ascii="Arial" w:cs="Arial" w:eastAsia="Arial" w:hAnsi="Arial"/>
                <w:sz w:val="15"/>
                <w:szCs w:val="15"/>
                <w:color w:val="0D0E00"/>
                <w:w w:val="71"/>
              </w:rPr>
              <w:t>$</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0.54</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380" w:type="dxa"/>
            <w:vAlign w:val="bottom"/>
            <w:tcBorders>
              <w:top w:val="single" w:sz="8" w:color="auto"/>
              <w:bottom w:val="single" w:sz="8" w:color="auto"/>
            </w:tcBorders>
            <w:shd w:val="clear" w:color="auto" w:fill="D6F3E8"/>
          </w:tcPr>
          <w:p>
            <w:pPr>
              <w:jc w:val="right"/>
              <w:ind w:right="225"/>
              <w:spacing w:after="0"/>
              <w:rPr>
                <w:sz w:val="20"/>
                <w:szCs w:val="20"/>
                <w:color w:val="auto"/>
              </w:rPr>
            </w:pPr>
            <w:r>
              <w:rPr>
                <w:rFonts w:ascii="Arial" w:cs="Arial" w:eastAsia="Arial" w:hAnsi="Arial"/>
                <w:sz w:val="15"/>
                <w:szCs w:val="15"/>
                <w:color w:val="0D0E00"/>
                <w:w w:val="71"/>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0.68</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0D0E00"/>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1.78</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400" w:type="dxa"/>
            <w:vAlign w:val="bottom"/>
            <w:tcBorders>
              <w:top w:val="single" w:sz="8" w:color="auto"/>
              <w:bottom w:val="single" w:sz="8" w:color="auto"/>
            </w:tcBorders>
            <w:shd w:val="clear" w:color="auto" w:fill="D6F3E8"/>
          </w:tcPr>
          <w:p>
            <w:pPr>
              <w:jc w:val="right"/>
              <w:ind w:right="210"/>
              <w:spacing w:after="0"/>
              <w:rPr>
                <w:sz w:val="20"/>
                <w:szCs w:val="20"/>
                <w:color w:val="auto"/>
              </w:rPr>
            </w:pPr>
            <w:r>
              <w:rPr>
                <w:rFonts w:ascii="Arial" w:cs="Arial" w:eastAsia="Arial" w:hAnsi="Arial"/>
                <w:sz w:val="18"/>
                <w:szCs w:val="18"/>
                <w:color w:val="0D0E00"/>
                <w:w w:val="79"/>
              </w:rPr>
              <w:t>$</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1.82</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Pr>
          <w:p>
            <w:pPr>
              <w:spacing w:after="0"/>
              <w:rPr>
                <w:sz w:val="18"/>
                <w:szCs w:val="18"/>
                <w:color w:val="auto"/>
              </w:rPr>
            </w:pPr>
          </w:p>
        </w:tc>
      </w:tr>
      <w:tr>
        <w:trPr>
          <w:trHeight w:val="480"/>
        </w:trPr>
        <w:tc>
          <w:tcPr>
            <w:tcW w:w="5280" w:type="dxa"/>
            <w:vAlign w:val="bottom"/>
          </w:tcPr>
          <w:p>
            <w:pPr>
              <w:spacing w:after="0"/>
              <w:rPr>
                <w:sz w:val="20"/>
                <w:szCs w:val="20"/>
                <w:color w:val="auto"/>
              </w:rPr>
            </w:pPr>
            <w:r>
              <w:rPr>
                <w:rFonts w:ascii="Arial" w:cs="Arial" w:eastAsia="Arial" w:hAnsi="Arial"/>
                <w:sz w:val="18"/>
                <w:szCs w:val="18"/>
                <w:color w:val="0D0E00"/>
              </w:rPr>
              <w:t>Cash dividends declared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0D0E00"/>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0D0E00"/>
              </w:rPr>
              <w:t>—</w:t>
            </w:r>
          </w:p>
        </w:tc>
        <w:tc>
          <w:tcPr>
            <w:tcW w:w="380" w:type="dxa"/>
            <w:vAlign w:val="bottom"/>
          </w:tcPr>
          <w:p>
            <w:pPr>
              <w:jc w:val="right"/>
              <w:ind w:right="225"/>
              <w:spacing w:after="0"/>
              <w:rPr>
                <w:sz w:val="20"/>
                <w:szCs w:val="20"/>
                <w:color w:val="auto"/>
              </w:rPr>
            </w:pPr>
            <w:r>
              <w:rPr>
                <w:rFonts w:ascii="Arial" w:cs="Arial" w:eastAsia="Arial" w:hAnsi="Arial"/>
                <w:sz w:val="15"/>
                <w:szCs w:val="15"/>
                <w:color w:val="0D0E00"/>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0D0E00"/>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0D0E00"/>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0D0E00"/>
              </w:rPr>
              <w:t>0.38</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0D0E00"/>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0D0E00"/>
              </w:rPr>
              <w:t>0.26</w:t>
            </w:r>
          </w:p>
        </w:tc>
        <w:tc>
          <w:tcPr>
            <w:tcW w:w="20" w:type="dxa"/>
            <w:vAlign w:val="bottom"/>
          </w:tcPr>
          <w:p>
            <w:pPr>
              <w:spacing w:after="0"/>
              <w:rPr>
                <w:sz w:val="24"/>
                <w:szCs w:val="24"/>
                <w:color w:val="auto"/>
              </w:rPr>
            </w:pPr>
          </w:p>
        </w:tc>
      </w:tr>
      <w:tr>
        <w:trPr>
          <w:trHeight w:val="459"/>
        </w:trPr>
        <w:tc>
          <w:tcPr>
            <w:tcW w:w="5280" w:type="dxa"/>
            <w:vAlign w:val="bottom"/>
          </w:tcPr>
          <w:p>
            <w:pPr>
              <w:spacing w:after="0"/>
              <w:rPr>
                <w:sz w:val="20"/>
                <w:szCs w:val="20"/>
                <w:color w:val="auto"/>
              </w:rPr>
            </w:pPr>
            <w:r>
              <w:rPr>
                <w:rFonts w:ascii="Arial" w:cs="Arial" w:eastAsia="Arial" w:hAnsi="Arial"/>
                <w:sz w:val="18"/>
                <w:szCs w:val="18"/>
                <w:color w:val="0D0E00"/>
                <w:w w:val="90"/>
              </w:rPr>
              <w:t>See accompanying notes to condensed financial statements - unaudited.</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692"/>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5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CONDENSED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D0E00"/>
        </w:rPr>
        <w:t>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0D0E00"/>
              </w:rPr>
              <w:t>NINE MONTHS ENDED DECEMBER 31</w:t>
            </w: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0D0E00"/>
              </w:rPr>
              <w:t>2009</w:t>
            </w:r>
          </w:p>
        </w:tc>
        <w:tc>
          <w:tcPr>
            <w:tcW w:w="3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0D0E00"/>
              </w:rPr>
              <w:t>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r>
              <w:rPr>
                <w:rFonts w:ascii="Arial" w:cs="Arial" w:eastAsia="Arial" w:hAnsi="Arial"/>
                <w:sz w:val="18"/>
                <w:szCs w:val="18"/>
                <w:color w:val="0D0E00"/>
              </w:rPr>
              <w:t>CASH FLOWS FROM OPERATING ACTIVITIES: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0D0E00"/>
              </w:rPr>
              <w:t>Net income</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18,313</w:t>
            </w:r>
          </w:p>
        </w:tc>
        <w:tc>
          <w:tcPr>
            <w:tcW w:w="300" w:type="dxa"/>
            <w:vAlign w:val="bottom"/>
            <w:shd w:val="clear" w:color="auto" w:fill="D6F3E8"/>
          </w:tcPr>
          <w:p>
            <w:pPr>
              <w:jc w:val="right"/>
              <w:ind w:right="110"/>
              <w:spacing w:after="0"/>
              <w:rPr>
                <w:sz w:val="20"/>
                <w:szCs w:val="20"/>
                <w:color w:val="auto"/>
              </w:rPr>
            </w:pPr>
            <w:r>
              <w:rPr>
                <w:rFonts w:ascii="Arial" w:cs="Arial" w:eastAsia="Arial" w:hAnsi="Arial"/>
                <w:sz w:val="18"/>
                <w:szCs w:val="18"/>
                <w:color w:val="0D0E00"/>
                <w:w w:val="79"/>
              </w:rPr>
              <w:t>$</w:t>
            </w: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0D0E00"/>
              </w:rPr>
              <w:t>18,672</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0D0E00"/>
              </w:rPr>
              <w:t>Reconciliation to cash flows: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40"/>
              <w:spacing w:after="0"/>
              <w:rPr>
                <w:sz w:val="20"/>
                <w:szCs w:val="20"/>
                <w:color w:val="auto"/>
              </w:rPr>
            </w:pPr>
            <w:r>
              <w:rPr>
                <w:rFonts w:ascii="Arial" w:cs="Arial" w:eastAsia="Arial" w:hAnsi="Arial"/>
                <w:sz w:val="18"/>
                <w:szCs w:val="18"/>
                <w:color w:val="0D0E00"/>
              </w:rPr>
              <w:t>Depreciation and amortization</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D0E00"/>
              </w:rPr>
              <w:t>4,687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0D0E00"/>
              </w:rPr>
              <w:t>4,172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340"/>
              <w:spacing w:after="0"/>
              <w:rPr>
                <w:sz w:val="20"/>
                <w:szCs w:val="20"/>
                <w:color w:val="auto"/>
              </w:rPr>
            </w:pPr>
            <w:r>
              <w:rPr>
                <w:rFonts w:ascii="Arial" w:cs="Arial" w:eastAsia="Arial" w:hAnsi="Arial"/>
                <w:sz w:val="18"/>
                <w:szCs w:val="18"/>
                <w:color w:val="0D0E00"/>
              </w:rPr>
              <w:t>Deferred taxes</w:t>
            </w:r>
          </w:p>
        </w:tc>
        <w:tc>
          <w:tcPr>
            <w:tcW w:w="100" w:type="dxa"/>
            <w:vAlign w:val="bottom"/>
            <w:shd w:val="clear" w:color="auto" w:fill="D6F3E8"/>
          </w:tcPr>
          <w:p>
            <w:pPr>
              <w:spacing w:after="0"/>
              <w:rPr>
                <w:sz w:val="21"/>
                <w:szCs w:val="21"/>
                <w:color w:val="auto"/>
              </w:rPr>
            </w:pP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218</w:t>
            </w:r>
          </w:p>
        </w:tc>
        <w:tc>
          <w:tcPr>
            <w:tcW w:w="30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43"/>
        </w:trPr>
        <w:tc>
          <w:tcPr>
            <w:tcW w:w="8460" w:type="dxa"/>
            <w:vAlign w:val="bottom"/>
          </w:tcPr>
          <w:p>
            <w:pPr>
              <w:ind w:left="340"/>
              <w:spacing w:after="0"/>
              <w:rPr>
                <w:sz w:val="20"/>
                <w:szCs w:val="20"/>
                <w:color w:val="auto"/>
              </w:rPr>
            </w:pPr>
            <w:r>
              <w:rPr>
                <w:rFonts w:ascii="Arial" w:cs="Arial" w:eastAsia="Arial" w:hAnsi="Arial"/>
                <w:sz w:val="18"/>
                <w:szCs w:val="18"/>
                <w:color w:val="0D0E00"/>
              </w:rPr>
              <w:t>Stock compensation expense</w:t>
            </w:r>
          </w:p>
        </w:tc>
        <w:tc>
          <w:tcPr>
            <w:tcW w:w="10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0D0E00"/>
              </w:rPr>
              <w:t>478</w:t>
            </w:r>
          </w:p>
        </w:tc>
        <w:tc>
          <w:tcPr>
            <w:tcW w:w="30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0D0E00"/>
              </w:rPr>
              <w:t>211</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340"/>
              <w:spacing w:after="0"/>
              <w:rPr>
                <w:sz w:val="20"/>
                <w:szCs w:val="20"/>
                <w:color w:val="auto"/>
              </w:rPr>
            </w:pPr>
            <w:r>
              <w:rPr>
                <w:rFonts w:ascii="Arial" w:cs="Arial" w:eastAsia="Arial" w:hAnsi="Arial"/>
                <w:sz w:val="18"/>
                <w:szCs w:val="18"/>
                <w:color w:val="0D0E00"/>
              </w:rPr>
              <w:t>Loss from property disposals</w:t>
            </w:r>
          </w:p>
        </w:tc>
        <w:tc>
          <w:tcPr>
            <w:tcW w:w="100" w:type="dxa"/>
            <w:vAlign w:val="bottom"/>
            <w:shd w:val="clear" w:color="auto" w:fill="D6F3E8"/>
          </w:tcPr>
          <w:p>
            <w:pPr>
              <w:spacing w:after="0"/>
              <w:rPr>
                <w:sz w:val="21"/>
                <w:szCs w:val="21"/>
                <w:color w:val="auto"/>
              </w:rPr>
            </w:pP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2</w:t>
            </w:r>
          </w:p>
        </w:tc>
        <w:tc>
          <w:tcPr>
            <w:tcW w:w="300" w:type="dxa"/>
            <w:vAlign w:val="bottom"/>
            <w:shd w:val="clear" w:color="auto" w:fill="D6F3E8"/>
          </w:tcPr>
          <w:p>
            <w:pPr>
              <w:spacing w:after="0"/>
              <w:rPr>
                <w:sz w:val="21"/>
                <w:szCs w:val="21"/>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0D0E00"/>
              </w:rPr>
              <w:t>94</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40"/>
              <w:spacing w:after="0"/>
              <w:rPr>
                <w:sz w:val="20"/>
                <w:szCs w:val="20"/>
                <w:color w:val="auto"/>
              </w:rPr>
            </w:pPr>
            <w:r>
              <w:rPr>
                <w:rFonts w:ascii="Arial" w:cs="Arial" w:eastAsia="Arial" w:hAnsi="Arial"/>
                <w:sz w:val="18"/>
                <w:szCs w:val="18"/>
                <w:color w:val="0D0E00"/>
              </w:rPr>
              <w:t>Changes in operating accounts providing (using) cash:</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0D0E00"/>
              </w:rPr>
              <w:t>Trade receivables</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D0E00"/>
              </w:rPr>
              <w:t>5,038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0D0E00"/>
              </w:rPr>
              <w:t>(7,786)</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0D0E00"/>
              </w:rPr>
              <w:t>Inventories</w:t>
            </w:r>
          </w:p>
        </w:tc>
        <w:tc>
          <w:tcPr>
            <w:tcW w:w="100" w:type="dxa"/>
            <w:vAlign w:val="bottom"/>
            <w:shd w:val="clear" w:color="auto" w:fill="D6F3E8"/>
          </w:tcPr>
          <w:p>
            <w:pPr>
              <w:spacing w:after="0"/>
              <w:rPr>
                <w:sz w:val="21"/>
                <w:szCs w:val="21"/>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3,536</w:t>
            </w:r>
          </w:p>
        </w:tc>
        <w:tc>
          <w:tcPr>
            <w:tcW w:w="3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0D0E00"/>
              </w:rPr>
              <w:t>(16,798)</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0D0E00"/>
              </w:rPr>
              <w:t>Accounts payable</w:t>
            </w:r>
          </w:p>
        </w:tc>
        <w:tc>
          <w:tcPr>
            <w:tcW w:w="1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0D0E00"/>
              </w:rPr>
              <w:t>(1,156)</w:t>
            </w:r>
          </w:p>
        </w:tc>
        <w:tc>
          <w:tcPr>
            <w:tcW w:w="3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0D0E00"/>
              </w:rPr>
              <w:t>4,902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0D0E00"/>
              </w:rPr>
              <w:t>Accrued liabilities</w:t>
            </w:r>
          </w:p>
        </w:tc>
        <w:tc>
          <w:tcPr>
            <w:tcW w:w="100" w:type="dxa"/>
            <w:vAlign w:val="bottom"/>
            <w:shd w:val="clear" w:color="auto" w:fill="D6F3E8"/>
          </w:tcPr>
          <w:p>
            <w:pPr>
              <w:spacing w:after="0"/>
              <w:rPr>
                <w:sz w:val="21"/>
                <w:szCs w:val="21"/>
                <w:color w:val="auto"/>
              </w:rPr>
            </w:pPr>
          </w:p>
        </w:tc>
        <w:tc>
          <w:tcPr>
            <w:tcW w:w="15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(2,870)</w:t>
            </w:r>
          </w:p>
        </w:tc>
        <w:tc>
          <w:tcPr>
            <w:tcW w:w="30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0D0E00"/>
              </w:rPr>
              <w:t>(389)</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0D0E00"/>
              </w:rPr>
              <w:t>Income taxes</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D0E00"/>
              </w:rPr>
              <w:t>2,172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0D0E00"/>
              </w:rPr>
              <w:t>3,041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0D0E00"/>
              </w:rPr>
              <w:t>Other</w:t>
            </w:r>
          </w:p>
        </w:tc>
        <w:tc>
          <w:tcPr>
            <w:tcW w:w="100" w:type="dxa"/>
            <w:vAlign w:val="bottom"/>
            <w:shd w:val="clear" w:color="auto" w:fill="D6F3E8"/>
          </w:tcPr>
          <w:p>
            <w:pPr>
              <w:spacing w:after="0"/>
              <w:rPr>
                <w:sz w:val="21"/>
                <w:szCs w:val="21"/>
                <w:color w:val="auto"/>
              </w:rPr>
            </w:pPr>
          </w:p>
        </w:tc>
        <w:tc>
          <w:tcPr>
            <w:tcW w:w="15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(752)</w:t>
            </w:r>
          </w:p>
        </w:tc>
        <w:tc>
          <w:tcPr>
            <w:tcW w:w="30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0D0E00"/>
              </w:rPr>
              <w:t>(604)</w:t>
            </w:r>
          </w:p>
        </w:tc>
        <w:tc>
          <w:tcPr>
            <w:tcW w:w="0" w:type="dxa"/>
            <w:vAlign w:val="bottom"/>
          </w:tcPr>
          <w:p>
            <w:pPr>
              <w:spacing w:after="0"/>
              <w:rPr>
                <w:sz w:val="1"/>
                <w:szCs w:val="1"/>
                <w:color w:val="auto"/>
              </w:rPr>
            </w:pPr>
          </w:p>
        </w:tc>
      </w:tr>
      <w:tr>
        <w:trPr>
          <w:trHeight w:val="237"/>
        </w:trPr>
        <w:tc>
          <w:tcPr>
            <w:tcW w:w="8460" w:type="dxa"/>
            <w:vAlign w:val="bottom"/>
          </w:tcPr>
          <w:p>
            <w:pPr>
              <w:ind w:left="340"/>
              <w:spacing w:after="0"/>
              <w:rPr>
                <w:sz w:val="20"/>
                <w:szCs w:val="20"/>
                <w:color w:val="auto"/>
              </w:rPr>
            </w:pPr>
            <w:r>
              <w:rPr>
                <w:rFonts w:ascii="Arial" w:cs="Arial" w:eastAsia="Arial" w:hAnsi="Arial"/>
                <w:sz w:val="18"/>
                <w:szCs w:val="18"/>
                <w:color w:val="0D0E00"/>
              </w:rPr>
              <w:t>Net cash provided by operating activities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D0E00"/>
              </w:rPr>
              <w:t>29,666</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D0E00"/>
              </w:rPr>
              <w:t>5,515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0D0E00"/>
              </w:rPr>
              <w:t>CASH FLOWS FROM INVESTING ACTIVITIES: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0D0E00"/>
              </w:rPr>
              <w:t>Additions to property, plant and equipment</w:t>
            </w:r>
          </w:p>
        </w:tc>
        <w:tc>
          <w:tcPr>
            <w:tcW w:w="100" w:type="dxa"/>
            <w:vAlign w:val="bottom"/>
            <w:shd w:val="clear" w:color="auto" w:fill="D6F3E8"/>
          </w:tcPr>
          <w:p>
            <w:pPr>
              <w:spacing w:after="0"/>
              <w:rPr>
                <w:sz w:val="21"/>
                <w:szCs w:val="21"/>
                <w:color w:val="auto"/>
              </w:rPr>
            </w:pPr>
          </w:p>
        </w:tc>
        <w:tc>
          <w:tcPr>
            <w:tcW w:w="15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(6,591)</w:t>
            </w:r>
          </w:p>
        </w:tc>
        <w:tc>
          <w:tcPr>
            <w:tcW w:w="30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0D0E00"/>
              </w:rPr>
              <w:t>(10,243)</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0D0E00"/>
              </w:rPr>
              <w:t>Purchases of investments</w:t>
            </w:r>
          </w:p>
        </w:tc>
        <w:tc>
          <w:tcPr>
            <w:tcW w:w="1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0D0E00"/>
              </w:rPr>
              <w:t>(37,320)</w:t>
            </w:r>
          </w:p>
        </w:tc>
        <w:tc>
          <w:tcPr>
            <w:tcW w:w="30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0D0E00"/>
              </w:rPr>
              <w:t>Sale and maturities of investments</w:t>
            </w:r>
          </w:p>
        </w:tc>
        <w:tc>
          <w:tcPr>
            <w:tcW w:w="100" w:type="dxa"/>
            <w:vAlign w:val="bottom"/>
            <w:shd w:val="clear" w:color="auto" w:fill="D6F3E8"/>
          </w:tcPr>
          <w:p>
            <w:pPr>
              <w:spacing w:after="0"/>
              <w:rPr>
                <w:sz w:val="21"/>
                <w:szCs w:val="21"/>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4,000</w:t>
            </w:r>
          </w:p>
        </w:tc>
        <w:tc>
          <w:tcPr>
            <w:tcW w:w="3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0D0E00"/>
              </w:rPr>
              <w:t>1,985</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Borders>
              <w:bottom w:val="single" w:sz="8" w:color="D6F3E8"/>
            </w:tcBorders>
          </w:tcPr>
          <w:p>
            <w:pPr>
              <w:ind w:left="180"/>
              <w:spacing w:after="0"/>
              <w:rPr>
                <w:sz w:val="20"/>
                <w:szCs w:val="20"/>
                <w:color w:val="auto"/>
              </w:rPr>
            </w:pPr>
            <w:r>
              <w:rPr>
                <w:rFonts w:ascii="Arial" w:cs="Arial" w:eastAsia="Arial" w:hAnsi="Arial"/>
                <w:sz w:val="18"/>
                <w:szCs w:val="18"/>
                <w:color w:val="0D0E00"/>
              </w:rPr>
              <w:t>Proceeds from property disposals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D0E00"/>
              </w:rPr>
              <w:t>136</w:t>
            </w:r>
          </w:p>
        </w:tc>
        <w:tc>
          <w:tcPr>
            <w:tcW w:w="320" w:type="dxa"/>
            <w:vAlign w:val="bottom"/>
            <w:tcBorders>
              <w:bottom w:val="single" w:sz="8" w:color="D6F3E8"/>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D0E00"/>
              </w:rPr>
              <w:t>83</w:t>
            </w:r>
          </w:p>
        </w:tc>
        <w:tc>
          <w:tcPr>
            <w:tcW w:w="20" w:type="dxa"/>
            <w:vAlign w:val="bottom"/>
            <w:tcBorders>
              <w:bottom w:val="single" w:sz="8" w:color="D6F3E8"/>
            </w:tcBorders>
          </w:tcPr>
          <w:p>
            <w:pPr>
              <w:spacing w:after="0"/>
              <w:rPr>
                <w:sz w:val="21"/>
                <w:szCs w:val="21"/>
                <w:color w:val="auto"/>
              </w:rPr>
            </w:pPr>
          </w:p>
        </w:tc>
        <w:tc>
          <w:tcPr>
            <w:tcW w:w="8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shd w:val="clear" w:color="auto" w:fill="D6F3E8"/>
          </w:tcPr>
          <w:p>
            <w:pPr>
              <w:ind w:left="340"/>
              <w:spacing w:after="0"/>
              <w:rPr>
                <w:sz w:val="20"/>
                <w:szCs w:val="20"/>
                <w:color w:val="auto"/>
              </w:rPr>
            </w:pPr>
            <w:r>
              <w:rPr>
                <w:rFonts w:ascii="Arial" w:cs="Arial" w:eastAsia="Arial" w:hAnsi="Arial"/>
                <w:sz w:val="18"/>
                <w:szCs w:val="18"/>
                <w:color w:val="0D0E00"/>
              </w:rPr>
              <w:t>Net cash used in investing activities</w:t>
            </w:r>
          </w:p>
        </w:tc>
        <w:tc>
          <w:tcPr>
            <w:tcW w:w="100" w:type="dxa"/>
            <w:vAlign w:val="bottom"/>
            <w:shd w:val="clear" w:color="auto" w:fill="D6F3E8"/>
          </w:tcPr>
          <w:p>
            <w:pPr>
              <w:spacing w:after="0"/>
              <w:rPr>
                <w:sz w:val="20"/>
                <w:szCs w:val="20"/>
                <w:color w:val="auto"/>
              </w:rPr>
            </w:pPr>
          </w:p>
        </w:tc>
        <w:tc>
          <w:tcPr>
            <w:tcW w:w="15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(39,775)</w:t>
            </w:r>
          </w:p>
        </w:tc>
        <w:tc>
          <w:tcPr>
            <w:tcW w:w="300" w:type="dxa"/>
            <w:vAlign w:val="bottom"/>
            <w:shd w:val="clear" w:color="auto" w:fill="D6F3E8"/>
          </w:tcPr>
          <w:p>
            <w:pPr>
              <w:spacing w:after="0"/>
              <w:rPr>
                <w:sz w:val="20"/>
                <w:szCs w:val="20"/>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0D0E00"/>
              </w:rPr>
              <w:t>(8,175)</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0D0E00"/>
              </w:rPr>
              <w:t>CASH FLOWS FROM FINANCING ACTIVITIES: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0D0E00"/>
              </w:rPr>
              <w:t>Cash dividends paid</w:t>
            </w:r>
          </w:p>
        </w:tc>
        <w:tc>
          <w:tcPr>
            <w:tcW w:w="1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0D0E00"/>
              </w:rPr>
              <w:t>(6,573)</w:t>
            </w:r>
          </w:p>
        </w:tc>
        <w:tc>
          <w:tcPr>
            <w:tcW w:w="30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0D0E00"/>
              </w:rPr>
              <w:t>(5,125)</w:t>
            </w:r>
          </w:p>
        </w:tc>
        <w:tc>
          <w:tcPr>
            <w:tcW w:w="0" w:type="dxa"/>
            <w:vAlign w:val="bottom"/>
          </w:tcPr>
          <w:p>
            <w:pPr>
              <w:spacing w:after="0"/>
              <w:rPr>
                <w:sz w:val="1"/>
                <w:szCs w:val="1"/>
                <w:color w:val="auto"/>
              </w:rPr>
            </w:pPr>
          </w:p>
        </w:tc>
      </w:tr>
      <w:tr>
        <w:trPr>
          <w:trHeight w:val="20"/>
        </w:trPr>
        <w:tc>
          <w:tcPr>
            <w:tcW w:w="846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gridSpan w:val="2"/>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D6F3E8"/>
          </w:tcPr>
          <w:p>
            <w:pPr>
              <w:ind w:left="340"/>
              <w:spacing w:after="0"/>
              <w:rPr>
                <w:sz w:val="20"/>
                <w:szCs w:val="20"/>
                <w:color w:val="auto"/>
              </w:rPr>
            </w:pPr>
            <w:r>
              <w:rPr>
                <w:rFonts w:ascii="Arial" w:cs="Arial" w:eastAsia="Arial" w:hAnsi="Arial"/>
                <w:sz w:val="18"/>
                <w:szCs w:val="18"/>
                <w:color w:val="0D0E00"/>
              </w:rPr>
              <w:t>Net cash used in financing activities</w:t>
            </w:r>
          </w:p>
        </w:tc>
        <w:tc>
          <w:tcPr>
            <w:tcW w:w="100" w:type="dxa"/>
            <w:vAlign w:val="bottom"/>
            <w:shd w:val="clear" w:color="auto" w:fill="D6F3E8"/>
          </w:tcPr>
          <w:p>
            <w:pPr>
              <w:spacing w:after="0"/>
              <w:rPr>
                <w:sz w:val="20"/>
                <w:szCs w:val="20"/>
                <w:color w:val="auto"/>
              </w:rPr>
            </w:pPr>
          </w:p>
        </w:tc>
        <w:tc>
          <w:tcPr>
            <w:tcW w:w="15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(6,573)</w:t>
            </w:r>
          </w:p>
        </w:tc>
        <w:tc>
          <w:tcPr>
            <w:tcW w:w="300" w:type="dxa"/>
            <w:vAlign w:val="bottom"/>
            <w:shd w:val="clear" w:color="auto" w:fill="D6F3E8"/>
          </w:tcPr>
          <w:p>
            <w:pPr>
              <w:spacing w:after="0"/>
              <w:rPr>
                <w:sz w:val="20"/>
                <w:szCs w:val="20"/>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0D0E00"/>
              </w:rPr>
              <w:t>(5,125)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460" w:type="dxa"/>
            <w:vAlign w:val="bottom"/>
          </w:tcPr>
          <w:p>
            <w:pPr>
              <w:spacing w:after="0"/>
              <w:rPr>
                <w:sz w:val="20"/>
                <w:szCs w:val="20"/>
                <w:color w:val="auto"/>
              </w:rPr>
            </w:pPr>
            <w:r>
              <w:rPr>
                <w:rFonts w:ascii="Arial" w:cs="Arial" w:eastAsia="Arial" w:hAnsi="Arial"/>
                <w:sz w:val="18"/>
                <w:szCs w:val="18"/>
                <w:color w:val="0D0E00"/>
              </w:rPr>
              <w:t>NET DECREASE IN CASH AND CASH EQUIVALENTS</w:t>
            </w:r>
          </w:p>
        </w:tc>
        <w:tc>
          <w:tcPr>
            <w:tcW w:w="10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0D0E00"/>
              </w:rPr>
              <w:t>(16,682)</w:t>
            </w:r>
          </w:p>
        </w:tc>
        <w:tc>
          <w:tcPr>
            <w:tcW w:w="30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0D0E00"/>
              </w:rPr>
              <w:t>(7,785)</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0D0E00"/>
              </w:rPr>
              <w:t>CASH AND CASH EQUIVALENTS, BEGINNING OF PERIOD</w:t>
            </w:r>
          </w:p>
        </w:tc>
        <w:tc>
          <w:tcPr>
            <w:tcW w:w="100" w:type="dxa"/>
            <w:vAlign w:val="bottom"/>
            <w:tcBorders>
              <w:bottom w:val="single" w:sz="8" w:color="auto"/>
            </w:tcBorders>
            <w:shd w:val="clear" w:color="auto" w:fill="D6F3E8"/>
          </w:tcPr>
          <w:p>
            <w:pPr>
              <w:spacing w:after="0"/>
              <w:rPr>
                <w:sz w:val="21"/>
                <w:szCs w:val="21"/>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29,536</w:t>
            </w:r>
          </w:p>
        </w:tc>
        <w:tc>
          <w:tcPr>
            <w:tcW w:w="320" w:type="dxa"/>
            <w:vAlign w:val="bottom"/>
            <w:shd w:val="clear" w:color="auto" w:fill="D6F3E8"/>
          </w:tcPr>
          <w:p>
            <w:pPr>
              <w:spacing w:after="0"/>
              <w:rPr>
                <w:sz w:val="21"/>
                <w:szCs w:val="21"/>
                <w:color w:val="auto"/>
              </w:rPr>
            </w:pPr>
          </w:p>
        </w:tc>
        <w:tc>
          <w:tcPr>
            <w:tcW w:w="30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21,509</w:t>
            </w:r>
          </w:p>
        </w:tc>
        <w:tc>
          <w:tcPr>
            <w:tcW w:w="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8460" w:type="dxa"/>
            <w:vAlign w:val="bottom"/>
          </w:tcPr>
          <w:p>
            <w:pPr>
              <w:spacing w:after="0"/>
              <w:rPr>
                <w:sz w:val="20"/>
                <w:szCs w:val="20"/>
                <w:color w:val="auto"/>
              </w:rPr>
            </w:pPr>
            <w:r>
              <w:rPr>
                <w:rFonts w:ascii="Arial" w:cs="Arial" w:eastAsia="Arial" w:hAnsi="Arial"/>
                <w:sz w:val="18"/>
                <w:szCs w:val="18"/>
                <w:color w:val="0D0E00"/>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0D0E00"/>
                <w:w w:val="79"/>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0D0E00"/>
              </w:rPr>
              <w:t>12,854</w:t>
            </w:r>
          </w:p>
        </w:tc>
        <w:tc>
          <w:tcPr>
            <w:tcW w:w="300" w:type="dxa"/>
            <w:vAlign w:val="bottom"/>
          </w:tcPr>
          <w:p>
            <w:pPr>
              <w:jc w:val="right"/>
              <w:ind w:right="110"/>
              <w:spacing w:after="0"/>
              <w:rPr>
                <w:sz w:val="20"/>
                <w:szCs w:val="20"/>
                <w:color w:val="auto"/>
              </w:rPr>
            </w:pPr>
            <w:r>
              <w:rPr>
                <w:rFonts w:ascii="Arial" w:cs="Arial" w:eastAsia="Arial" w:hAnsi="Arial"/>
                <w:sz w:val="18"/>
                <w:szCs w:val="18"/>
                <w:color w:val="0D0E00"/>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0D0E00"/>
              </w:rPr>
              <w:t>13,724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0D0E00"/>
              </w:rPr>
              <w:t>SUPPLEMENTAL DISCLOSURES OF CASH FLOW INFORMATION:</w:t>
            </w: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D6F3E8"/>
            </w:tcBorders>
            <w:shd w:val="clear" w:color="auto" w:fill="D6F3E8"/>
          </w:tcPr>
          <w:p>
            <w:pPr>
              <w:ind w:left="180"/>
              <w:spacing w:after="0"/>
              <w:rPr>
                <w:sz w:val="20"/>
                <w:szCs w:val="20"/>
                <w:color w:val="auto"/>
              </w:rPr>
            </w:pPr>
            <w:r>
              <w:rPr>
                <w:rFonts w:ascii="Arial" w:cs="Arial" w:eastAsia="Arial" w:hAnsi="Arial"/>
                <w:sz w:val="18"/>
                <w:szCs w:val="18"/>
                <w:color w:val="0D0E00"/>
              </w:rPr>
              <w:t>Cash paid for income taxes</w:t>
            </w: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9,439</w:t>
            </w:r>
          </w:p>
        </w:tc>
        <w:tc>
          <w:tcPr>
            <w:tcW w:w="32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bottom w:val="single" w:sz="8" w:color="auto"/>
            </w:tcBorders>
            <w:shd w:val="clear" w:color="auto" w:fill="D6F3E8"/>
          </w:tcPr>
          <w:p>
            <w:pPr>
              <w:jc w:val="right"/>
              <w:ind w:right="110"/>
              <w:spacing w:after="0"/>
              <w:rPr>
                <w:sz w:val="20"/>
                <w:szCs w:val="20"/>
                <w:color w:val="auto"/>
              </w:rPr>
            </w:pPr>
            <w:r>
              <w:rPr>
                <w:rFonts w:ascii="Arial" w:cs="Arial" w:eastAsia="Arial" w:hAnsi="Arial"/>
                <w:sz w:val="18"/>
                <w:szCs w:val="18"/>
                <w:color w:val="0D0E00"/>
                <w:w w:val="79"/>
              </w:rPr>
              <w:t>$</w:t>
            </w: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8,674</w:t>
            </w:r>
          </w:p>
        </w:tc>
        <w:tc>
          <w:tcPr>
            <w:tcW w:w="20" w:type="dxa"/>
            <w:vAlign w:val="bottom"/>
            <w:tcBorders>
              <w:bottom w:val="single" w:sz="8" w:color="D6F3E8"/>
            </w:tcBorders>
            <w:shd w:val="clear" w:color="auto" w:fill="D6F3E8"/>
          </w:tcPr>
          <w:p>
            <w:pPr>
              <w:spacing w:after="0"/>
              <w:rPr>
                <w:sz w:val="21"/>
                <w:szCs w:val="21"/>
                <w:color w:val="auto"/>
              </w:rPr>
            </w:pPr>
          </w:p>
        </w:tc>
        <w:tc>
          <w:tcPr>
            <w:tcW w:w="8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0D0E00"/>
              </w:rPr>
              <w:t>Noncash investing activities-</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0D0E00"/>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0D0E00"/>
              </w:rPr>
              <w:t>—</w:t>
            </w:r>
          </w:p>
        </w:tc>
        <w:tc>
          <w:tcPr>
            <w:tcW w:w="320" w:type="dxa"/>
            <w:vAlign w:val="bottom"/>
            <w:vMerge w:val="restart"/>
          </w:tcPr>
          <w:p>
            <w:pPr>
              <w:spacing w:after="0"/>
              <w:rPr>
                <w:sz w:val="20"/>
                <w:szCs w:val="20"/>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0D0E00"/>
                <w:w w:val="79"/>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D0E00"/>
              </w:rPr>
              <w:t>1,760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60" w:type="dxa"/>
            <w:vAlign w:val="bottom"/>
          </w:tcPr>
          <w:p>
            <w:pPr>
              <w:ind w:left="340"/>
              <w:spacing w:after="0"/>
              <w:rPr>
                <w:sz w:val="20"/>
                <w:szCs w:val="20"/>
                <w:color w:val="auto"/>
              </w:rPr>
            </w:pPr>
            <w:r>
              <w:rPr>
                <w:rFonts w:ascii="Arial" w:cs="Arial" w:eastAsia="Arial" w:hAnsi="Arial"/>
                <w:sz w:val="18"/>
                <w:szCs w:val="18"/>
                <w:color w:val="0D0E00"/>
              </w:rPr>
              <w:t>Capital expenditures in accounts payable</w:t>
            </w:r>
          </w:p>
        </w:tc>
        <w:tc>
          <w:tcPr>
            <w:tcW w:w="1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D0E00"/>
        </w:rPr>
        <w:t>See accompanying notes to condensed financial statements –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NOTES TO CONDENSED FINANCIAL STATEMENTS – UNAUDITED</w:t>
      </w:r>
    </w:p>
    <w:p>
      <w:pPr>
        <w:spacing w:after="0" w:line="234" w:lineRule="exact"/>
        <w:rPr>
          <w:sz w:val="20"/>
          <w:szCs w:val="20"/>
          <w:color w:val="auto"/>
        </w:rPr>
      </w:pPr>
    </w:p>
    <w:p>
      <w:pPr>
        <w:ind w:left="500" w:hanging="492"/>
        <w:spacing w:after="0" w:line="295" w:lineRule="auto"/>
        <w:tabs>
          <w:tab w:leader="none" w:pos="554" w:val="left"/>
        </w:tabs>
        <w:numPr>
          <w:ilvl w:val="0"/>
          <w:numId w:val="1"/>
        </w:numPr>
        <w:rPr>
          <w:rFonts w:ascii="Arial" w:cs="Arial" w:eastAsia="Arial" w:hAnsi="Arial"/>
          <w:sz w:val="16"/>
          <w:szCs w:val="16"/>
          <w:color w:val="0D0E00"/>
        </w:rPr>
      </w:pPr>
      <w:r>
        <w:rPr>
          <w:rFonts w:ascii="Arial" w:cs="Arial" w:eastAsia="Arial" w:hAnsi="Arial"/>
          <w:sz w:val="16"/>
          <w:szCs w:val="16"/>
          <w:b w:val="1"/>
          <w:bCs w:val="1"/>
          <w:color w:val="0D0E00"/>
        </w:rPr>
        <w:t xml:space="preserve">Accounting Policies - </w:t>
      </w:r>
      <w:r>
        <w:rPr>
          <w:rFonts w:ascii="Arial" w:cs="Arial" w:eastAsia="Arial" w:hAnsi="Arial"/>
          <w:sz w:val="16"/>
          <w:szCs w:val="16"/>
          <w:color w:val="0D0E00"/>
        </w:rPr>
        <w:t>The accompanying unaudited condensed financial statements have been prepared in accordance with the instructions for Form</w:t>
      </w:r>
      <w:r>
        <w:rPr>
          <w:rFonts w:ascii="Arial" w:cs="Arial" w:eastAsia="Arial" w:hAnsi="Arial"/>
          <w:sz w:val="16"/>
          <w:szCs w:val="16"/>
          <w:b w:val="1"/>
          <w:bCs w:val="1"/>
          <w:color w:val="0D0E00"/>
        </w:rPr>
        <w:t xml:space="preserve"> </w:t>
      </w:r>
      <w:r>
        <w:rPr>
          <w:rFonts w:ascii="Arial" w:cs="Arial" w:eastAsia="Arial" w:hAnsi="Arial"/>
          <w:sz w:val="16"/>
          <w:szCs w:val="16"/>
          <w:color w:val="0D0E00"/>
        </w:rPr>
        <w:t>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March 29, 2009 (“fiscal 2009”), filed with the Securities and Exchange Commission (SEC). In our opinion, the accompanying unaudited condensed financial statements c ontain all adjustments necessary to present fairly our financial position and the results of our operations and cash flows for the periods presented. All adjustments made to the interim financial statements were of a normal recurring nature.</w:t>
      </w:r>
    </w:p>
    <w:p>
      <w:pPr>
        <w:spacing w:after="0" w:line="187"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0D0E00"/>
        </w:rPr>
        <w:t>The accounting policies we follow are set forth in Note 1 to our financial statements in our Annual Report on Form 10-K for fiscal 2009 filed with the SEC, on June 5, 2009.</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The results of operations for the period ended December 31, 2009 are not necessarily indicative of the results that may be expected for the full year.</w:t>
      </w:r>
    </w:p>
    <w:p>
      <w:pPr>
        <w:spacing w:after="0" w:line="275" w:lineRule="exact"/>
        <w:rPr>
          <w:sz w:val="20"/>
          <w:szCs w:val="20"/>
          <w:color w:val="auto"/>
        </w:rPr>
      </w:pPr>
    </w:p>
    <w:p>
      <w:pPr>
        <w:jc w:val="both"/>
        <w:ind w:left="500" w:right="60"/>
        <w:spacing w:after="0" w:line="264" w:lineRule="auto"/>
        <w:rPr>
          <w:sz w:val="20"/>
          <w:szCs w:val="20"/>
          <w:color w:val="auto"/>
        </w:rPr>
      </w:pPr>
      <w:r>
        <w:rPr>
          <w:rFonts w:ascii="Arial" w:cs="Arial" w:eastAsia="Arial" w:hAnsi="Arial"/>
          <w:sz w:val="18"/>
          <w:szCs w:val="18"/>
          <w:color w:val="auto"/>
        </w:rPr>
        <w:t>In preparing the accompanying unaudited condensed financial statements, we evaluated the period from December 31, 2009 through January 28, 2010, the date the financial statements herein were available to be issued, for material subsequent events requiring recognition or disclosure. No such events were identified for this period.</w:t>
      </w:r>
    </w:p>
    <w:p>
      <w:pPr>
        <w:spacing w:after="0" w:line="204" w:lineRule="exact"/>
        <w:rPr>
          <w:sz w:val="20"/>
          <w:szCs w:val="20"/>
          <w:color w:val="auto"/>
        </w:rPr>
      </w:pPr>
    </w:p>
    <w:p>
      <w:pPr>
        <w:ind w:left="500" w:right="280" w:hanging="492"/>
        <w:spacing w:after="0" w:line="282" w:lineRule="auto"/>
        <w:tabs>
          <w:tab w:leader="none" w:pos="554" w:val="left"/>
        </w:tabs>
        <w:numPr>
          <w:ilvl w:val="0"/>
          <w:numId w:val="2"/>
        </w:numPr>
        <w:rPr>
          <w:rFonts w:ascii="Arial" w:cs="Arial" w:eastAsia="Arial" w:hAnsi="Arial"/>
          <w:sz w:val="18"/>
          <w:szCs w:val="18"/>
          <w:color w:val="0D0E00"/>
        </w:rPr>
      </w:pPr>
      <w:r>
        <w:rPr>
          <w:rFonts w:ascii="Arial" w:cs="Arial" w:eastAsia="Arial" w:hAnsi="Arial"/>
          <w:sz w:val="18"/>
          <w:szCs w:val="18"/>
          <w:b w:val="1"/>
          <w:bCs w:val="1"/>
          <w:color w:val="0D0E00"/>
        </w:rPr>
        <w:t xml:space="preserve">New Accounting Pronouncements - </w:t>
      </w:r>
      <w:r>
        <w:rPr>
          <w:rFonts w:ascii="Arial" w:cs="Arial" w:eastAsia="Arial" w:hAnsi="Arial"/>
          <w:sz w:val="18"/>
          <w:szCs w:val="18"/>
          <w:color w:val="0D0E00"/>
        </w:rPr>
        <w:t>No new accounting pronouncement issued or effective during the nine months ended December 31, 2009 has</w:t>
      </w:r>
      <w:r>
        <w:rPr>
          <w:rFonts w:ascii="Arial" w:cs="Arial" w:eastAsia="Arial" w:hAnsi="Arial"/>
          <w:sz w:val="18"/>
          <w:szCs w:val="18"/>
          <w:b w:val="1"/>
          <w:bCs w:val="1"/>
          <w:color w:val="0D0E00"/>
        </w:rPr>
        <w:t xml:space="preserve"> </w:t>
      </w:r>
      <w:r>
        <w:rPr>
          <w:rFonts w:ascii="Arial" w:cs="Arial" w:eastAsia="Arial" w:hAnsi="Arial"/>
          <w:sz w:val="18"/>
          <w:szCs w:val="18"/>
          <w:color w:val="0D0E00"/>
        </w:rPr>
        <w:t>had or is expected to have a material impact on our condensed financial statements.</w:t>
      </w:r>
    </w:p>
    <w:p>
      <w:pPr>
        <w:spacing w:after="0" w:line="188" w:lineRule="exact"/>
        <w:rPr>
          <w:rFonts w:ascii="Arial" w:cs="Arial" w:eastAsia="Arial" w:hAnsi="Arial"/>
          <w:sz w:val="18"/>
          <w:szCs w:val="18"/>
          <w:color w:val="0D0E00"/>
        </w:rPr>
      </w:pPr>
    </w:p>
    <w:p>
      <w:pPr>
        <w:ind w:left="500" w:right="160" w:hanging="492"/>
        <w:spacing w:after="0" w:line="289" w:lineRule="auto"/>
        <w:tabs>
          <w:tab w:leader="none" w:pos="554"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Earnings Per Share (EPS) - </w:t>
      </w:r>
      <w:r>
        <w:rPr>
          <w:rFonts w:ascii="Arial" w:cs="Arial" w:eastAsia="Arial" w:hAnsi="Arial"/>
          <w:sz w:val="17"/>
          <w:szCs w:val="17"/>
          <w:color w:val="auto"/>
        </w:rPr>
        <w:t>Basic EPS are computed by dividing net earnings by the weighted-average number of common shares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6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020" w:type="dxa"/>
            <w:vAlign w:val="bottom"/>
            <w:gridSpan w:val="4"/>
          </w:tcPr>
          <w:p>
            <w:pPr>
              <w:ind w:left="500"/>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D6F3E8"/>
            </w:tcBorders>
          </w:tcPr>
          <w:p>
            <w:pPr>
              <w:spacing w:after="0"/>
              <w:rPr>
                <w:sz w:val="19"/>
                <w:szCs w:val="19"/>
                <w:color w:val="auto"/>
              </w:rPr>
            </w:pPr>
          </w:p>
        </w:tc>
        <w:tc>
          <w:tcPr>
            <w:tcW w:w="8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D6F3E8"/>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D6F3E8"/>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bottom w:val="single" w:sz="8" w:color="D6F3E8"/>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82"/>
        </w:trPr>
        <w:tc>
          <w:tcPr>
            <w:tcW w:w="3000" w:type="dxa"/>
            <w:vAlign w:val="bottom"/>
            <w:shd w:val="clear" w:color="auto" w:fill="D6F3E8"/>
          </w:tcPr>
          <w:p>
            <w:pPr>
              <w:spacing w:after="0" w:line="182" w:lineRule="exact"/>
              <w:rPr>
                <w:sz w:val="20"/>
                <w:szCs w:val="20"/>
                <w:color w:val="auto"/>
              </w:rPr>
            </w:pPr>
            <w:r>
              <w:rPr>
                <w:rFonts w:ascii="Arial" w:cs="Arial" w:eastAsia="Arial" w:hAnsi="Arial"/>
                <w:sz w:val="18"/>
                <w:szCs w:val="18"/>
                <w:color w:val="auto"/>
              </w:rPr>
              <w:t>Weighted average common shares</w:t>
            </w:r>
          </w:p>
        </w:tc>
        <w:tc>
          <w:tcPr>
            <w:tcW w:w="800" w:type="dxa"/>
            <w:vAlign w:val="bottom"/>
            <w:shd w:val="clear" w:color="auto" w:fill="D6F3E8"/>
          </w:tcPr>
          <w:p>
            <w:pPr>
              <w:spacing w:after="0"/>
              <w:rPr>
                <w:sz w:val="15"/>
                <w:szCs w:val="15"/>
                <w:color w:val="auto"/>
              </w:rPr>
            </w:pPr>
          </w:p>
        </w:tc>
        <w:tc>
          <w:tcPr>
            <w:tcW w:w="200" w:type="dxa"/>
            <w:vAlign w:val="bottom"/>
            <w:shd w:val="clear" w:color="auto" w:fill="D6F3E8"/>
          </w:tcPr>
          <w:p>
            <w:pPr>
              <w:spacing w:after="0"/>
              <w:rPr>
                <w:sz w:val="15"/>
                <w:szCs w:val="15"/>
                <w:color w:val="auto"/>
              </w:rPr>
            </w:pPr>
          </w:p>
        </w:tc>
        <w:tc>
          <w:tcPr>
            <w:tcW w:w="820" w:type="dxa"/>
            <w:vAlign w:val="bottom"/>
            <w:shd w:val="clear" w:color="auto" w:fill="D6F3E8"/>
          </w:tcPr>
          <w:p>
            <w:pPr>
              <w:spacing w:after="0"/>
              <w:rPr>
                <w:sz w:val="15"/>
                <w:szCs w:val="15"/>
                <w:color w:val="auto"/>
              </w:rPr>
            </w:pPr>
          </w:p>
        </w:tc>
        <w:tc>
          <w:tcPr>
            <w:tcW w:w="200" w:type="dxa"/>
            <w:vAlign w:val="bottom"/>
            <w:shd w:val="clear" w:color="auto" w:fill="D6F3E8"/>
          </w:tcPr>
          <w:p>
            <w:pPr>
              <w:spacing w:after="0"/>
              <w:rPr>
                <w:sz w:val="15"/>
                <w:szCs w:val="15"/>
                <w:color w:val="auto"/>
              </w:rPr>
            </w:pPr>
          </w:p>
        </w:tc>
        <w:tc>
          <w:tcPr>
            <w:tcW w:w="80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800" w:type="dxa"/>
            <w:vAlign w:val="bottom"/>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D6F3E8"/>
          </w:tcPr>
          <w:p>
            <w:pPr>
              <w:spacing w:after="0"/>
              <w:rPr>
                <w:sz w:val="20"/>
                <w:szCs w:val="20"/>
                <w:color w:val="auto"/>
              </w:rPr>
            </w:pPr>
            <w:r>
              <w:rPr>
                <w:rFonts w:ascii="Arial" w:cs="Arial" w:eastAsia="Arial" w:hAnsi="Arial"/>
                <w:sz w:val="18"/>
                <w:szCs w:val="18"/>
                <w:color w:val="auto"/>
              </w:rPr>
              <w:t>outstanding - basic</w:t>
            </w: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86"/>
              </w:rPr>
              <w:t>10,253,458</w:t>
            </w:r>
          </w:p>
        </w:tc>
        <w:tc>
          <w:tcPr>
            <w:tcW w:w="10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88"/>
              </w:rPr>
              <w:t>10,246,458</w:t>
            </w:r>
          </w:p>
        </w:tc>
        <w:tc>
          <w:tcPr>
            <w:tcW w:w="10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86"/>
              </w:rPr>
              <w:t>10,250,198</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6"/>
              </w:rPr>
              <w:t>10,243,174</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Dilutive impact of stock options,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w w:val="96"/>
              </w:rPr>
              <w:t>performance units, and restricted stock</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29,748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4,316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29,219</w:t>
            </w:r>
          </w:p>
        </w:tc>
        <w:tc>
          <w:tcPr>
            <w:tcW w:w="800" w:type="dxa"/>
            <w:vAlign w:val="bottom"/>
          </w:tcPr>
          <w:p>
            <w:pPr>
              <w:jc w:val="right"/>
              <w:spacing w:after="0"/>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D6F3E8"/>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vMerge w:val="continue"/>
            <w:shd w:val="clear" w:color="auto" w:fill="D6F3E8"/>
          </w:tcPr>
          <w:p>
            <w:pPr>
              <w:spacing w:after="0"/>
              <w:rPr>
                <w:sz w:val="15"/>
                <w:szCs w:val="15"/>
                <w:color w:val="auto"/>
              </w:rPr>
            </w:pPr>
          </w:p>
        </w:tc>
        <w:tc>
          <w:tcPr>
            <w:tcW w:w="1000" w:type="dxa"/>
            <w:vAlign w:val="bottom"/>
            <w:gridSpan w:val="2"/>
            <w:vMerge w:val="restart"/>
            <w:shd w:val="clear" w:color="auto" w:fill="D6F3E8"/>
          </w:tcPr>
          <w:p>
            <w:pPr>
              <w:jc w:val="right"/>
              <w:ind w:right="200"/>
              <w:spacing w:after="0"/>
              <w:rPr>
                <w:sz w:val="20"/>
                <w:szCs w:val="20"/>
                <w:color w:val="auto"/>
              </w:rPr>
            </w:pPr>
            <w:r>
              <w:rPr>
                <w:rFonts w:ascii="Arial" w:cs="Arial" w:eastAsia="Arial" w:hAnsi="Arial"/>
                <w:sz w:val="18"/>
                <w:szCs w:val="18"/>
                <w:color w:val="auto"/>
                <w:w w:val="86"/>
              </w:rPr>
              <w:t>10,283,206</w:t>
            </w:r>
          </w:p>
        </w:tc>
        <w:tc>
          <w:tcPr>
            <w:tcW w:w="1020" w:type="dxa"/>
            <w:vAlign w:val="bottom"/>
            <w:gridSpan w:val="2"/>
            <w:vMerge w:val="restart"/>
            <w:shd w:val="clear" w:color="auto" w:fill="D6F3E8"/>
          </w:tcPr>
          <w:p>
            <w:pPr>
              <w:jc w:val="right"/>
              <w:ind w:right="200"/>
              <w:spacing w:after="0"/>
              <w:rPr>
                <w:sz w:val="20"/>
                <w:szCs w:val="20"/>
                <w:color w:val="auto"/>
              </w:rPr>
            </w:pPr>
            <w:r>
              <w:rPr>
                <w:rFonts w:ascii="Arial" w:cs="Arial" w:eastAsia="Arial" w:hAnsi="Arial"/>
                <w:sz w:val="18"/>
                <w:szCs w:val="18"/>
                <w:color w:val="auto"/>
                <w:w w:val="88"/>
              </w:rPr>
              <w:t>10,250,774</w:t>
            </w:r>
          </w:p>
        </w:tc>
        <w:tc>
          <w:tcPr>
            <w:tcW w:w="1020" w:type="dxa"/>
            <w:vAlign w:val="bottom"/>
            <w:gridSpan w:val="2"/>
            <w:vMerge w:val="restart"/>
            <w:shd w:val="clear" w:color="auto" w:fill="D6F3E8"/>
          </w:tcPr>
          <w:p>
            <w:pPr>
              <w:jc w:val="right"/>
              <w:ind w:right="220"/>
              <w:spacing w:after="0"/>
              <w:rPr>
                <w:sz w:val="20"/>
                <w:szCs w:val="20"/>
                <w:color w:val="auto"/>
              </w:rPr>
            </w:pPr>
            <w:r>
              <w:rPr>
                <w:rFonts w:ascii="Arial" w:cs="Arial" w:eastAsia="Arial" w:hAnsi="Arial"/>
                <w:sz w:val="18"/>
                <w:szCs w:val="18"/>
                <w:color w:val="auto"/>
                <w:w w:val="86"/>
              </w:rPr>
              <w:t>10,279,417</w:t>
            </w:r>
          </w:p>
        </w:tc>
        <w:tc>
          <w:tcPr>
            <w:tcW w:w="8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w w:val="86"/>
              </w:rPr>
              <w:t>10,256,540</w:t>
            </w:r>
          </w:p>
        </w:tc>
        <w:tc>
          <w:tcPr>
            <w:tcW w:w="0" w:type="dxa"/>
            <w:vAlign w:val="bottom"/>
          </w:tcPr>
          <w:p>
            <w:pPr>
              <w:spacing w:after="0"/>
              <w:rPr>
                <w:sz w:val="1"/>
                <w:szCs w:val="1"/>
                <w:color w:val="auto"/>
              </w:rPr>
            </w:pPr>
          </w:p>
        </w:tc>
      </w:tr>
      <w:tr>
        <w:trPr>
          <w:trHeight w:val="217"/>
        </w:trPr>
        <w:tc>
          <w:tcPr>
            <w:tcW w:w="3000" w:type="dxa"/>
            <w:vAlign w:val="bottom"/>
            <w:shd w:val="clear" w:color="auto" w:fill="D6F3E8"/>
          </w:tcPr>
          <w:p>
            <w:pPr>
              <w:spacing w:after="0"/>
              <w:rPr>
                <w:sz w:val="20"/>
                <w:szCs w:val="20"/>
                <w:color w:val="auto"/>
              </w:rPr>
            </w:pPr>
            <w:r>
              <w:rPr>
                <w:rFonts w:ascii="Arial" w:cs="Arial" w:eastAsia="Arial" w:hAnsi="Arial"/>
                <w:sz w:val="18"/>
                <w:szCs w:val="18"/>
                <w:color w:val="auto"/>
              </w:rPr>
              <w:t>outstanding - diluted</w:t>
            </w:r>
          </w:p>
        </w:tc>
        <w:tc>
          <w:tcPr>
            <w:tcW w:w="1000" w:type="dxa"/>
            <w:vAlign w:val="bottom"/>
            <w:gridSpan w:val="2"/>
            <w:vMerge w:val="continue"/>
            <w:shd w:val="clear" w:color="auto" w:fill="D6F3E8"/>
          </w:tcPr>
          <w:p>
            <w:pPr>
              <w:spacing w:after="0"/>
              <w:rPr>
                <w:sz w:val="18"/>
                <w:szCs w:val="18"/>
                <w:color w:val="auto"/>
              </w:rPr>
            </w:pPr>
          </w:p>
        </w:tc>
        <w:tc>
          <w:tcPr>
            <w:tcW w:w="1020" w:type="dxa"/>
            <w:vAlign w:val="bottom"/>
            <w:gridSpan w:val="2"/>
            <w:vMerge w:val="continue"/>
            <w:shd w:val="clear" w:color="auto" w:fill="D6F3E8"/>
          </w:tcPr>
          <w:p>
            <w:pPr>
              <w:spacing w:after="0"/>
              <w:rPr>
                <w:sz w:val="18"/>
                <w:szCs w:val="18"/>
                <w:color w:val="auto"/>
              </w:rPr>
            </w:pPr>
          </w:p>
        </w:tc>
        <w:tc>
          <w:tcPr>
            <w:tcW w:w="1020" w:type="dxa"/>
            <w:vAlign w:val="bottom"/>
            <w:gridSpan w:val="2"/>
            <w:vMerge w:val="continue"/>
            <w:shd w:val="clear" w:color="auto" w:fill="D6F3E8"/>
          </w:tcPr>
          <w:p>
            <w:pPr>
              <w:spacing w:after="0"/>
              <w:rPr>
                <w:sz w:val="18"/>
                <w:szCs w:val="18"/>
                <w:color w:val="auto"/>
              </w:rPr>
            </w:pPr>
          </w:p>
        </w:tc>
        <w:tc>
          <w:tcPr>
            <w:tcW w:w="800" w:type="dxa"/>
            <w:vAlign w:val="bottom"/>
            <w:vMerge w:val="continue"/>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shd w:val="clear" w:color="auto" w:fill="D6F3E8"/>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D6F3E8"/>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D6F3E8"/>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D6F3E8"/>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color w:val="auto"/>
        </w:rPr>
        <w:t>For the three and nine months ended December 31, 2009, 70,665 stock options were excluded from the calculation of weighted average shares for diluted EPS because their effects were antidilutive. For the three and nine months ended December 31, 2008, 61,332 stock options were excluded from the calculation of weighted average shares for diluted EPS because their effects were antidilutive.</w:t>
      </w:r>
    </w:p>
    <w:p>
      <w:pPr>
        <w:spacing w:after="0" w:line="218" w:lineRule="exact"/>
        <w:rPr>
          <w:sz w:val="20"/>
          <w:szCs w:val="20"/>
          <w:color w:val="auto"/>
        </w:rPr>
      </w:pPr>
    </w:p>
    <w:p>
      <w:pPr>
        <w:ind w:left="500" w:right="20" w:hanging="492"/>
        <w:spacing w:after="0" w:line="272" w:lineRule="auto"/>
        <w:tabs>
          <w:tab w:leader="none" w:pos="644" w:val="left"/>
        </w:tabs>
        <w:numPr>
          <w:ilvl w:val="0"/>
          <w:numId w:val="3"/>
        </w:numPr>
        <w:rPr>
          <w:rFonts w:ascii="Arial" w:cs="Arial" w:eastAsia="Arial" w:hAnsi="Arial"/>
          <w:sz w:val="17"/>
          <w:szCs w:val="17"/>
          <w:color w:val="0D0E00"/>
        </w:rPr>
      </w:pPr>
      <w:r>
        <w:rPr>
          <w:rFonts w:ascii="Arial" w:cs="Arial" w:eastAsia="Arial" w:hAnsi="Arial"/>
          <w:sz w:val="17"/>
          <w:szCs w:val="17"/>
          <w:b w:val="1"/>
          <w:bCs w:val="1"/>
          <w:color w:val="0D0E00"/>
        </w:rPr>
        <w:t xml:space="preserve">Discontinued Operations - </w:t>
      </w:r>
      <w:r>
        <w:rPr>
          <w:rFonts w:ascii="Arial" w:cs="Arial" w:eastAsia="Arial" w:hAnsi="Arial"/>
          <w:sz w:val="17"/>
          <w:szCs w:val="17"/>
          <w:color w:val="0D0E00"/>
        </w:rPr>
        <w:t>In February 2009, we entered into two agreements whereby we agreed to sell our inventory and enter into a marketing</w:t>
      </w:r>
      <w:r>
        <w:rPr>
          <w:rFonts w:ascii="Arial" w:cs="Arial" w:eastAsia="Arial" w:hAnsi="Arial"/>
          <w:sz w:val="17"/>
          <w:szCs w:val="17"/>
          <w:b w:val="1"/>
          <w:bCs w:val="1"/>
          <w:color w:val="0D0E00"/>
        </w:rPr>
        <w:t xml:space="preserve"> </w:t>
      </w:r>
      <w:r>
        <w:rPr>
          <w:rFonts w:ascii="Arial" w:cs="Arial" w:eastAsia="Arial" w:hAnsi="Arial"/>
          <w:sz w:val="17"/>
          <w:szCs w:val="17"/>
          <w:color w:val="0D0E00"/>
        </w:rPr>
        <w:t>relationship regarding the business of our Pharmaceutical segment, which provided pharmaceutical chemicals to retail pharmacies and small-scale pharmaceutical manufacturers. On May 22, 2009 the majority of the inventory was sold for cash. We sold the inventory for approximately $1,800,000, which app roximated its carrying value. The agreements provide for annual payments based on a percentage of gross profit on future sales up to a maximum of approximately $3,600,000. We have no significant obligations to fulfill under the agreements. Amounts received in the future in excess of approximately $1,800,000, the carrying value of our customer list and other assets, will be recorded as a gain on sale of discontinued operations in future periods. The results of the Pharmaceutical segment have been reported as discontinued operations for all periods presented. The Pharmaceutical segment inventories as of March 29, 2009 were classified as held for sale.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00" w:hanging="492"/>
        <w:spacing w:after="0" w:line="292" w:lineRule="auto"/>
        <w:tabs>
          <w:tab w:leader="none" w:pos="554" w:val="left"/>
        </w:tabs>
        <w:numPr>
          <w:ilvl w:val="0"/>
          <w:numId w:val="4"/>
        </w:numPr>
        <w:rPr>
          <w:rFonts w:ascii="Arial" w:cs="Arial" w:eastAsia="Arial" w:hAnsi="Arial"/>
          <w:sz w:val="16"/>
          <w:szCs w:val="16"/>
          <w:color w:val="0D0E00"/>
        </w:rPr>
      </w:pPr>
      <w:r>
        <w:rPr>
          <w:rFonts w:ascii="Arial" w:cs="Arial" w:eastAsia="Arial" w:hAnsi="Arial"/>
          <w:sz w:val="16"/>
          <w:szCs w:val="16"/>
          <w:b w:val="1"/>
          <w:bCs w:val="1"/>
          <w:color w:val="0D0E00"/>
        </w:rPr>
        <w:t xml:space="preserve">Fair Value Measurements - </w:t>
      </w:r>
      <w:r>
        <w:rPr>
          <w:rFonts w:ascii="Arial" w:cs="Arial" w:eastAsia="Arial" w:hAnsi="Arial"/>
          <w:sz w:val="16"/>
          <w:szCs w:val="16"/>
          <w:color w:val="000000"/>
        </w:rPr>
        <w:t>The fair value is the price at which an asset could be exchanged in a current transaction between knowledgeable, willing</w:t>
      </w:r>
      <w:r>
        <w:rPr>
          <w:rFonts w:ascii="Arial" w:cs="Arial" w:eastAsia="Arial" w:hAnsi="Arial"/>
          <w:sz w:val="16"/>
          <w:szCs w:val="16"/>
          <w:b w:val="1"/>
          <w:bCs w:val="1"/>
          <w:color w:val="0D0E00"/>
        </w:rPr>
        <w:t xml:space="preserve"> </w:t>
      </w:r>
      <w:r>
        <w:rPr>
          <w:rFonts w:ascii="Arial" w:cs="Arial" w:eastAsia="Arial" w:hAnsi="Arial"/>
          <w:sz w:val="16"/>
          <w:szCs w:val="16"/>
          <w:color w:val="000000"/>
        </w:rPr>
        <w:t>parties. A liability’s fair value is defined as the amount that would be paid to transfer the liability to a new obligor, not the amount that would be paid to settle the liability with the creditor. Assets and liabilities measured at fair value are categorized based upon the lowest level of significant input to the valuations: Level 1 inputs are quoted prices (unadjusted) in active markets for identical assets or liabilities. Level 2 inputs are quoted prices for similar assets and liabilities in active markets or inputs that are observable for the asset or liability</w:t>
      </w:r>
      <w:r>
        <w:rPr>
          <w:rFonts w:ascii="Arial" w:cs="Arial" w:eastAsia="Arial" w:hAnsi="Arial"/>
          <w:sz w:val="16"/>
          <w:szCs w:val="16"/>
          <w:color w:val="0D0E00"/>
        </w:rPr>
        <w:t>, either directly or indirectly through market corroboration,</w:t>
      </w:r>
      <w:r>
        <w:rPr>
          <w:rFonts w:ascii="Arial" w:cs="Arial" w:eastAsia="Arial" w:hAnsi="Arial"/>
          <w:sz w:val="16"/>
          <w:szCs w:val="16"/>
          <w:color w:val="000000"/>
        </w:rPr>
        <w:t xml:space="preserve"> </w:t>
      </w:r>
      <w:r>
        <w:rPr>
          <w:rFonts w:ascii="Arial" w:cs="Arial" w:eastAsia="Arial" w:hAnsi="Arial"/>
          <w:sz w:val="16"/>
          <w:szCs w:val="16"/>
          <w:color w:val="0D0E00"/>
        </w:rPr>
        <w:t xml:space="preserve">for substantially the full term of the financial instrument. Level 3 inputs are unobservable inputs based upon our own assumptions used to measure assets and liabilities at fair value. </w:t>
      </w:r>
      <w:r>
        <w:rPr>
          <w:rFonts w:ascii="Arial" w:cs="Arial" w:eastAsia="Arial" w:hAnsi="Arial"/>
          <w:sz w:val="16"/>
          <w:szCs w:val="16"/>
          <w:color w:val="000000"/>
        </w:rPr>
        <w:t>In determining fair value we use observable market data when available.</w:t>
      </w:r>
    </w:p>
    <w:p>
      <w:pPr>
        <w:spacing w:after="0" w:line="193" w:lineRule="exact"/>
        <w:rPr>
          <w:sz w:val="20"/>
          <w:szCs w:val="20"/>
          <w:color w:val="auto"/>
        </w:rPr>
      </w:pPr>
    </w:p>
    <w:p>
      <w:pPr>
        <w:ind w:left="500" w:right="100"/>
        <w:spacing w:after="0" w:line="272" w:lineRule="auto"/>
        <w:rPr>
          <w:sz w:val="20"/>
          <w:szCs w:val="20"/>
          <w:color w:val="auto"/>
        </w:rPr>
      </w:pPr>
      <w:r>
        <w:rPr>
          <w:rFonts w:ascii="Arial" w:cs="Arial" w:eastAsia="Arial" w:hAnsi="Arial"/>
          <w:sz w:val="17"/>
          <w:szCs w:val="17"/>
          <w:color w:val="auto"/>
        </w:rPr>
        <w:t xml:space="preserve">We adopted the fair value guidance at the beginning of the first quarter of fiscal 2009 for financial assets and liabilities and the beginning of the fiscal year </w:t>
      </w:r>
      <w:r>
        <w:rPr>
          <w:rFonts w:ascii="Arial" w:cs="Arial" w:eastAsia="Arial" w:hAnsi="Arial"/>
          <w:sz w:val="17"/>
          <w:szCs w:val="17"/>
          <w:color w:val="0D0E00"/>
        </w:rPr>
        <w:t>ended March 28, 2010 (“</w:t>
      </w:r>
      <w:r>
        <w:rPr>
          <w:rFonts w:ascii="Arial" w:cs="Arial" w:eastAsia="Arial" w:hAnsi="Arial"/>
          <w:sz w:val="17"/>
          <w:szCs w:val="17"/>
          <w:color w:val="auto"/>
        </w:rPr>
        <w:t>fiscal 2010”) for nonfinancial assets and liabilities that are recognized or disclosed on a nonrecurring basis, and the adoption had no impact on our results of operations and financial condition. As of December 31, 2009, our financial assets that are measured at fair value on a recurring basis are certificates of deposits (CD’s). These CD’s have maturities ranging from three months to two years and are valued using Level 2 inputs. The CD’s are classified as investments in current assets and noncurrent asse ts on the Condensed Balance Sheets. As of December 31, 2009, the CD’s in current assets have a fair value of $20,991,000 with a gross unrealized gain of $1,000, and in noncurrent assets, the CD’s have a fair value of $12,349,000 with a gross unrealized gain of $19,000.</w:t>
      </w:r>
    </w:p>
    <w:p>
      <w:pPr>
        <w:spacing w:after="0" w:line="201"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0D0E00"/>
        </w:rPr>
      </w:pPr>
      <w:r>
        <w:rPr>
          <w:rFonts w:ascii="Arial" w:cs="Arial" w:eastAsia="Arial" w:hAnsi="Arial"/>
          <w:sz w:val="18"/>
          <w:szCs w:val="18"/>
          <w:b w:val="1"/>
          <w:bCs w:val="1"/>
          <w:color w:val="0D0E00"/>
        </w:rPr>
        <w:t xml:space="preserve">Inventories - </w:t>
      </w:r>
      <w:r>
        <w:rPr>
          <w:rFonts w:ascii="Arial" w:cs="Arial" w:eastAsia="Arial" w:hAnsi="Arial"/>
          <w:sz w:val="18"/>
          <w:szCs w:val="18"/>
          <w:color w:val="0D0E00"/>
        </w:rPr>
        <w:t>Inventories at December 31, 2009 and March 29, 2009 consisted of the following:</w:t>
      </w:r>
    </w:p>
    <w:p>
      <w:pPr>
        <w:spacing w:after="0" w:line="34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December 31, 2009</w:t>
            </w: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March 29, 2009</w:t>
            </w:r>
          </w:p>
        </w:tc>
      </w:tr>
      <w:tr>
        <w:trPr>
          <w:trHeight w:val="223"/>
        </w:trPr>
        <w:tc>
          <w:tcPr>
            <w:tcW w:w="786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240" w:type="dxa"/>
            <w:vAlign w:val="bottom"/>
            <w:tcBorders>
              <w:top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23,718,000</w:t>
            </w:r>
          </w:p>
        </w:tc>
        <w:tc>
          <w:tcPr>
            <w:tcW w:w="320" w:type="dxa"/>
            <w:vAlign w:val="bottom"/>
            <w:tcBorders>
              <w:top w:val="single" w:sz="8" w:color="D6F3E8"/>
            </w:tcBorders>
            <w:shd w:val="clear" w:color="auto" w:fill="D6F3E8"/>
          </w:tcPr>
          <w:p>
            <w:pPr>
              <w:spacing w:after="0"/>
              <w:rPr>
                <w:sz w:val="19"/>
                <w:szCs w:val="19"/>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6F3E8"/>
          </w:tcPr>
          <w:p>
            <w:pPr>
              <w:jc w:val="center"/>
              <w:ind w:left="154"/>
              <w:spacing w:after="0"/>
              <w:rPr>
                <w:sz w:val="20"/>
                <w:szCs w:val="20"/>
                <w:color w:val="auto"/>
              </w:rPr>
            </w:pPr>
            <w:r>
              <w:rPr>
                <w:rFonts w:ascii="Arial" w:cs="Arial" w:eastAsia="Arial" w:hAnsi="Arial"/>
                <w:sz w:val="18"/>
                <w:szCs w:val="18"/>
                <w:color w:val="auto"/>
                <w:w w:val="88"/>
              </w:rPr>
              <w:t>34,479,000</w:t>
            </w:r>
          </w:p>
        </w:tc>
        <w:tc>
          <w:tcPr>
            <w:tcW w:w="100" w:type="dxa"/>
            <w:vAlign w:val="bottom"/>
            <w:tcBorders>
              <w:top w:val="single" w:sz="8" w:color="D6F3E8"/>
            </w:tcBorders>
            <w:shd w:val="clear" w:color="auto" w:fill="D6F3E8"/>
          </w:tcPr>
          <w:p>
            <w:pPr>
              <w:spacing w:after="0"/>
              <w:rPr>
                <w:sz w:val="19"/>
                <w:szCs w:val="19"/>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auto"/>
              </w:rPr>
              <w:t>LIFO reserve</w:t>
            </w:r>
          </w:p>
        </w:tc>
        <w:tc>
          <w:tcPr>
            <w:tcW w:w="2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(5,413,000)</w:t>
            </w:r>
          </w:p>
        </w:tc>
        <w:tc>
          <w:tcPr>
            <w:tcW w:w="100" w:type="dxa"/>
            <w:vAlign w:val="bottom"/>
          </w:tcPr>
          <w:p>
            <w:pPr>
              <w:spacing w:after="0"/>
              <w:rPr>
                <w:sz w:val="21"/>
                <w:szCs w:val="21"/>
                <w:color w:val="auto"/>
              </w:rPr>
            </w:pPr>
          </w:p>
        </w:tc>
        <w:tc>
          <w:tcPr>
            <w:tcW w:w="1140" w:type="dxa"/>
            <w:vAlign w:val="bottom"/>
            <w:gridSpan w:val="2"/>
          </w:tcPr>
          <w:p>
            <w:pPr>
              <w:jc w:val="center"/>
              <w:ind w:left="54"/>
              <w:spacing w:after="0"/>
              <w:rPr>
                <w:sz w:val="20"/>
                <w:szCs w:val="20"/>
                <w:color w:val="auto"/>
              </w:rPr>
            </w:pPr>
            <w:r>
              <w:rPr>
                <w:rFonts w:ascii="Arial" w:cs="Arial" w:eastAsia="Arial" w:hAnsi="Arial"/>
                <w:sz w:val="18"/>
                <w:szCs w:val="18"/>
                <w:color w:val="auto"/>
                <w:w w:val="90"/>
              </w:rPr>
              <w:t>(14,528,000)</w:t>
            </w:r>
          </w:p>
        </w:tc>
      </w:tr>
      <w:tr>
        <w:trPr>
          <w:trHeight w:val="217"/>
        </w:trPr>
        <w:tc>
          <w:tcPr>
            <w:tcW w:w="786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inventory</w:t>
            </w:r>
          </w:p>
        </w:tc>
        <w:tc>
          <w:tcPr>
            <w:tcW w:w="240" w:type="dxa"/>
            <w:vAlign w:val="bottom"/>
            <w:tcBorders>
              <w:top w:val="single" w:sz="8" w:color="auto"/>
              <w:bottom w:val="single" w:sz="8" w:color="auto"/>
            </w:tcBorders>
            <w:shd w:val="clear" w:color="auto" w:fill="D6F3E8"/>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18,305,000</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center"/>
              <w:ind w:left="154"/>
              <w:spacing w:after="0"/>
              <w:rPr>
                <w:sz w:val="20"/>
                <w:szCs w:val="20"/>
                <w:color w:val="auto"/>
              </w:rPr>
            </w:pPr>
            <w:r>
              <w:rPr>
                <w:rFonts w:ascii="Arial" w:cs="Arial" w:eastAsia="Arial" w:hAnsi="Arial"/>
                <w:sz w:val="18"/>
                <w:szCs w:val="18"/>
                <w:color w:val="auto"/>
                <w:w w:val="88"/>
              </w:rPr>
              <w:t>19,951,000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r>
    </w:tbl>
    <w:p>
      <w:pPr>
        <w:spacing w:after="0" w:line="229"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0D0E00"/>
        </w:rPr>
        <w:t>We decreased the LIFO reserve by $2,070,000 in the three months ended December 31, 2009 and $9,115,000 in the nine months ended December 31, 2009, and increased the LIFO reserve by $1,750,000 in the three months ended December 31, 2008 and $6,977,000 in the nine months ended December 31, 2008, as a result of the changes in inventory costs and inventory product mix. The valuation of LIFO inventory for interim periods is based on our estimates of fiscal year-end inventory levels and costs.</w:t>
      </w:r>
    </w:p>
    <w:p>
      <w:pPr>
        <w:spacing w:after="0" w:line="210" w:lineRule="exact"/>
        <w:rPr>
          <w:sz w:val="20"/>
          <w:szCs w:val="20"/>
          <w:color w:val="auto"/>
        </w:rPr>
      </w:pPr>
    </w:p>
    <w:p>
      <w:pPr>
        <w:ind w:left="500" w:right="120" w:hanging="492"/>
        <w:spacing w:after="0" w:line="266" w:lineRule="auto"/>
        <w:tabs>
          <w:tab w:leader="none" w:pos="554" w:val="left"/>
        </w:tabs>
        <w:numPr>
          <w:ilvl w:val="0"/>
          <w:numId w:val="6"/>
        </w:numPr>
        <w:rPr>
          <w:rFonts w:ascii="Arial" w:cs="Arial" w:eastAsia="Arial" w:hAnsi="Arial"/>
          <w:sz w:val="18"/>
          <w:szCs w:val="18"/>
          <w:color w:val="0D0E00"/>
        </w:rPr>
      </w:pPr>
      <w:r>
        <w:rPr>
          <w:rFonts w:ascii="Arial" w:cs="Arial" w:eastAsia="Arial" w:hAnsi="Arial"/>
          <w:sz w:val="18"/>
          <w:szCs w:val="18"/>
          <w:b w:val="1"/>
          <w:bCs w:val="1"/>
          <w:color w:val="0D0E00"/>
        </w:rPr>
        <w:t xml:space="preserve">Goodwill and Intangible Assets - </w:t>
      </w:r>
      <w:r>
        <w:rPr>
          <w:rFonts w:ascii="Arial" w:cs="Arial" w:eastAsia="Arial" w:hAnsi="Arial"/>
          <w:sz w:val="18"/>
          <w:szCs w:val="18"/>
          <w:color w:val="0D0E00"/>
        </w:rPr>
        <w:t>Intangible assets consist primarily of customer lists, trade secrets and non-competition agreements classified as</w:t>
      </w:r>
      <w:r>
        <w:rPr>
          <w:rFonts w:ascii="Arial" w:cs="Arial" w:eastAsia="Arial" w:hAnsi="Arial"/>
          <w:sz w:val="18"/>
          <w:szCs w:val="18"/>
          <w:b w:val="1"/>
          <w:bCs w:val="1"/>
          <w:color w:val="0D0E00"/>
        </w:rPr>
        <w:t xml:space="preserve"> </w:t>
      </w:r>
      <w:r>
        <w:rPr>
          <w:rFonts w:ascii="Arial" w:cs="Arial" w:eastAsia="Arial" w:hAnsi="Arial"/>
          <w:sz w:val="18"/>
          <w:szCs w:val="18"/>
          <w:color w:val="0D0E00"/>
        </w:rPr>
        <w:t>finite life and trademarks and trade names classified as indefinite life, related to previous business acquisitions. A summary of our intangible assets as of December 31, 2009 and March 29, 2009 were as follows:</w:t>
      </w: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2009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00" w:type="dxa"/>
            <w:vAlign w:val="bottom"/>
            <w:tcBorders>
              <w:top w:val="single" w:sz="8" w:color="D6F3E8"/>
            </w:tcBorders>
            <w:shd w:val="clear" w:color="auto" w:fill="D6F3E8"/>
          </w:tcPr>
          <w:p>
            <w:pPr>
              <w:spacing w:after="0"/>
              <w:rPr>
                <w:sz w:val="19"/>
                <w:szCs w:val="19"/>
                <w:color w:val="auto"/>
              </w:rPr>
            </w:pPr>
          </w:p>
        </w:tc>
        <w:tc>
          <w:tcPr>
            <w:tcW w:w="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6,565,000</w:t>
            </w:r>
          </w:p>
        </w:tc>
        <w:tc>
          <w:tcPr>
            <w:tcW w:w="240" w:type="dxa"/>
            <w:vAlign w:val="bottom"/>
            <w:tcBorders>
              <w:top w:val="single" w:sz="8" w:color="D6F3E8"/>
            </w:tcBorders>
            <w:shd w:val="clear" w:color="auto" w:fill="D6F3E8"/>
          </w:tcPr>
          <w:p>
            <w:pPr>
              <w:spacing w:after="0"/>
              <w:rPr>
                <w:sz w:val="19"/>
                <w:szCs w:val="19"/>
                <w:color w:val="auto"/>
              </w:rPr>
            </w:pPr>
          </w:p>
        </w:tc>
        <w:tc>
          <w:tcPr>
            <w:tcW w:w="80" w:type="dxa"/>
            <w:vAlign w:val="bottom"/>
            <w:tcBorders>
              <w:top w:val="single" w:sz="8" w:color="D6F3E8"/>
            </w:tcBorders>
            <w:shd w:val="clear" w:color="auto" w:fill="D6F3E8"/>
          </w:tcPr>
          <w:p>
            <w:pPr>
              <w:spacing w:after="0"/>
              <w:rPr>
                <w:sz w:val="19"/>
                <w:szCs w:val="19"/>
                <w:color w:val="auto"/>
              </w:rPr>
            </w:pPr>
          </w:p>
        </w:tc>
        <w:tc>
          <w:tcPr>
            <w:tcW w:w="1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tcBorders>
              <w:top w:val="single" w:sz="8" w:color="D6F3E8"/>
            </w:tcBorders>
            <w:shd w:val="clear" w:color="auto" w:fill="D6F3E8"/>
          </w:tcPr>
          <w:p>
            <w:pPr>
              <w:spacing w:after="0"/>
              <w:rPr>
                <w:sz w:val="19"/>
                <w:szCs w:val="19"/>
                <w:color w:val="auto"/>
              </w:rPr>
            </w:pPr>
          </w:p>
        </w:tc>
        <w:tc>
          <w:tcPr>
            <w:tcW w:w="80" w:type="dxa"/>
            <w:vAlign w:val="bottom"/>
            <w:tcBorders>
              <w:top w:val="single" w:sz="8" w:color="D6F3E8"/>
            </w:tcBorders>
            <w:shd w:val="clear" w:color="auto" w:fill="D6F3E8"/>
          </w:tcPr>
          <w:p>
            <w:pPr>
              <w:spacing w:after="0"/>
              <w:rPr>
                <w:sz w:val="19"/>
                <w:szCs w:val="19"/>
                <w:color w:val="auto"/>
              </w:rPr>
            </w:pPr>
          </w:p>
        </w:tc>
        <w:tc>
          <w:tcPr>
            <w:tcW w:w="80" w:type="dxa"/>
            <w:vAlign w:val="bottom"/>
            <w:tcBorders>
              <w:top w:val="single" w:sz="8" w:color="D6F3E8"/>
            </w:tcBorders>
            <w:shd w:val="clear" w:color="auto" w:fill="D6F3E8"/>
          </w:tcPr>
          <w:p>
            <w:pPr>
              <w:spacing w:after="0"/>
              <w:rPr>
                <w:sz w:val="19"/>
                <w:szCs w:val="19"/>
                <w:color w:val="auto"/>
              </w:rPr>
            </w:pPr>
          </w:p>
        </w:tc>
        <w:tc>
          <w:tcPr>
            <w:tcW w:w="240" w:type="dxa"/>
            <w:vAlign w:val="bottom"/>
            <w:tcBorders>
              <w:top w:val="single" w:sz="8" w:color="auto"/>
            </w:tcBorders>
            <w:shd w:val="clear" w:color="auto" w:fill="D6F3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D6F3E8"/>
          </w:tcPr>
          <w:p>
            <w:pPr>
              <w:ind w:left="180"/>
              <w:spacing w:after="0"/>
              <w:rPr>
                <w:sz w:val="20"/>
                <w:szCs w:val="20"/>
                <w:color w:val="auto"/>
              </w:rPr>
            </w:pPr>
            <w:r>
              <w:rPr>
                <w:rFonts w:ascii="Arial" w:cs="Arial" w:eastAsia="Arial" w:hAnsi="Arial"/>
                <w:sz w:val="18"/>
                <w:szCs w:val="18"/>
                <w:color w:val="auto"/>
                <w:w w:val="87"/>
              </w:rPr>
              <w:t>3,565,000</w:t>
            </w:r>
          </w:p>
        </w:tc>
        <w:tc>
          <w:tcPr>
            <w:tcW w:w="100" w:type="dxa"/>
            <w:vAlign w:val="bottom"/>
            <w:tcBorders>
              <w:top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1,227,000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ind w:left="180"/>
              <w:spacing w:after="0"/>
              <w:rPr>
                <w:sz w:val="20"/>
                <w:szCs w:val="20"/>
                <w:color w:val="auto"/>
              </w:rPr>
            </w:pPr>
            <w:r>
              <w:rPr>
                <w:rFonts w:ascii="Arial" w:cs="Arial" w:eastAsia="Arial" w:hAnsi="Arial"/>
                <w:sz w:val="18"/>
                <w:szCs w:val="18"/>
                <w:color w:val="auto"/>
                <w:w w:val="99"/>
              </w:rPr>
              <w:t>1,227,000</w:t>
            </w:r>
          </w:p>
        </w:tc>
        <w:tc>
          <w:tcPr>
            <w:tcW w:w="0" w:type="dxa"/>
            <w:vAlign w:val="bottom"/>
          </w:tcPr>
          <w:p>
            <w:pPr>
              <w:spacing w:after="0"/>
              <w:rPr>
                <w:sz w:val="1"/>
                <w:szCs w:val="1"/>
                <w:color w:val="auto"/>
              </w:rPr>
            </w:pPr>
          </w:p>
        </w:tc>
      </w:tr>
      <w:tr>
        <w:trPr>
          <w:trHeight w:val="250"/>
        </w:trPr>
        <w:tc>
          <w:tcPr>
            <w:tcW w:w="626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100" w:type="dxa"/>
            <w:vAlign w:val="bottom"/>
            <w:tcBorders>
              <w:top w:val="single" w:sz="8" w:color="D6F3E8"/>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7,792,000</w:t>
            </w:r>
          </w:p>
        </w:tc>
        <w:tc>
          <w:tcPr>
            <w:tcW w:w="240" w:type="dxa"/>
            <w:vAlign w:val="bottom"/>
            <w:tcBorders>
              <w:top w:val="single" w:sz="8" w:color="D6F3E8"/>
              <w:bottom w:val="single" w:sz="8" w:color="D6F3E8"/>
            </w:tcBorders>
            <w:shd w:val="clear" w:color="auto" w:fill="D6F3E8"/>
          </w:tcPr>
          <w:p>
            <w:pPr>
              <w:spacing w:after="0"/>
              <w:rPr>
                <w:sz w:val="21"/>
                <w:szCs w:val="21"/>
                <w:color w:val="auto"/>
              </w:rPr>
            </w:pPr>
          </w:p>
        </w:tc>
        <w:tc>
          <w:tcPr>
            <w:tcW w:w="80" w:type="dxa"/>
            <w:vAlign w:val="bottom"/>
            <w:tcBorders>
              <w:top w:val="single" w:sz="8" w:color="D6F3E8"/>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tcBorders>
              <w:top w:val="single" w:sz="8" w:color="D6F3E8"/>
              <w:bottom w:val="single" w:sz="8" w:color="D6F3E8"/>
            </w:tcBorders>
            <w:shd w:val="clear" w:color="auto" w:fill="D6F3E8"/>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D6F3E8"/>
              <w:bottom w:val="single" w:sz="8" w:color="D6F3E8"/>
            </w:tcBorders>
            <w:shd w:val="clear" w:color="auto" w:fill="D6F3E8"/>
          </w:tcPr>
          <w:p>
            <w:pPr>
              <w:spacing w:after="0"/>
              <w:rPr>
                <w:sz w:val="21"/>
                <w:szCs w:val="21"/>
                <w:color w:val="auto"/>
              </w:rPr>
            </w:pPr>
          </w:p>
        </w:tc>
        <w:tc>
          <w:tcPr>
            <w:tcW w:w="80" w:type="dxa"/>
            <w:vAlign w:val="bottom"/>
            <w:tcBorders>
              <w:top w:val="single" w:sz="8" w:color="D6F3E8"/>
              <w:bottom w:val="single" w:sz="8" w:color="D6F3E8"/>
            </w:tcBorders>
            <w:shd w:val="clear" w:color="auto" w:fill="D6F3E8"/>
          </w:tcPr>
          <w:p>
            <w:pPr>
              <w:spacing w:after="0"/>
              <w:rPr>
                <w:sz w:val="21"/>
                <w:szCs w:val="21"/>
                <w:color w:val="auto"/>
              </w:rPr>
            </w:pPr>
          </w:p>
        </w:tc>
        <w:tc>
          <w:tcPr>
            <w:tcW w:w="240" w:type="dxa"/>
            <w:vAlign w:val="bottom"/>
            <w:tcBorders>
              <w:top w:val="single" w:sz="8" w:color="auto"/>
              <w:bottom w:val="single" w:sz="8" w:color="auto"/>
            </w:tcBorders>
            <w:shd w:val="clear" w:color="auto" w:fill="D6F3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D6F3E8"/>
          </w:tcPr>
          <w:p>
            <w:pPr>
              <w:ind w:left="180"/>
              <w:spacing w:after="0"/>
              <w:rPr>
                <w:sz w:val="20"/>
                <w:szCs w:val="20"/>
                <w:color w:val="auto"/>
              </w:rPr>
            </w:pPr>
            <w:r>
              <w:rPr>
                <w:rFonts w:ascii="Arial" w:cs="Arial" w:eastAsia="Arial" w:hAnsi="Arial"/>
                <w:sz w:val="18"/>
                <w:szCs w:val="18"/>
                <w:color w:val="auto"/>
                <w:w w:val="87"/>
              </w:rPr>
              <w:t>4,792,000</w:t>
            </w:r>
          </w:p>
        </w:tc>
        <w:tc>
          <w:tcPr>
            <w:tcW w:w="100" w:type="dxa"/>
            <w:vAlign w:val="bottom"/>
            <w:tcBorders>
              <w:top w:val="single" w:sz="8" w:color="D6F3E8"/>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710"/>
        </w:trPr>
        <w:tc>
          <w:tcPr>
            <w:tcW w:w="6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29, 2009</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D6F3E8"/>
          </w:tcPr>
          <w:p>
            <w:pPr>
              <w:spacing w:after="0"/>
              <w:rPr>
                <w:sz w:val="19"/>
                <w:szCs w:val="19"/>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6,565,000</w:t>
            </w:r>
          </w:p>
        </w:tc>
        <w:tc>
          <w:tcPr>
            <w:tcW w:w="80" w:type="dxa"/>
            <w:vAlign w:val="bottom"/>
            <w:tcBorders>
              <w:top w:val="single" w:sz="8" w:color="D6F3E8"/>
            </w:tcBorders>
            <w:shd w:val="clear" w:color="auto" w:fill="D6F3E8"/>
          </w:tcPr>
          <w:p>
            <w:pPr>
              <w:spacing w:after="0"/>
              <w:rPr>
                <w:sz w:val="19"/>
                <w:szCs w:val="19"/>
                <w:color w:val="auto"/>
              </w:rPr>
            </w:pPr>
          </w:p>
        </w:tc>
        <w:tc>
          <w:tcPr>
            <w:tcW w:w="240" w:type="dxa"/>
            <w:vAlign w:val="bottom"/>
            <w:tcBorders>
              <w:top w:val="single" w:sz="8" w:color="D6F3E8"/>
            </w:tcBorders>
            <w:shd w:val="clear" w:color="auto" w:fill="D6F3E8"/>
          </w:tcPr>
          <w:p>
            <w:pPr>
              <w:spacing w:after="0"/>
              <w:rPr>
                <w:sz w:val="19"/>
                <w:szCs w:val="19"/>
                <w:color w:val="auto"/>
              </w:rPr>
            </w:pPr>
          </w:p>
        </w:tc>
        <w:tc>
          <w:tcPr>
            <w:tcW w:w="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D6F3E8"/>
          </w:tcPr>
          <w:p>
            <w:pPr>
              <w:spacing w:after="0"/>
              <w:rPr>
                <w:sz w:val="19"/>
                <w:szCs w:val="19"/>
                <w:color w:val="auto"/>
              </w:rPr>
            </w:pPr>
          </w:p>
        </w:tc>
        <w:tc>
          <w:tcPr>
            <w:tcW w:w="108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(2,556,000)</w:t>
            </w:r>
          </w:p>
        </w:tc>
        <w:tc>
          <w:tcPr>
            <w:tcW w:w="160" w:type="dxa"/>
            <w:vAlign w:val="bottom"/>
            <w:tcBorders>
              <w:top w:val="single" w:sz="8" w:color="D6F3E8"/>
            </w:tcBorders>
            <w:shd w:val="clear" w:color="auto" w:fill="D6F3E8"/>
          </w:tcPr>
          <w:p>
            <w:pPr>
              <w:spacing w:after="0"/>
              <w:rPr>
                <w:sz w:val="19"/>
                <w:szCs w:val="19"/>
                <w:color w:val="auto"/>
              </w:rPr>
            </w:pPr>
          </w:p>
        </w:tc>
        <w:tc>
          <w:tcPr>
            <w:tcW w:w="80" w:type="dxa"/>
            <w:vAlign w:val="bottom"/>
            <w:tcBorders>
              <w:top w:val="single" w:sz="8" w:color="D6F3E8"/>
            </w:tcBorders>
            <w:shd w:val="clear" w:color="auto" w:fill="D6F3E8"/>
          </w:tcPr>
          <w:p>
            <w:pPr>
              <w:spacing w:after="0"/>
              <w:rPr>
                <w:sz w:val="19"/>
                <w:szCs w:val="19"/>
                <w:color w:val="auto"/>
              </w:rPr>
            </w:pPr>
          </w:p>
        </w:tc>
        <w:tc>
          <w:tcPr>
            <w:tcW w:w="320" w:type="dxa"/>
            <w:vAlign w:val="bottom"/>
            <w:tcBorders>
              <w:top w:val="single" w:sz="8" w:color="auto"/>
            </w:tcBorders>
            <w:gridSpan w:val="2"/>
            <w:shd w:val="clear" w:color="auto" w:fill="D6F3E8"/>
          </w:tcPr>
          <w:p>
            <w:pPr>
              <w:jc w:val="right"/>
              <w:ind w:right="14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D6F3E8"/>
          </w:tcPr>
          <w:p>
            <w:pPr>
              <w:ind w:left="160"/>
              <w:spacing w:after="0"/>
              <w:rPr>
                <w:sz w:val="20"/>
                <w:szCs w:val="20"/>
                <w:color w:val="auto"/>
              </w:rPr>
            </w:pPr>
            <w:r>
              <w:rPr>
                <w:rFonts w:ascii="Arial" w:cs="Arial" w:eastAsia="Arial" w:hAnsi="Arial"/>
                <w:sz w:val="18"/>
                <w:szCs w:val="18"/>
                <w:color w:val="auto"/>
                <w:w w:val="87"/>
              </w:rPr>
              <w:t>4,009,000</w:t>
            </w:r>
          </w:p>
        </w:tc>
        <w:tc>
          <w:tcPr>
            <w:tcW w:w="20" w:type="dxa"/>
            <w:vAlign w:val="bottom"/>
            <w:tcBorders>
              <w:top w:val="single" w:sz="8" w:color="D6F3E8"/>
            </w:tcBorders>
            <w:shd w:val="clear" w:color="auto" w:fill="D6F3E8"/>
          </w:tcPr>
          <w:p>
            <w:pPr>
              <w:spacing w:after="0"/>
              <w:rPr>
                <w:sz w:val="19"/>
                <w:szCs w:val="19"/>
                <w:color w:val="auto"/>
              </w:rPr>
            </w:pPr>
          </w:p>
        </w:tc>
        <w:tc>
          <w:tcPr>
            <w:tcW w:w="100" w:type="dxa"/>
            <w:vAlign w:val="bottom"/>
            <w:tcBorders>
              <w:top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89"/>
              </w:rPr>
              <w:t>1,227,000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D6F3E8"/>
          </w:tcPr>
          <w:p>
            <w:pPr>
              <w:spacing w:after="0"/>
              <w:rPr>
                <w:sz w:val="19"/>
                <w:szCs w:val="19"/>
                <w:color w:val="auto"/>
              </w:rPr>
            </w:pP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7,792,000</w:t>
            </w:r>
          </w:p>
        </w:tc>
        <w:tc>
          <w:tcPr>
            <w:tcW w:w="80" w:type="dxa"/>
            <w:vAlign w:val="bottom"/>
            <w:tcBorders>
              <w:top w:val="single" w:sz="8" w:color="D6F3E8"/>
              <w:bottom w:val="single" w:sz="8" w:color="D6F3E8"/>
            </w:tcBorders>
            <w:shd w:val="clear" w:color="auto" w:fill="D6F3E8"/>
          </w:tcPr>
          <w:p>
            <w:pPr>
              <w:spacing w:after="0"/>
              <w:rPr>
                <w:sz w:val="19"/>
                <w:szCs w:val="19"/>
                <w:color w:val="auto"/>
              </w:rPr>
            </w:pPr>
          </w:p>
        </w:tc>
        <w:tc>
          <w:tcPr>
            <w:tcW w:w="240" w:type="dxa"/>
            <w:vAlign w:val="bottom"/>
            <w:tcBorders>
              <w:top w:val="single" w:sz="8" w:color="D6F3E8"/>
              <w:bottom w:val="single" w:sz="8" w:color="D6F3E8"/>
            </w:tcBorders>
            <w:shd w:val="clear" w:color="auto" w:fill="D6F3E8"/>
          </w:tcPr>
          <w:p>
            <w:pPr>
              <w:spacing w:after="0"/>
              <w:rPr>
                <w:sz w:val="19"/>
                <w:szCs w:val="19"/>
                <w:color w:val="auto"/>
              </w:rPr>
            </w:pPr>
          </w:p>
        </w:tc>
        <w:tc>
          <w:tcPr>
            <w:tcW w:w="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D6F3E8"/>
          </w:tcPr>
          <w:p>
            <w:pPr>
              <w:spacing w:after="0"/>
              <w:rPr>
                <w:sz w:val="19"/>
                <w:szCs w:val="19"/>
                <w:color w:val="auto"/>
              </w:rPr>
            </w:pPr>
          </w:p>
        </w:tc>
        <w:tc>
          <w:tcPr>
            <w:tcW w:w="108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(2,556,000)</w:t>
            </w:r>
          </w:p>
        </w:tc>
        <w:tc>
          <w:tcPr>
            <w:tcW w:w="160" w:type="dxa"/>
            <w:vAlign w:val="bottom"/>
            <w:tcBorders>
              <w:top w:val="single" w:sz="8" w:color="D6F3E8"/>
              <w:bottom w:val="single" w:sz="8" w:color="D6F3E8"/>
            </w:tcBorders>
            <w:shd w:val="clear" w:color="auto" w:fill="D6F3E8"/>
          </w:tcPr>
          <w:p>
            <w:pPr>
              <w:spacing w:after="0"/>
              <w:rPr>
                <w:sz w:val="19"/>
                <w:szCs w:val="19"/>
                <w:color w:val="auto"/>
              </w:rPr>
            </w:pPr>
          </w:p>
        </w:tc>
        <w:tc>
          <w:tcPr>
            <w:tcW w:w="80" w:type="dxa"/>
            <w:vAlign w:val="bottom"/>
            <w:tcBorders>
              <w:top w:val="single" w:sz="8" w:color="D6F3E8"/>
              <w:bottom w:val="single" w:sz="8" w:color="D6F3E8"/>
            </w:tcBorders>
            <w:shd w:val="clear" w:color="auto" w:fill="D6F3E8"/>
          </w:tcPr>
          <w:p>
            <w:pPr>
              <w:spacing w:after="0"/>
              <w:rPr>
                <w:sz w:val="19"/>
                <w:szCs w:val="19"/>
                <w:color w:val="auto"/>
              </w:rPr>
            </w:pPr>
          </w:p>
        </w:tc>
        <w:tc>
          <w:tcPr>
            <w:tcW w:w="320" w:type="dxa"/>
            <w:vAlign w:val="bottom"/>
            <w:tcBorders>
              <w:top w:val="single" w:sz="8" w:color="auto"/>
              <w:bottom w:val="single" w:sz="8" w:color="auto"/>
            </w:tcBorders>
            <w:gridSpan w:val="2"/>
            <w:shd w:val="clear" w:color="auto" w:fill="D6F3E8"/>
          </w:tcPr>
          <w:p>
            <w:pPr>
              <w:jc w:val="right"/>
              <w:ind w:right="14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ind w:left="160"/>
              <w:spacing w:after="0"/>
              <w:rPr>
                <w:sz w:val="20"/>
                <w:szCs w:val="20"/>
                <w:color w:val="auto"/>
              </w:rPr>
            </w:pPr>
            <w:r>
              <w:rPr>
                <w:rFonts w:ascii="Arial" w:cs="Arial" w:eastAsia="Arial" w:hAnsi="Arial"/>
                <w:sz w:val="18"/>
                <w:szCs w:val="18"/>
                <w:color w:val="auto"/>
                <w:w w:val="87"/>
              </w:rPr>
              <w:t>5,236,000</w:t>
            </w:r>
          </w:p>
        </w:tc>
        <w:tc>
          <w:tcPr>
            <w:tcW w:w="20" w:type="dxa"/>
            <w:vAlign w:val="bottom"/>
            <w:tcBorders>
              <w:top w:val="single" w:sz="8" w:color="D6F3E8"/>
              <w:bottom w:val="single" w:sz="8" w:color="D6F3E8"/>
            </w:tcBorders>
            <w:shd w:val="clear" w:color="auto" w:fill="D6F3E8"/>
          </w:tcPr>
          <w:p>
            <w:pPr>
              <w:spacing w:after="0"/>
              <w:rPr>
                <w:sz w:val="19"/>
                <w:szCs w:val="19"/>
                <w:color w:val="auto"/>
              </w:rPr>
            </w:pPr>
          </w:p>
        </w:tc>
        <w:tc>
          <w:tcPr>
            <w:tcW w:w="100" w:type="dxa"/>
            <w:vAlign w:val="bottom"/>
            <w:tcBorders>
              <w:top w:val="single" w:sz="8" w:color="D6F3E8"/>
              <w:bottom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right w:val="single" w:sz="8" w:color="D6F3E8"/>
            </w:tcBorders>
          </w:tcPr>
          <w:p>
            <w:pPr>
              <w:spacing w:after="0" w:line="20" w:lineRule="exact"/>
              <w:rPr>
                <w:sz w:val="1"/>
                <w:szCs w:val="1"/>
                <w:color w:val="auto"/>
              </w:rPr>
            </w:pPr>
          </w:p>
        </w:tc>
        <w:tc>
          <w:tcPr>
            <w:tcW w:w="16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0D0E00"/>
        </w:rPr>
        <w:t>Goodwill in the amount of $1,204,000 is included in Goodwill and Intangible Assets at December 31, 2009 and March 29,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00" w:right="40" w:hanging="492"/>
        <w:spacing w:after="0" w:line="298" w:lineRule="auto"/>
        <w:tabs>
          <w:tab w:leader="none" w:pos="554" w:val="left"/>
        </w:tabs>
        <w:numPr>
          <w:ilvl w:val="0"/>
          <w:numId w:val="7"/>
        </w:numPr>
        <w:rPr>
          <w:rFonts w:ascii="Arial" w:cs="Arial" w:eastAsia="Arial" w:hAnsi="Arial"/>
          <w:sz w:val="16"/>
          <w:szCs w:val="16"/>
          <w:color w:val="0D0E00"/>
        </w:rPr>
      </w:pPr>
      <w:r>
        <w:rPr>
          <w:rFonts w:ascii="Arial" w:cs="Arial" w:eastAsia="Arial" w:hAnsi="Arial"/>
          <w:sz w:val="16"/>
          <w:szCs w:val="16"/>
          <w:b w:val="1"/>
          <w:bCs w:val="1"/>
          <w:color w:val="0D0E00"/>
        </w:rPr>
        <w:t xml:space="preserve">Income Taxes - </w:t>
      </w:r>
      <w:r>
        <w:rPr>
          <w:rFonts w:ascii="Arial" w:cs="Arial" w:eastAsia="Arial" w:hAnsi="Arial"/>
          <w:sz w:val="16"/>
          <w:szCs w:val="16"/>
          <w:color w:val="0D0E00"/>
        </w:rPr>
        <w:t>In the preparation of our financial statements, management calculates income taxes based upon the estimated effective rate applicable</w:t>
      </w:r>
      <w:r>
        <w:rPr>
          <w:rFonts w:ascii="Arial" w:cs="Arial" w:eastAsia="Arial" w:hAnsi="Arial"/>
          <w:sz w:val="16"/>
          <w:szCs w:val="16"/>
          <w:b w:val="1"/>
          <w:bCs w:val="1"/>
          <w:color w:val="0D0E00"/>
        </w:rPr>
        <w:t xml:space="preserve"> </w:t>
      </w:r>
      <w:r>
        <w:rPr>
          <w:rFonts w:ascii="Arial" w:cs="Arial" w:eastAsia="Arial" w:hAnsi="Arial"/>
          <w:sz w:val="16"/>
          <w:szCs w:val="16"/>
          <w:color w:val="0D0E00"/>
        </w:rPr>
        <w:t>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 ecord any interest and penalties related to income taxes as income tax expense in the statements of income.</w:t>
      </w:r>
    </w:p>
    <w:p>
      <w:pPr>
        <w:spacing w:after="0" w:line="185"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color w:val="0D0E00"/>
        </w:rPr>
        <w:t>We accrue for the effects of open uncertain tax positions and the related potential penalties and interest. Changes in recognition or measurement are reflected in the period in which the change in judgment occurs.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We are subject to U.S. federal income tax as well as income tax of multiple state jurisdictions. With few exceptions, we are no longer subject to U.S.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0D0E00"/>
        </w:rPr>
        <w:t>federal, state, and local tax examinations by tax authorities for years before fiscal 2007.</w:t>
      </w:r>
    </w:p>
    <w:p>
      <w:pPr>
        <w:spacing w:after="0" w:line="234"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6"/>
          <w:szCs w:val="16"/>
          <w:color w:val="0D0E00"/>
        </w:rPr>
      </w:pPr>
      <w:r>
        <w:rPr>
          <w:rFonts w:ascii="Arial" w:cs="Arial" w:eastAsia="Arial" w:hAnsi="Arial"/>
          <w:sz w:val="16"/>
          <w:szCs w:val="16"/>
          <w:b w:val="1"/>
          <w:bCs w:val="1"/>
          <w:color w:val="0D0E00"/>
        </w:rPr>
        <w:t xml:space="preserve">Accumulated Other Comprehensive Income/(Loss) - </w:t>
      </w:r>
      <w:r>
        <w:rPr>
          <w:rFonts w:ascii="Arial" w:cs="Arial" w:eastAsia="Arial" w:hAnsi="Arial"/>
          <w:sz w:val="16"/>
          <w:szCs w:val="16"/>
          <w:color w:val="0D0E00"/>
        </w:rPr>
        <w:t>Components of accumulated other comprehensive income/(loss), net of tax, were as follows:</w:t>
      </w:r>
    </w:p>
    <w:p>
      <w:pPr>
        <w:spacing w:after="0" w:line="365"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0D0E00"/>
              </w:rPr>
              <w:t>December 31, 2009</w:t>
            </w:r>
          </w:p>
        </w:tc>
        <w:tc>
          <w:tcPr>
            <w:tcW w:w="1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0D0E00"/>
                <w:w w:val="92"/>
              </w:rPr>
              <w:t>March 29, 2009</w:t>
            </w:r>
          </w:p>
        </w:tc>
      </w:tr>
      <w:tr>
        <w:trPr>
          <w:trHeight w:val="237"/>
        </w:trPr>
        <w:tc>
          <w:tcPr>
            <w:tcW w:w="78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860" w:type="dxa"/>
            <w:vAlign w:val="bottom"/>
            <w:shd w:val="clear" w:color="auto" w:fill="D6F3E8"/>
          </w:tcPr>
          <w:p>
            <w:pPr>
              <w:spacing w:after="0"/>
              <w:rPr>
                <w:sz w:val="20"/>
                <w:szCs w:val="20"/>
                <w:color w:val="auto"/>
              </w:rPr>
            </w:pPr>
            <w:r>
              <w:rPr>
                <w:rFonts w:ascii="Arial" w:cs="Arial" w:eastAsia="Arial" w:hAnsi="Arial"/>
                <w:sz w:val="18"/>
                <w:szCs w:val="18"/>
                <w:color w:val="0D0E00"/>
              </w:rPr>
              <w:t>Available-for-sale investments</w:t>
            </w:r>
          </w:p>
        </w:tc>
        <w:tc>
          <w:tcPr>
            <w:tcW w:w="100" w:type="dxa"/>
            <w:vAlign w:val="bottom"/>
            <w:shd w:val="clear" w:color="auto" w:fill="D6F3E8"/>
          </w:tcPr>
          <w:p>
            <w:pPr>
              <w:spacing w:after="0"/>
              <w:rPr>
                <w:sz w:val="20"/>
                <w:szCs w:val="20"/>
                <w:color w:val="auto"/>
              </w:rPr>
            </w:pPr>
            <w:r>
              <w:rPr>
                <w:rFonts w:ascii="Arial" w:cs="Arial" w:eastAsia="Arial" w:hAnsi="Arial"/>
                <w:sz w:val="18"/>
                <w:szCs w:val="18"/>
                <w:color w:val="0D0E00"/>
                <w:w w:val="79"/>
              </w:rPr>
              <w:t>$</w:t>
            </w:r>
          </w:p>
        </w:tc>
        <w:tc>
          <w:tcPr>
            <w:tcW w:w="14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12,000</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0D0E00"/>
                <w:w w:val="71"/>
              </w:rPr>
              <w:t>$</w:t>
            </w:r>
          </w:p>
        </w:tc>
        <w:tc>
          <w:tcPr>
            <w:tcW w:w="11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w:t>
            </w: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0D0E00"/>
              </w:rPr>
              <w:t>Post-retirement plan liability adjustments</w:t>
            </w:r>
          </w:p>
        </w:tc>
        <w:tc>
          <w:tcPr>
            <w:tcW w:w="10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0D0E00"/>
              </w:rPr>
              <w:t>2,000</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0D0E00"/>
              </w:rPr>
              <w:t>(10,000)</w:t>
            </w:r>
          </w:p>
        </w:tc>
      </w:tr>
      <w:tr>
        <w:trPr>
          <w:trHeight w:val="250"/>
        </w:trPr>
        <w:tc>
          <w:tcPr>
            <w:tcW w:w="786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0D0E00"/>
              </w:rPr>
              <w:t>Accumulated other comprehensive income/(loss)</w:t>
            </w:r>
          </w:p>
        </w:tc>
        <w:tc>
          <w:tcPr>
            <w:tcW w:w="100" w:type="dxa"/>
            <w:vAlign w:val="bottom"/>
            <w:tcBorders>
              <w:top w:val="single" w:sz="8" w:color="auto"/>
              <w:bottom w:val="single" w:sz="8" w:color="auto"/>
            </w:tcBorders>
            <w:shd w:val="clear" w:color="auto" w:fill="D6F3E8"/>
          </w:tcPr>
          <w:p>
            <w:pPr>
              <w:spacing w:after="0"/>
              <w:rPr>
                <w:sz w:val="20"/>
                <w:szCs w:val="20"/>
                <w:color w:val="auto"/>
              </w:rPr>
            </w:pPr>
            <w:r>
              <w:rPr>
                <w:rFonts w:ascii="Arial" w:cs="Arial" w:eastAsia="Arial" w:hAnsi="Arial"/>
                <w:sz w:val="18"/>
                <w:szCs w:val="18"/>
                <w:color w:val="0D0E00"/>
                <w:w w:val="79"/>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14,000</w:t>
            </w:r>
          </w:p>
        </w:tc>
        <w:tc>
          <w:tcPr>
            <w:tcW w:w="340" w:type="dxa"/>
            <w:vAlign w:val="bottom"/>
            <w:tcBorders>
              <w:top w:val="single" w:sz="8" w:color="D6F3E8"/>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0D0E00"/>
                <w:w w:val="71"/>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0D0E00"/>
              </w:rPr>
              <w:t>(10,000)</w:t>
            </w:r>
          </w:p>
        </w:tc>
        <w:tc>
          <w:tcPr>
            <w:tcW w:w="100" w:type="dxa"/>
            <w:vAlign w:val="bottom"/>
            <w:tcBorders>
              <w:top w:val="single" w:sz="8" w:color="D6F3E8"/>
              <w:bottom w:val="single" w:sz="8" w:color="D6F3E8"/>
            </w:tcBorders>
            <w:shd w:val="clear" w:color="auto" w:fill="D6F3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6985635</wp:posOffset>
            </wp:positionH>
            <wp:positionV relativeFrom="paragraph">
              <wp:posOffset>-170815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00" w:hanging="492"/>
        <w:spacing w:after="0" w:line="282" w:lineRule="auto"/>
        <w:tabs>
          <w:tab w:leader="none" w:pos="509" w:val="left"/>
        </w:tabs>
        <w:numPr>
          <w:ilvl w:val="0"/>
          <w:numId w:val="9"/>
        </w:numPr>
        <w:rPr>
          <w:rFonts w:ascii="Arial" w:cs="Arial" w:eastAsia="Arial" w:hAnsi="Arial"/>
          <w:sz w:val="18"/>
          <w:szCs w:val="18"/>
          <w:color w:val="0D0E00"/>
        </w:rPr>
      </w:pPr>
      <w:r>
        <w:rPr>
          <w:rFonts w:ascii="Arial" w:cs="Arial" w:eastAsia="Arial" w:hAnsi="Arial"/>
          <w:sz w:val="18"/>
          <w:szCs w:val="18"/>
          <w:b w:val="1"/>
          <w:bCs w:val="1"/>
          <w:color w:val="0D0E00"/>
        </w:rPr>
        <w:t xml:space="preserve">Commitments and Contingencies - </w:t>
      </w:r>
      <w:r>
        <w:rPr>
          <w:rFonts w:ascii="Arial" w:cs="Arial" w:eastAsia="Arial" w:hAnsi="Arial"/>
          <w:sz w:val="18"/>
          <w:szCs w:val="18"/>
          <w:color w:val="0D0E00"/>
        </w:rPr>
        <w:t>We are a party from time to time in various legal proceedings arising in the ordinary course of our business. None</w:t>
      </w:r>
      <w:r>
        <w:rPr>
          <w:rFonts w:ascii="Arial" w:cs="Arial" w:eastAsia="Arial" w:hAnsi="Arial"/>
          <w:sz w:val="18"/>
          <w:szCs w:val="18"/>
          <w:b w:val="1"/>
          <w:bCs w:val="1"/>
          <w:color w:val="0D0E00"/>
        </w:rPr>
        <w:t xml:space="preserve"> </w:t>
      </w:r>
      <w:r>
        <w:rPr>
          <w:rFonts w:ascii="Arial" w:cs="Arial" w:eastAsia="Arial" w:hAnsi="Arial"/>
          <w:sz w:val="18"/>
          <w:szCs w:val="18"/>
          <w:color w:val="0D0E00"/>
        </w:rPr>
        <w:t>of the pending proceedings are expected to have a material effect on us.</w:t>
      </w:r>
    </w:p>
    <w:p>
      <w:pPr>
        <w:spacing w:after="0" w:line="202" w:lineRule="exact"/>
        <w:rPr>
          <w:rFonts w:ascii="Arial" w:cs="Arial" w:eastAsia="Arial" w:hAnsi="Arial"/>
          <w:sz w:val="18"/>
          <w:szCs w:val="18"/>
          <w:color w:val="0D0E00"/>
        </w:rPr>
      </w:pPr>
    </w:p>
    <w:p>
      <w:pPr>
        <w:ind w:left="500" w:right="20" w:hanging="492"/>
        <w:spacing w:after="0" w:line="258" w:lineRule="auto"/>
        <w:tabs>
          <w:tab w:leader="none" w:pos="56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0D0E00"/>
        </w:rPr>
        <w:t xml:space="preserve">Stock-Based Compensation - </w:t>
      </w:r>
      <w:r>
        <w:rPr>
          <w:rFonts w:ascii="Arial" w:cs="Arial" w:eastAsia="Arial" w:hAnsi="Arial"/>
          <w:sz w:val="18"/>
          <w:szCs w:val="18"/>
          <w:color w:val="0D0E00"/>
        </w:rPr>
        <w:t>Our Board of Directors approved a long-term incentive equity compensation arrangement for our executive officers</w:t>
      </w:r>
      <w:r>
        <w:rPr>
          <w:rFonts w:ascii="Arial" w:cs="Arial" w:eastAsia="Arial" w:hAnsi="Arial"/>
          <w:sz w:val="18"/>
          <w:szCs w:val="18"/>
          <w:b w:val="1"/>
          <w:bCs w:val="1"/>
          <w:color w:val="0D0E00"/>
        </w:rPr>
        <w:t xml:space="preserve"> </w:t>
      </w:r>
      <w:r>
        <w:rPr>
          <w:rFonts w:ascii="Arial" w:cs="Arial" w:eastAsia="Arial" w:hAnsi="Arial"/>
          <w:sz w:val="18"/>
          <w:szCs w:val="18"/>
          <w:color w:val="0D0E00"/>
        </w:rPr>
        <w:t>during the first quarter of fiscal 2009. This long-term incentive arrangement provides for the grant of nonqualified stock options that vest at the end of a three-year period and expire no later than 10 years after the grant date. During fiscal 2010, we issued 70,665 stock options and during fiscal 2009, we issued 61,332 stock options to our executive officers under this arrangement. We used the Black-Scholes valuation model to estimate the following fair value of the options at grant date based on the following assumptions:</w:t>
      </w:r>
    </w:p>
    <w:p>
      <w:pPr>
        <w:spacing w:after="0" w:line="207" w:lineRule="exact"/>
        <w:rPr>
          <w:sz w:val="20"/>
          <w:szCs w:val="20"/>
          <w:color w:val="auto"/>
        </w:rPr>
      </w:pPr>
    </w:p>
    <w:tbl>
      <w:tblPr>
        <w:tblLayout w:type="fixed"/>
        <w:tblInd w:w="254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0D0E00"/>
              </w:rPr>
              <w:t>June 10, 2009 issuance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0D0E00"/>
                <w:w w:val="97"/>
              </w:rPr>
              <w:t>May 13, 2008 issuance</w:t>
            </w:r>
          </w:p>
        </w:tc>
      </w:tr>
      <w:tr>
        <w:trPr>
          <w:trHeight w:val="80"/>
        </w:trPr>
        <w:tc>
          <w:tcPr>
            <w:tcW w:w="2820" w:type="dxa"/>
            <w:vAlign w:val="bottom"/>
            <w:tcBorders>
              <w:bottom w:val="single" w:sz="8" w:color="D6F3E8"/>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20" w:type="dxa"/>
            <w:vAlign w:val="bottom"/>
            <w:tcBorders>
              <w:bottom w:val="single" w:sz="8" w:color="D6F3E8"/>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23"/>
        </w:trPr>
        <w:tc>
          <w:tcPr>
            <w:tcW w:w="2820" w:type="dxa"/>
            <w:vAlign w:val="bottom"/>
            <w:shd w:val="clear" w:color="auto" w:fill="D6F3E8"/>
          </w:tcPr>
          <w:p>
            <w:pPr>
              <w:spacing w:after="0"/>
              <w:rPr>
                <w:sz w:val="20"/>
                <w:szCs w:val="20"/>
                <w:color w:val="auto"/>
              </w:rPr>
            </w:pPr>
            <w:r>
              <w:rPr>
                <w:rFonts w:ascii="Arial" w:cs="Arial" w:eastAsia="Arial" w:hAnsi="Arial"/>
                <w:sz w:val="18"/>
                <w:szCs w:val="18"/>
                <w:color w:val="0D0E00"/>
              </w:rPr>
              <w:t>Dividend yield</w:t>
            </w:r>
          </w:p>
        </w:tc>
        <w:tc>
          <w:tcPr>
            <w:tcW w:w="1440" w:type="dxa"/>
            <w:vAlign w:val="bottom"/>
            <w:shd w:val="clear" w:color="auto" w:fill="D6F3E8"/>
          </w:tcPr>
          <w:p>
            <w:pPr>
              <w:jc w:val="right"/>
              <w:ind w:right="453"/>
              <w:spacing w:after="0"/>
              <w:rPr>
                <w:sz w:val="20"/>
                <w:szCs w:val="20"/>
                <w:color w:val="auto"/>
              </w:rPr>
            </w:pPr>
            <w:r>
              <w:rPr>
                <w:rFonts w:ascii="Arial" w:cs="Arial" w:eastAsia="Arial" w:hAnsi="Arial"/>
                <w:sz w:val="18"/>
                <w:szCs w:val="18"/>
                <w:color w:val="0D0E00"/>
              </w:rPr>
              <w:t>2.5%</w:t>
            </w:r>
          </w:p>
        </w:tc>
        <w:tc>
          <w:tcPr>
            <w:tcW w:w="1020" w:type="dxa"/>
            <w:vAlign w:val="bottom"/>
            <w:shd w:val="clear" w:color="auto" w:fill="D6F3E8"/>
          </w:tcPr>
          <w:p>
            <w:pPr>
              <w:spacing w:after="0"/>
              <w:rPr>
                <w:sz w:val="19"/>
                <w:szCs w:val="19"/>
                <w:color w:val="auto"/>
              </w:rPr>
            </w:pPr>
          </w:p>
        </w:tc>
        <w:tc>
          <w:tcPr>
            <w:tcW w:w="1560" w:type="dxa"/>
            <w:vAlign w:val="bottom"/>
            <w:shd w:val="clear" w:color="auto" w:fill="D6F3E8"/>
          </w:tcPr>
          <w:p>
            <w:pPr>
              <w:jc w:val="right"/>
              <w:ind w:right="493"/>
              <w:spacing w:after="0"/>
              <w:rPr>
                <w:sz w:val="20"/>
                <w:szCs w:val="20"/>
                <w:color w:val="auto"/>
              </w:rPr>
            </w:pPr>
            <w:r>
              <w:rPr>
                <w:rFonts w:ascii="Arial" w:cs="Arial" w:eastAsia="Arial" w:hAnsi="Arial"/>
                <w:sz w:val="18"/>
                <w:szCs w:val="18"/>
                <w:color w:val="0D0E00"/>
              </w:rPr>
              <w:t>3.2%</w:t>
            </w: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0D0E00"/>
              </w:rPr>
              <w:t>Volatility</w:t>
            </w:r>
          </w:p>
        </w:tc>
        <w:tc>
          <w:tcPr>
            <w:tcW w:w="1440" w:type="dxa"/>
            <w:vAlign w:val="bottom"/>
          </w:tcPr>
          <w:p>
            <w:pPr>
              <w:jc w:val="right"/>
              <w:ind w:right="453"/>
              <w:spacing w:after="0"/>
              <w:rPr>
                <w:sz w:val="20"/>
                <w:szCs w:val="20"/>
                <w:color w:val="auto"/>
              </w:rPr>
            </w:pPr>
            <w:r>
              <w:rPr>
                <w:rFonts w:ascii="Arial" w:cs="Arial" w:eastAsia="Arial" w:hAnsi="Arial"/>
                <w:sz w:val="18"/>
                <w:szCs w:val="18"/>
                <w:color w:val="0D0E00"/>
              </w:rPr>
              <w:t>31.4%</w:t>
            </w:r>
          </w:p>
        </w:tc>
        <w:tc>
          <w:tcPr>
            <w:tcW w:w="1020" w:type="dxa"/>
            <w:vAlign w:val="bottom"/>
          </w:tcPr>
          <w:p>
            <w:pPr>
              <w:spacing w:after="0"/>
              <w:rPr>
                <w:sz w:val="20"/>
                <w:szCs w:val="20"/>
                <w:color w:val="auto"/>
              </w:rPr>
            </w:pPr>
          </w:p>
        </w:tc>
        <w:tc>
          <w:tcPr>
            <w:tcW w:w="1560" w:type="dxa"/>
            <w:vAlign w:val="bottom"/>
          </w:tcPr>
          <w:p>
            <w:pPr>
              <w:jc w:val="right"/>
              <w:ind w:right="493"/>
              <w:spacing w:after="0"/>
              <w:rPr>
                <w:sz w:val="20"/>
                <w:szCs w:val="20"/>
                <w:color w:val="auto"/>
              </w:rPr>
            </w:pPr>
            <w:r>
              <w:rPr>
                <w:rFonts w:ascii="Arial" w:cs="Arial" w:eastAsia="Arial" w:hAnsi="Arial"/>
                <w:sz w:val="18"/>
                <w:szCs w:val="18"/>
                <w:color w:val="0D0E00"/>
              </w:rPr>
              <w:t>28.0%</w:t>
            </w:r>
          </w:p>
        </w:tc>
      </w:tr>
      <w:tr>
        <w:trPr>
          <w:trHeight w:val="249"/>
        </w:trPr>
        <w:tc>
          <w:tcPr>
            <w:tcW w:w="2820" w:type="dxa"/>
            <w:vAlign w:val="bottom"/>
            <w:shd w:val="clear" w:color="auto" w:fill="D6F3E8"/>
          </w:tcPr>
          <w:p>
            <w:pPr>
              <w:spacing w:after="0"/>
              <w:rPr>
                <w:sz w:val="20"/>
                <w:szCs w:val="20"/>
                <w:color w:val="auto"/>
              </w:rPr>
            </w:pPr>
            <w:r>
              <w:rPr>
                <w:rFonts w:ascii="Arial" w:cs="Arial" w:eastAsia="Arial" w:hAnsi="Arial"/>
                <w:sz w:val="18"/>
                <w:szCs w:val="18"/>
                <w:color w:val="0D0E00"/>
              </w:rPr>
              <w:t>Risk-free interest rate</w:t>
            </w:r>
          </w:p>
        </w:tc>
        <w:tc>
          <w:tcPr>
            <w:tcW w:w="1440" w:type="dxa"/>
            <w:vAlign w:val="bottom"/>
            <w:shd w:val="clear" w:color="auto" w:fill="D6F3E8"/>
          </w:tcPr>
          <w:p>
            <w:pPr>
              <w:jc w:val="right"/>
              <w:ind w:right="453"/>
              <w:spacing w:after="0"/>
              <w:rPr>
                <w:sz w:val="20"/>
                <w:szCs w:val="20"/>
                <w:color w:val="auto"/>
              </w:rPr>
            </w:pPr>
            <w:r>
              <w:rPr>
                <w:rFonts w:ascii="Arial" w:cs="Arial" w:eastAsia="Arial" w:hAnsi="Arial"/>
                <w:sz w:val="18"/>
                <w:szCs w:val="18"/>
                <w:color w:val="0D0E00"/>
              </w:rPr>
              <w:t>2.1%</w:t>
            </w:r>
          </w:p>
        </w:tc>
        <w:tc>
          <w:tcPr>
            <w:tcW w:w="1020" w:type="dxa"/>
            <w:vAlign w:val="bottom"/>
            <w:shd w:val="clear" w:color="auto" w:fill="D6F3E8"/>
          </w:tcPr>
          <w:p>
            <w:pPr>
              <w:spacing w:after="0"/>
              <w:rPr>
                <w:sz w:val="21"/>
                <w:szCs w:val="21"/>
                <w:color w:val="auto"/>
              </w:rPr>
            </w:pPr>
          </w:p>
        </w:tc>
        <w:tc>
          <w:tcPr>
            <w:tcW w:w="1560" w:type="dxa"/>
            <w:vAlign w:val="bottom"/>
            <w:shd w:val="clear" w:color="auto" w:fill="D6F3E8"/>
          </w:tcPr>
          <w:p>
            <w:pPr>
              <w:jc w:val="right"/>
              <w:ind w:right="493"/>
              <w:spacing w:after="0"/>
              <w:rPr>
                <w:sz w:val="20"/>
                <w:szCs w:val="20"/>
                <w:color w:val="auto"/>
              </w:rPr>
            </w:pPr>
            <w:r>
              <w:rPr>
                <w:rFonts w:ascii="Arial" w:cs="Arial" w:eastAsia="Arial" w:hAnsi="Arial"/>
                <w:sz w:val="18"/>
                <w:szCs w:val="18"/>
                <w:color w:val="0D0E00"/>
              </w:rPr>
              <w:t>3.0%</w:t>
            </w: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0D0E00"/>
              </w:rPr>
              <w:t>Expected life in years</w:t>
            </w:r>
          </w:p>
        </w:tc>
        <w:tc>
          <w:tcPr>
            <w:tcW w:w="1440" w:type="dxa"/>
            <w:vAlign w:val="bottom"/>
          </w:tcPr>
          <w:p>
            <w:pPr>
              <w:jc w:val="right"/>
              <w:ind w:right="733"/>
              <w:spacing w:after="0"/>
              <w:rPr>
                <w:sz w:val="20"/>
                <w:szCs w:val="20"/>
                <w:color w:val="auto"/>
              </w:rPr>
            </w:pPr>
            <w:r>
              <w:rPr>
                <w:rFonts w:ascii="Arial" w:cs="Arial" w:eastAsia="Arial" w:hAnsi="Arial"/>
                <w:sz w:val="18"/>
                <w:szCs w:val="18"/>
                <w:color w:val="0D0E00"/>
              </w:rPr>
              <w:t>4</w:t>
            </w:r>
          </w:p>
        </w:tc>
        <w:tc>
          <w:tcPr>
            <w:tcW w:w="1020" w:type="dxa"/>
            <w:vAlign w:val="bottom"/>
          </w:tcPr>
          <w:p>
            <w:pPr>
              <w:spacing w:after="0"/>
              <w:rPr>
                <w:sz w:val="20"/>
                <w:szCs w:val="20"/>
                <w:color w:val="auto"/>
              </w:rPr>
            </w:pPr>
          </w:p>
        </w:tc>
        <w:tc>
          <w:tcPr>
            <w:tcW w:w="1560" w:type="dxa"/>
            <w:vAlign w:val="bottom"/>
          </w:tcPr>
          <w:p>
            <w:pPr>
              <w:jc w:val="right"/>
              <w:ind w:right="793"/>
              <w:spacing w:after="0"/>
              <w:rPr>
                <w:sz w:val="20"/>
                <w:szCs w:val="20"/>
                <w:color w:val="auto"/>
              </w:rPr>
            </w:pPr>
            <w:r>
              <w:rPr>
                <w:rFonts w:ascii="Arial" w:cs="Arial" w:eastAsia="Arial" w:hAnsi="Arial"/>
                <w:sz w:val="18"/>
                <w:szCs w:val="18"/>
                <w:color w:val="0D0E00"/>
              </w:rPr>
              <w:t>4</w:t>
            </w:r>
          </w:p>
        </w:tc>
      </w:tr>
      <w:tr>
        <w:trPr>
          <w:trHeight w:val="249"/>
        </w:trPr>
        <w:tc>
          <w:tcPr>
            <w:tcW w:w="2820" w:type="dxa"/>
            <w:vAlign w:val="bottom"/>
            <w:shd w:val="clear" w:color="auto" w:fill="D6F3E8"/>
          </w:tcPr>
          <w:p>
            <w:pPr>
              <w:spacing w:after="0"/>
              <w:rPr>
                <w:sz w:val="20"/>
                <w:szCs w:val="20"/>
                <w:color w:val="auto"/>
              </w:rPr>
            </w:pPr>
            <w:r>
              <w:rPr>
                <w:rFonts w:ascii="Arial" w:cs="Arial" w:eastAsia="Arial" w:hAnsi="Arial"/>
                <w:sz w:val="18"/>
                <w:szCs w:val="18"/>
                <w:color w:val="0D0E00"/>
              </w:rPr>
              <w:t>Grant date fair value</w:t>
            </w:r>
          </w:p>
        </w:tc>
        <w:tc>
          <w:tcPr>
            <w:tcW w:w="1440" w:type="dxa"/>
            <w:vAlign w:val="bottom"/>
            <w:shd w:val="clear" w:color="auto" w:fill="D6F3E8"/>
          </w:tcPr>
          <w:p>
            <w:pPr>
              <w:jc w:val="right"/>
              <w:ind w:right="593"/>
              <w:spacing w:after="0"/>
              <w:rPr>
                <w:sz w:val="20"/>
                <w:szCs w:val="20"/>
                <w:color w:val="auto"/>
              </w:rPr>
            </w:pPr>
            <w:r>
              <w:rPr>
                <w:rFonts w:ascii="Arial" w:cs="Arial" w:eastAsia="Arial" w:hAnsi="Arial"/>
                <w:sz w:val="18"/>
                <w:szCs w:val="18"/>
                <w:color w:val="0D0E00"/>
              </w:rPr>
              <w:t>$ 4.33</w:t>
            </w:r>
          </w:p>
        </w:tc>
        <w:tc>
          <w:tcPr>
            <w:tcW w:w="1020" w:type="dxa"/>
            <w:vAlign w:val="bottom"/>
            <w:shd w:val="clear" w:color="auto" w:fill="D6F3E8"/>
          </w:tcPr>
          <w:p>
            <w:pPr>
              <w:spacing w:after="0"/>
              <w:rPr>
                <w:sz w:val="21"/>
                <w:szCs w:val="21"/>
                <w:color w:val="auto"/>
              </w:rPr>
            </w:pPr>
          </w:p>
        </w:tc>
        <w:tc>
          <w:tcPr>
            <w:tcW w:w="1560" w:type="dxa"/>
            <w:vAlign w:val="bottom"/>
            <w:shd w:val="clear" w:color="auto" w:fill="D6F3E8"/>
          </w:tcPr>
          <w:p>
            <w:pPr>
              <w:jc w:val="right"/>
              <w:ind w:right="653"/>
              <w:spacing w:after="0"/>
              <w:rPr>
                <w:sz w:val="20"/>
                <w:szCs w:val="20"/>
                <w:color w:val="auto"/>
              </w:rPr>
            </w:pPr>
            <w:r>
              <w:rPr>
                <w:rFonts w:ascii="Arial" w:cs="Arial" w:eastAsia="Arial" w:hAnsi="Arial"/>
                <w:sz w:val="18"/>
                <w:szCs w:val="18"/>
                <w:color w:val="0D0E00"/>
              </w:rPr>
              <w:t>$ 2.95</w:t>
            </w:r>
          </w:p>
        </w:tc>
      </w:tr>
    </w:tbl>
    <w:p>
      <w:pPr>
        <w:spacing w:after="0" w:line="229"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0D0E00"/>
        </w:rPr>
        <w:t>Volatility is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 We recorded compensation expense related to these awards of approximately $41,000 for the three months ended December 31, 2009 and $102,000 for the nine months ended December 31, 2009, and approximately $15,000 for the three months ended December 31, 2008 and $38,000 for the nine months ended December 31, 2008.</w:t>
      </w:r>
    </w:p>
    <w:p>
      <w:pPr>
        <w:spacing w:after="0" w:line="21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0D0E00"/>
        </w:rPr>
        <w:t>Our Board of Directors approved a performance-based equity compensation arrangement for our executive officers 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after our final financial information becomes available after the applicable fiscal year and will be between zero shares and 26,500 shares in the aggregate. The restricted shares issued will fully vest two years after the last day of the fiscal year on which the performance is based. We are recording the compensation expense for the outstanding performance share units and then-converted restricte d stock over the life of the awards.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On June 10, 2009 and May 13, 2008, we awarded performance-based restricted stock units to our executive officers under this arrangement. The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performance-based restricted stock units granted on May 13, 2008 resulted in the issuance of 23,000 shares of restricted stock to our executive officers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on June 10, 2009. We recorded compensation expense related to the shares issued for fiscal 2009 and the potential issuance of shares for fiscal 2010 of</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approximately $80,000 for the three months ended December 31, 2009 and $295,000 for the nine months ended December 31, 2009, and we recorded</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 xml:space="preserve">compensation expense related to the shares issued for fiscal 2009 of </w:t>
      </w:r>
      <w:r>
        <w:rPr>
          <w:rFonts w:ascii="Arial" w:cs="Arial" w:eastAsia="Arial" w:hAnsi="Arial"/>
          <w:sz w:val="16"/>
          <w:szCs w:val="16"/>
          <w:color w:val="000000"/>
        </w:rPr>
        <w:t>approximately $23,000 for the three months ended December 31, 2008 and</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$90,000 for the nine months ended December 31, 2008</w:t>
      </w:r>
      <w:r>
        <w:rPr>
          <w:rFonts w:ascii="Arial" w:cs="Arial" w:eastAsia="Arial" w:hAnsi="Arial"/>
          <w:sz w:val="16"/>
          <w:szCs w:val="16"/>
          <w:color w:val="0D0E00"/>
        </w:rPr>
        <w:t>. Until the performance-based restricted stock units result in the issuance of restricted stock, the</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amount of expense recorded each period is dependent upon our estimate of the number of shares that will ultimately be issued and our then current</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6"/>
          <w:szCs w:val="16"/>
          <w:color w:val="0D0E00"/>
        </w:rPr>
        <w:t>common stock price. Upon issuance of restricted stock, we record compensation expense over the remaining vesting period using the award date</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0D0E00"/>
        </w:rPr>
        <w:t>closing price, which was $19.90 per share on June 10, 2009.</w:t>
      </w:r>
    </w:p>
    <w:p>
      <w:pPr>
        <w:spacing w:after="0" w:line="238"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0D0E00"/>
        </w:rPr>
        <w:t xml:space="preserve">As part of their retainer, the non-employee Board of Directors receives restricted stock for their Board services. We expense the restricted stock awards over </w:t>
      </w:r>
      <w:r>
        <w:rPr>
          <w:rFonts w:ascii="Arial" w:cs="Arial" w:eastAsia="Arial" w:hAnsi="Arial"/>
          <w:sz w:val="18"/>
          <w:szCs w:val="18"/>
          <w:color w:val="000000"/>
        </w:rPr>
        <w:t>the requisite vesting period, which begins on the date of issuance and ends on the date of the next Annual Meeting of Shareholders, based on the</w:t>
      </w:r>
      <w:r>
        <w:rPr>
          <w:rFonts w:ascii="Arial" w:cs="Arial" w:eastAsia="Arial" w:hAnsi="Arial"/>
          <w:sz w:val="18"/>
          <w:szCs w:val="18"/>
          <w:color w:val="0D0E00"/>
        </w:rPr>
        <w:t xml:space="preserve"> </w:t>
      </w:r>
      <w:r>
        <w:rPr>
          <w:rFonts w:ascii="Arial" w:cs="Arial" w:eastAsia="Arial" w:hAnsi="Arial"/>
          <w:sz w:val="18"/>
          <w:szCs w:val="18"/>
          <w:color w:val="000000"/>
        </w:rPr>
        <w:t>market value on the date of grant. The following represents the grants for the Board’s services and the compensation expense for the three and nine months ending December 31, 2009 and December 31, 2008:</w:t>
      </w:r>
    </w:p>
    <w:p>
      <w:pPr>
        <w:spacing w:after="0" w:line="28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0D0E00"/>
                <w:w w:val="92"/>
              </w:rPr>
              <w:t>Number of Shares</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0D0E00"/>
              </w:rPr>
              <w:t>Grant Date Fair Value</w:t>
            </w:r>
          </w:p>
        </w:tc>
        <w:tc>
          <w:tcPr>
            <w:tcW w:w="25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0D0E00"/>
                <w:w w:val="94"/>
              </w:rPr>
              <w:t>Three months ended December 31</w:t>
            </w: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0D0E00"/>
                <w:w w:val="95"/>
              </w:rPr>
              <w:t>Nine months ended December 31</w:t>
            </w:r>
          </w:p>
        </w:tc>
      </w:tr>
      <w:tr>
        <w:trPr>
          <w:trHeight w:val="223"/>
        </w:trPr>
        <w:tc>
          <w:tcPr>
            <w:tcW w:w="23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0D0E00"/>
              </w:rPr>
              <w:t>Grant Date</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D0E00"/>
                <w:w w:val="94"/>
              </w:rPr>
              <w:t>Awarded</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0D0E00"/>
              </w:rPr>
              <w:t>Per Share</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0D0E00"/>
              </w:rPr>
              <w:t>2009</w:t>
            </w:r>
          </w:p>
        </w:tc>
        <w:tc>
          <w:tcPr>
            <w:tcW w:w="5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0D0E00"/>
              </w:rPr>
              <w:t>2008</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0D0E00"/>
              </w:rPr>
              <w:t>2009</w:t>
            </w:r>
          </w:p>
        </w:tc>
        <w:tc>
          <w:tcPr>
            <w:tcW w:w="4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0D0E00"/>
              </w:rPr>
              <w:t>2008</w:t>
            </w:r>
          </w:p>
        </w:tc>
        <w:tc>
          <w:tcPr>
            <w:tcW w:w="100" w:type="dxa"/>
            <w:vAlign w:val="bottom"/>
          </w:tcPr>
          <w:p>
            <w:pPr>
              <w:spacing w:after="0"/>
              <w:rPr>
                <w:sz w:val="19"/>
                <w:szCs w:val="19"/>
                <w:color w:val="auto"/>
              </w:rPr>
            </w:pPr>
          </w:p>
        </w:tc>
      </w:tr>
      <w:tr>
        <w:trPr>
          <w:trHeight w:val="237"/>
        </w:trPr>
        <w:tc>
          <w:tcPr>
            <w:tcW w:w="2340" w:type="dxa"/>
            <w:vAlign w:val="bottom"/>
            <w:shd w:val="clear" w:color="auto" w:fill="D6F3E8"/>
          </w:tcPr>
          <w:p>
            <w:pPr>
              <w:spacing w:after="0"/>
              <w:rPr>
                <w:sz w:val="20"/>
                <w:szCs w:val="20"/>
                <w:color w:val="auto"/>
              </w:rPr>
            </w:pPr>
            <w:r>
              <w:rPr>
                <w:rFonts w:ascii="Arial" w:cs="Arial" w:eastAsia="Arial" w:hAnsi="Arial"/>
                <w:sz w:val="18"/>
                <w:szCs w:val="18"/>
                <w:color w:val="0D0E00"/>
              </w:rPr>
              <w:t>September 18, 2007</w:t>
            </w:r>
          </w:p>
        </w:tc>
        <w:tc>
          <w:tcPr>
            <w:tcW w:w="178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0D0E00"/>
              </w:rPr>
              <w:t>7,000</w:t>
            </w:r>
          </w:p>
        </w:tc>
        <w:tc>
          <w:tcPr>
            <w:tcW w:w="240" w:type="dxa"/>
            <w:vAlign w:val="bottom"/>
            <w:shd w:val="clear" w:color="auto" w:fill="D6F3E8"/>
          </w:tcPr>
          <w:p>
            <w:pPr>
              <w:spacing w:after="0"/>
              <w:rPr>
                <w:sz w:val="20"/>
                <w:szCs w:val="20"/>
                <w:color w:val="auto"/>
              </w:rPr>
            </w:pPr>
            <w:r>
              <w:rPr>
                <w:rFonts w:ascii="Arial" w:cs="Arial" w:eastAsia="Arial" w:hAnsi="Arial"/>
                <w:sz w:val="18"/>
                <w:szCs w:val="18"/>
                <w:color w:val="0D0E00"/>
              </w:rPr>
              <w:t>$</w:t>
            </w:r>
          </w:p>
        </w:tc>
        <w:tc>
          <w:tcPr>
            <w:tcW w:w="15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14.48</w:t>
            </w:r>
          </w:p>
        </w:tc>
        <w:tc>
          <w:tcPr>
            <w:tcW w:w="200" w:type="dxa"/>
            <w:vAlign w:val="bottom"/>
            <w:shd w:val="clear" w:color="auto" w:fill="D6F3E8"/>
          </w:tcPr>
          <w:p>
            <w:pPr>
              <w:jc w:val="right"/>
              <w:ind w:right="16"/>
              <w:spacing w:after="0"/>
              <w:rPr>
                <w:sz w:val="20"/>
                <w:szCs w:val="20"/>
                <w:color w:val="auto"/>
              </w:rPr>
            </w:pPr>
            <w:r>
              <w:rPr>
                <w:rFonts w:ascii="Arial" w:cs="Arial" w:eastAsia="Arial" w:hAnsi="Arial"/>
                <w:sz w:val="18"/>
                <w:szCs w:val="18"/>
                <w:color w:val="0D0E00"/>
                <w:w w:val="79"/>
              </w:rPr>
              <w:t>$</w:t>
            </w:r>
          </w:p>
        </w:tc>
        <w:tc>
          <w:tcPr>
            <w:tcW w:w="1220" w:type="dxa"/>
            <w:vAlign w:val="bottom"/>
            <w:gridSpan w:val="2"/>
            <w:shd w:val="clear" w:color="auto" w:fill="D6F3E8"/>
          </w:tcPr>
          <w:p>
            <w:pPr>
              <w:jc w:val="right"/>
              <w:ind w:right="500"/>
              <w:spacing w:after="0"/>
              <w:rPr>
                <w:sz w:val="20"/>
                <w:szCs w:val="20"/>
                <w:color w:val="auto"/>
              </w:rPr>
            </w:pPr>
            <w:r>
              <w:rPr>
                <w:rFonts w:ascii="Arial" w:cs="Arial" w:eastAsia="Arial" w:hAnsi="Arial"/>
                <w:sz w:val="18"/>
                <w:szCs w:val="18"/>
                <w:color w:val="0D0E00"/>
              </w:rPr>
              <w:t>—</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9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w:t>
            </w: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0D0E00"/>
              </w:rPr>
              <w:t>$</w:t>
            </w:r>
          </w:p>
        </w:tc>
        <w:tc>
          <w:tcPr>
            <w:tcW w:w="106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7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40,000</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0D0E00"/>
              </w:rPr>
              <w:t>August 7, 2008</w:t>
            </w:r>
          </w:p>
        </w:tc>
        <w:tc>
          <w:tcPr>
            <w:tcW w:w="1780" w:type="dxa"/>
            <w:vAlign w:val="bottom"/>
            <w:gridSpan w:val="3"/>
          </w:tcPr>
          <w:p>
            <w:pPr>
              <w:jc w:val="right"/>
              <w:ind w:right="360"/>
              <w:spacing w:after="0"/>
              <w:rPr>
                <w:sz w:val="20"/>
                <w:szCs w:val="20"/>
                <w:color w:val="auto"/>
              </w:rPr>
            </w:pPr>
            <w:r>
              <w:rPr>
                <w:rFonts w:ascii="Arial" w:cs="Arial" w:eastAsia="Arial" w:hAnsi="Arial"/>
                <w:sz w:val="18"/>
                <w:szCs w:val="18"/>
                <w:color w:val="0D0E00"/>
              </w:rPr>
              <w:t>7,000</w:t>
            </w:r>
          </w:p>
        </w:tc>
        <w:tc>
          <w:tcPr>
            <w:tcW w:w="240" w:type="dxa"/>
            <w:vAlign w:val="bottom"/>
          </w:tcPr>
          <w:p>
            <w:pPr>
              <w:spacing w:after="0"/>
              <w:rPr>
                <w:sz w:val="20"/>
                <w:szCs w:val="20"/>
                <w:color w:val="auto"/>
              </w:rPr>
            </w:pPr>
            <w:r>
              <w:rPr>
                <w:rFonts w:ascii="Arial" w:cs="Arial" w:eastAsia="Arial" w:hAnsi="Arial"/>
                <w:sz w:val="18"/>
                <w:szCs w:val="18"/>
                <w:color w:val="0D0E00"/>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0D0E00"/>
              </w:rPr>
              <w:t>14.53</w:t>
            </w:r>
          </w:p>
        </w:tc>
        <w:tc>
          <w:tcPr>
            <w:tcW w:w="20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0D0E00"/>
              </w:rPr>
              <w:t>—</w:t>
            </w:r>
          </w:p>
        </w:tc>
        <w:tc>
          <w:tcPr>
            <w:tcW w:w="1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0D0E00"/>
              </w:rPr>
              <w:t>25,000</w:t>
            </w:r>
          </w:p>
        </w:tc>
        <w:tc>
          <w:tcPr>
            <w:tcW w:w="180" w:type="dxa"/>
            <w:vAlign w:val="bottom"/>
          </w:tcPr>
          <w:p>
            <w:pPr>
              <w:spacing w:after="0"/>
              <w:rPr>
                <w:sz w:val="21"/>
                <w:szCs w:val="21"/>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0D0E00"/>
              </w:rPr>
              <w:t>34,000</w:t>
            </w:r>
          </w:p>
        </w:tc>
        <w:tc>
          <w:tcPr>
            <w:tcW w:w="1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0D0E00"/>
              </w:rPr>
              <w:t>43,000</w:t>
            </w:r>
          </w:p>
        </w:tc>
      </w:tr>
      <w:tr>
        <w:trPr>
          <w:trHeight w:val="243"/>
        </w:trPr>
        <w:tc>
          <w:tcPr>
            <w:tcW w:w="2340" w:type="dxa"/>
            <w:vAlign w:val="bottom"/>
            <w:shd w:val="clear" w:color="auto" w:fill="D6F3E8"/>
          </w:tcPr>
          <w:p>
            <w:pPr>
              <w:spacing w:after="0"/>
              <w:rPr>
                <w:sz w:val="20"/>
                <w:szCs w:val="20"/>
                <w:color w:val="auto"/>
              </w:rPr>
            </w:pPr>
            <w:r>
              <w:rPr>
                <w:rFonts w:ascii="Arial" w:cs="Arial" w:eastAsia="Arial" w:hAnsi="Arial"/>
                <w:sz w:val="18"/>
                <w:szCs w:val="18"/>
                <w:color w:val="0D0E00"/>
              </w:rPr>
              <w:t>August 5, 2009</w:t>
            </w:r>
          </w:p>
        </w:tc>
        <w:tc>
          <w:tcPr>
            <w:tcW w:w="178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0D0E00"/>
              </w:rPr>
              <w:t>6,000</w:t>
            </w:r>
          </w:p>
        </w:tc>
        <w:tc>
          <w:tcPr>
            <w:tcW w:w="240" w:type="dxa"/>
            <w:vAlign w:val="bottom"/>
            <w:shd w:val="clear" w:color="auto" w:fill="D6F3E8"/>
          </w:tcPr>
          <w:p>
            <w:pPr>
              <w:spacing w:after="0"/>
              <w:rPr>
                <w:sz w:val="20"/>
                <w:szCs w:val="20"/>
                <w:color w:val="auto"/>
              </w:rPr>
            </w:pPr>
            <w:r>
              <w:rPr>
                <w:rFonts w:ascii="Arial" w:cs="Arial" w:eastAsia="Arial" w:hAnsi="Arial"/>
                <w:sz w:val="18"/>
                <w:szCs w:val="18"/>
                <w:color w:val="0D0E00"/>
              </w:rPr>
              <w:t>$</w:t>
            </w:r>
          </w:p>
        </w:tc>
        <w:tc>
          <w:tcPr>
            <w:tcW w:w="15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0D0E00"/>
              </w:rPr>
              <w:t>18.68</w:t>
            </w:r>
          </w:p>
        </w:tc>
        <w:tc>
          <w:tcPr>
            <w:tcW w:w="200" w:type="dxa"/>
            <w:vAlign w:val="bottom"/>
            <w:shd w:val="clear" w:color="auto" w:fill="D6F3E8"/>
          </w:tcPr>
          <w:p>
            <w:pPr>
              <w:spacing w:after="0"/>
              <w:rPr>
                <w:sz w:val="21"/>
                <w:szCs w:val="21"/>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28,000</w:t>
            </w:r>
          </w:p>
        </w:tc>
        <w:tc>
          <w:tcPr>
            <w:tcW w:w="50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9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w:t>
            </w:r>
          </w:p>
        </w:tc>
        <w:tc>
          <w:tcPr>
            <w:tcW w:w="18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47,000</w:t>
            </w:r>
          </w:p>
        </w:tc>
        <w:tc>
          <w:tcPr>
            <w:tcW w:w="180" w:type="dxa"/>
            <w:vAlign w:val="bottom"/>
            <w:shd w:val="clear" w:color="auto" w:fill="D6F3E8"/>
          </w:tcPr>
          <w:p>
            <w:pPr>
              <w:spacing w:after="0"/>
              <w:rPr>
                <w:sz w:val="21"/>
                <w:szCs w:val="21"/>
                <w:color w:val="auto"/>
              </w:rPr>
            </w:pPr>
          </w:p>
        </w:tc>
        <w:tc>
          <w:tcPr>
            <w:tcW w:w="7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w:t>
            </w:r>
          </w:p>
        </w:tc>
      </w:tr>
      <w:tr>
        <w:trPr>
          <w:trHeight w:val="20"/>
        </w:trPr>
        <w:tc>
          <w:tcPr>
            <w:tcW w:w="2340" w:type="dxa"/>
            <w:vAlign w:val="bottom"/>
            <w:shd w:val="clear" w:color="auto" w:fill="D6F3E8"/>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100" w:type="dxa"/>
            <w:vAlign w:val="bottom"/>
            <w:shd w:val="clear" w:color="auto" w:fill="D6F3E8"/>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140" w:type="dxa"/>
            <w:vAlign w:val="bottom"/>
            <w:shd w:val="clear" w:color="auto" w:fill="D6F3E8"/>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r>
      <w:tr>
        <w:trPr>
          <w:trHeight w:val="210"/>
        </w:trPr>
        <w:tc>
          <w:tcPr>
            <w:tcW w:w="2340" w:type="dxa"/>
            <w:vAlign w:val="bottom"/>
          </w:tcPr>
          <w:p>
            <w:pPr>
              <w:ind w:left="180"/>
              <w:spacing w:after="0"/>
              <w:rPr>
                <w:sz w:val="20"/>
                <w:szCs w:val="20"/>
                <w:color w:val="auto"/>
              </w:rPr>
            </w:pPr>
            <w:r>
              <w:rPr>
                <w:rFonts w:ascii="Arial" w:cs="Arial" w:eastAsia="Arial" w:hAnsi="Arial"/>
                <w:sz w:val="18"/>
                <w:szCs w:val="18"/>
                <w:color w:val="0D0E00"/>
              </w:rPr>
              <w:t>Total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0D0E00"/>
                <w:w w:val="79"/>
              </w:rPr>
              <w:t>$</w:t>
            </w:r>
          </w:p>
        </w:tc>
        <w:tc>
          <w:tcPr>
            <w:tcW w:w="720" w:type="dxa"/>
            <w:vAlign w:val="bottom"/>
          </w:tcPr>
          <w:p>
            <w:pPr>
              <w:jc w:val="right"/>
              <w:spacing w:after="0"/>
              <w:rPr>
                <w:sz w:val="20"/>
                <w:szCs w:val="20"/>
                <w:color w:val="auto"/>
              </w:rPr>
            </w:pPr>
            <w:r>
              <w:rPr>
                <w:rFonts w:ascii="Arial" w:cs="Arial" w:eastAsia="Arial" w:hAnsi="Arial"/>
                <w:sz w:val="18"/>
                <w:szCs w:val="18"/>
                <w:color w:val="0D0E00"/>
              </w:rPr>
              <w:t>28,000</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D0E00"/>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0D0E00"/>
              </w:rPr>
              <w:t>25,000</w:t>
            </w:r>
          </w:p>
        </w:tc>
        <w:tc>
          <w:tcPr>
            <w:tcW w:w="180" w:type="dxa"/>
            <w:vAlign w:val="bottom"/>
          </w:tcPr>
          <w:p>
            <w:pPr>
              <w:spacing w:after="0"/>
              <w:rPr>
                <w:sz w:val="20"/>
                <w:szCs w:val="20"/>
                <w:color w:val="auto"/>
              </w:rPr>
            </w:pPr>
            <w:r>
              <w:rPr>
                <w:rFonts w:ascii="Arial" w:cs="Arial" w:eastAsia="Arial" w:hAnsi="Arial"/>
                <w:sz w:val="18"/>
                <w:szCs w:val="18"/>
                <w:color w:val="0D0E00"/>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0D0E00"/>
              </w:rPr>
              <w:t>81,000</w:t>
            </w:r>
          </w:p>
        </w:tc>
        <w:tc>
          <w:tcPr>
            <w:tcW w:w="180" w:type="dxa"/>
            <w:vAlign w:val="bottom"/>
          </w:tcPr>
          <w:p>
            <w:pPr>
              <w:jc w:val="right"/>
              <w:spacing w:after="0"/>
              <w:rPr>
                <w:sz w:val="20"/>
                <w:szCs w:val="20"/>
                <w:color w:val="auto"/>
              </w:rPr>
            </w:pPr>
            <w:r>
              <w:rPr>
                <w:rFonts w:ascii="Arial" w:cs="Arial" w:eastAsia="Arial" w:hAnsi="Arial"/>
                <w:sz w:val="18"/>
                <w:szCs w:val="18"/>
                <w:color w:val="0D0E00"/>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0D0E00"/>
              </w:rPr>
              <w:t>83,000</w:t>
            </w:r>
          </w:p>
        </w:tc>
      </w:tr>
      <w:tr>
        <w:trPr>
          <w:trHeight w:val="41"/>
        </w:trPr>
        <w:tc>
          <w:tcPr>
            <w:tcW w:w="2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00" w:hanging="492"/>
        <w:spacing w:after="0" w:line="291" w:lineRule="auto"/>
        <w:tabs>
          <w:tab w:leader="none" w:pos="509" w:val="left"/>
        </w:tabs>
        <w:numPr>
          <w:ilvl w:val="0"/>
          <w:numId w:val="10"/>
        </w:numPr>
        <w:rPr>
          <w:rFonts w:ascii="Arial" w:cs="Arial" w:eastAsia="Arial" w:hAnsi="Arial"/>
          <w:sz w:val="16"/>
          <w:szCs w:val="16"/>
          <w:color w:val="0D0E00"/>
        </w:rPr>
      </w:pPr>
      <w:r>
        <w:rPr>
          <w:rFonts w:ascii="Arial" w:cs="Arial" w:eastAsia="Arial" w:hAnsi="Arial"/>
          <w:sz w:val="16"/>
          <w:szCs w:val="16"/>
          <w:b w:val="1"/>
          <w:bCs w:val="1"/>
          <w:color w:val="0D0E00"/>
        </w:rPr>
        <w:t xml:space="preserve">Segment Reporting - </w:t>
      </w:r>
      <w:r>
        <w:rPr>
          <w:rFonts w:ascii="Arial" w:cs="Arial" w:eastAsia="Arial" w:hAnsi="Arial"/>
          <w:sz w:val="16"/>
          <w:szCs w:val="16"/>
          <w:color w:val="0D0E00"/>
        </w:rPr>
        <w:t>We have two reportable segments: Industrial and Water Treatment. The accounting policies of the segments are the same as</w:t>
      </w:r>
      <w:r>
        <w:rPr>
          <w:rFonts w:ascii="Arial" w:cs="Arial" w:eastAsia="Arial" w:hAnsi="Arial"/>
          <w:sz w:val="16"/>
          <w:szCs w:val="16"/>
          <w:b w:val="1"/>
          <w:bCs w:val="1"/>
          <w:color w:val="0D0E00"/>
        </w:rPr>
        <w:t xml:space="preserve"> </w:t>
      </w:r>
      <w:r>
        <w:rPr>
          <w:rFonts w:ascii="Arial" w:cs="Arial" w:eastAsia="Arial" w:hAnsi="Arial"/>
          <w:sz w:val="16"/>
          <w:szCs w:val="16"/>
          <w:color w:val="0D0E00"/>
        </w:rPr>
        <w:t>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 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 generated 10 percent or more of our revenue. Sales are primarily within the United States and all assets are located within the United States.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0D0E00"/>
              </w:rPr>
              <w:t>Reportable Segments</w:t>
            </w:r>
          </w:p>
        </w:tc>
        <w:tc>
          <w:tcPr>
            <w:tcW w:w="22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0D0E00"/>
              </w:rPr>
              <w:t>Industrial</w:t>
            </w: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0D0E00"/>
              </w:rPr>
              <w:t>Water</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0D0E00"/>
              </w:rPr>
              <w:t>Total</w:t>
            </w:r>
          </w:p>
        </w:tc>
        <w:tc>
          <w:tcPr>
            <w:tcW w:w="0" w:type="dxa"/>
            <w:vAlign w:val="bottom"/>
          </w:tcPr>
          <w:p>
            <w:pPr>
              <w:spacing w:after="0"/>
              <w:rPr>
                <w:sz w:val="1"/>
                <w:szCs w:val="1"/>
                <w:color w:val="auto"/>
              </w:rPr>
            </w:pPr>
          </w:p>
        </w:tc>
      </w:tr>
      <w:tr>
        <w:trPr>
          <w:trHeight w:val="171"/>
        </w:trPr>
        <w:tc>
          <w:tcPr>
            <w:tcW w:w="6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0D0E00"/>
              </w:rPr>
              <w:t>Treatment</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6000" w:type="dxa"/>
            <w:vAlign w:val="bottom"/>
          </w:tcPr>
          <w:p>
            <w:pPr>
              <w:spacing w:after="0"/>
              <w:rPr>
                <w:sz w:val="20"/>
                <w:szCs w:val="20"/>
                <w:color w:val="auto"/>
              </w:rPr>
            </w:pPr>
            <w:r>
              <w:rPr>
                <w:rFonts w:ascii="Arial" w:cs="Arial" w:eastAsia="Arial" w:hAnsi="Arial"/>
                <w:sz w:val="18"/>
                <w:szCs w:val="18"/>
                <w:color w:val="0D0E00"/>
              </w:rPr>
              <w:t>Three Months Ended December 31, 2009:</w:t>
            </w: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D6F3E8"/>
          </w:tcPr>
          <w:p>
            <w:pPr>
              <w:ind w:left="480"/>
              <w:spacing w:after="0"/>
              <w:rPr>
                <w:sz w:val="20"/>
                <w:szCs w:val="20"/>
                <w:color w:val="auto"/>
              </w:rPr>
            </w:pPr>
            <w:r>
              <w:rPr>
                <w:rFonts w:ascii="Arial" w:cs="Arial" w:eastAsia="Arial" w:hAnsi="Arial"/>
                <w:sz w:val="18"/>
                <w:szCs w:val="18"/>
                <w:color w:val="0D0E00"/>
              </w:rPr>
              <w:t>Sales</w:t>
            </w:r>
          </w:p>
        </w:tc>
        <w:tc>
          <w:tcPr>
            <w:tcW w:w="22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0D0E00"/>
                <w:w w:val="79"/>
              </w:rPr>
              <w:t>$</w:t>
            </w:r>
          </w:p>
        </w:tc>
        <w:tc>
          <w:tcPr>
            <w:tcW w:w="14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42,336,000</w:t>
            </w:r>
          </w:p>
        </w:tc>
        <w:tc>
          <w:tcPr>
            <w:tcW w:w="22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0D0E00"/>
                <w:w w:val="79"/>
              </w:rPr>
              <w:t>$</w:t>
            </w: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18,291,000</w:t>
            </w:r>
          </w:p>
        </w:tc>
        <w:tc>
          <w:tcPr>
            <w:tcW w:w="160" w:type="dxa"/>
            <w:vAlign w:val="bottom"/>
            <w:shd w:val="clear" w:color="auto" w:fill="D6F3E8"/>
          </w:tcPr>
          <w:p>
            <w:pPr>
              <w:jc w:val="right"/>
              <w:ind w:right="5"/>
              <w:spacing w:after="0"/>
              <w:rPr>
                <w:sz w:val="20"/>
                <w:szCs w:val="20"/>
                <w:color w:val="auto"/>
              </w:rPr>
            </w:pPr>
            <w:r>
              <w:rPr>
                <w:rFonts w:ascii="Arial" w:cs="Arial" w:eastAsia="Arial" w:hAnsi="Arial"/>
                <w:sz w:val="15"/>
                <w:szCs w:val="15"/>
                <w:color w:val="0D0E00"/>
                <w:w w:val="71"/>
              </w:rPr>
              <w:t>$</w:t>
            </w: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60,627,000</w:t>
            </w:r>
          </w:p>
        </w:tc>
        <w:tc>
          <w:tcPr>
            <w:tcW w:w="0" w:type="dxa"/>
            <w:vAlign w:val="bottom"/>
          </w:tcPr>
          <w:p>
            <w:pPr>
              <w:spacing w:after="0"/>
              <w:rPr>
                <w:sz w:val="1"/>
                <w:szCs w:val="1"/>
                <w:color w:val="auto"/>
              </w:rPr>
            </w:pPr>
          </w:p>
        </w:tc>
      </w:tr>
      <w:tr>
        <w:trPr>
          <w:trHeight w:val="243"/>
        </w:trPr>
        <w:tc>
          <w:tcPr>
            <w:tcW w:w="6000" w:type="dxa"/>
            <w:vAlign w:val="bottom"/>
          </w:tcPr>
          <w:p>
            <w:pPr>
              <w:ind w:left="480"/>
              <w:spacing w:after="0"/>
              <w:rPr>
                <w:sz w:val="20"/>
                <w:szCs w:val="20"/>
                <w:color w:val="auto"/>
              </w:rPr>
            </w:pPr>
            <w:r>
              <w:rPr>
                <w:rFonts w:ascii="Arial" w:cs="Arial" w:eastAsia="Arial" w:hAnsi="Arial"/>
                <w:sz w:val="18"/>
                <w:szCs w:val="18"/>
                <w:color w:val="0D0E00"/>
              </w:rPr>
              <w:t>Gross profit</w:t>
            </w:r>
          </w:p>
        </w:tc>
        <w:tc>
          <w:tcPr>
            <w:tcW w:w="220" w:type="dxa"/>
            <w:vAlign w:val="bottom"/>
          </w:tcPr>
          <w:p>
            <w:pPr>
              <w:spacing w:after="0"/>
              <w:rPr>
                <w:sz w:val="21"/>
                <w:szCs w:val="21"/>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0D0E00"/>
              </w:rPr>
              <w:t>10,122,000</w:t>
            </w:r>
          </w:p>
        </w:tc>
        <w:tc>
          <w:tcPr>
            <w:tcW w:w="2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0D0E00"/>
              </w:rPr>
              <w:t>5,733,000</w:t>
            </w: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0D0E00"/>
              </w:rPr>
              <w:t>15,855,000</w:t>
            </w:r>
          </w:p>
        </w:tc>
        <w:tc>
          <w:tcPr>
            <w:tcW w:w="0" w:type="dxa"/>
            <w:vAlign w:val="bottom"/>
          </w:tcPr>
          <w:p>
            <w:pPr>
              <w:spacing w:after="0"/>
              <w:rPr>
                <w:sz w:val="1"/>
                <w:szCs w:val="1"/>
                <w:color w:val="auto"/>
              </w:rPr>
            </w:pPr>
          </w:p>
        </w:tc>
      </w:tr>
      <w:tr>
        <w:trPr>
          <w:trHeight w:val="243"/>
        </w:trPr>
        <w:tc>
          <w:tcPr>
            <w:tcW w:w="6000" w:type="dxa"/>
            <w:vAlign w:val="bottom"/>
            <w:shd w:val="clear" w:color="auto" w:fill="D6F3E8"/>
          </w:tcPr>
          <w:p>
            <w:pPr>
              <w:ind w:left="480"/>
              <w:spacing w:after="0"/>
              <w:rPr>
                <w:sz w:val="20"/>
                <w:szCs w:val="20"/>
                <w:color w:val="auto"/>
              </w:rPr>
            </w:pPr>
            <w:r>
              <w:rPr>
                <w:rFonts w:ascii="Arial" w:cs="Arial" w:eastAsia="Arial" w:hAnsi="Arial"/>
                <w:sz w:val="18"/>
                <w:szCs w:val="18"/>
                <w:color w:val="0D0E00"/>
              </w:rPr>
              <w:t>Operating income</w:t>
            </w:r>
          </w:p>
        </w:tc>
        <w:tc>
          <w:tcPr>
            <w:tcW w:w="22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5,834,000</w:t>
            </w:r>
          </w:p>
        </w:tc>
        <w:tc>
          <w:tcPr>
            <w:tcW w:w="22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3,574,000</w:t>
            </w:r>
          </w:p>
        </w:tc>
        <w:tc>
          <w:tcPr>
            <w:tcW w:w="16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9,408,000</w:t>
            </w:r>
          </w:p>
        </w:tc>
        <w:tc>
          <w:tcPr>
            <w:tcW w:w="0" w:type="dxa"/>
            <w:vAlign w:val="bottom"/>
          </w:tcPr>
          <w:p>
            <w:pPr>
              <w:spacing w:after="0"/>
              <w:rPr>
                <w:sz w:val="1"/>
                <w:szCs w:val="1"/>
                <w:color w:val="auto"/>
              </w:rPr>
            </w:pPr>
          </w:p>
        </w:tc>
      </w:tr>
      <w:tr>
        <w:trPr>
          <w:trHeight w:val="486"/>
        </w:trPr>
        <w:tc>
          <w:tcPr>
            <w:tcW w:w="6000" w:type="dxa"/>
            <w:vAlign w:val="bottom"/>
          </w:tcPr>
          <w:p>
            <w:pPr>
              <w:spacing w:after="0"/>
              <w:rPr>
                <w:sz w:val="20"/>
                <w:szCs w:val="20"/>
                <w:color w:val="auto"/>
              </w:rPr>
            </w:pPr>
            <w:r>
              <w:rPr>
                <w:rFonts w:ascii="Arial" w:cs="Arial" w:eastAsia="Arial" w:hAnsi="Arial"/>
                <w:sz w:val="18"/>
                <w:szCs w:val="18"/>
                <w:color w:val="0D0E00"/>
              </w:rPr>
              <w:t>Three Months Ended December 31, 2008:</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80"/>
              <w:spacing w:after="0"/>
              <w:rPr>
                <w:sz w:val="20"/>
                <w:szCs w:val="20"/>
                <w:color w:val="auto"/>
              </w:rPr>
            </w:pPr>
            <w:r>
              <w:rPr>
                <w:rFonts w:ascii="Arial" w:cs="Arial" w:eastAsia="Arial" w:hAnsi="Arial"/>
                <w:sz w:val="18"/>
                <w:szCs w:val="18"/>
                <w:color w:val="0D0E00"/>
              </w:rPr>
              <w:t>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0D0E00"/>
                <w:w w:val="79"/>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0D0E00"/>
              </w:rPr>
              <w:t>56,246,000</w:t>
            </w:r>
          </w:p>
        </w:tc>
        <w:tc>
          <w:tcPr>
            <w:tcW w:w="220" w:type="dxa"/>
            <w:vAlign w:val="bottom"/>
          </w:tcPr>
          <w:p>
            <w:pPr>
              <w:jc w:val="right"/>
              <w:ind w:right="30"/>
              <w:spacing w:after="0"/>
              <w:rPr>
                <w:sz w:val="20"/>
                <w:szCs w:val="20"/>
                <w:color w:val="auto"/>
              </w:rPr>
            </w:pPr>
            <w:r>
              <w:rPr>
                <w:rFonts w:ascii="Arial" w:cs="Arial" w:eastAsia="Arial" w:hAnsi="Arial"/>
                <w:sz w:val="18"/>
                <w:szCs w:val="18"/>
                <w:color w:val="0D0E00"/>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0D0E00"/>
              </w:rPr>
              <w:t>19,309,000</w:t>
            </w:r>
          </w:p>
        </w:tc>
        <w:tc>
          <w:tcPr>
            <w:tcW w:w="160" w:type="dxa"/>
            <w:vAlign w:val="bottom"/>
          </w:tcPr>
          <w:p>
            <w:pPr>
              <w:jc w:val="right"/>
              <w:ind w:right="5"/>
              <w:spacing w:after="0"/>
              <w:rPr>
                <w:sz w:val="20"/>
                <w:szCs w:val="20"/>
                <w:color w:val="auto"/>
              </w:rPr>
            </w:pPr>
            <w:r>
              <w:rPr>
                <w:rFonts w:ascii="Arial" w:cs="Arial" w:eastAsia="Arial" w:hAnsi="Arial"/>
                <w:sz w:val="15"/>
                <w:szCs w:val="15"/>
                <w:color w:val="0D0E00"/>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0D0E00"/>
              </w:rPr>
              <w:t>75,555,000</w:t>
            </w:r>
          </w:p>
        </w:tc>
        <w:tc>
          <w:tcPr>
            <w:tcW w:w="0" w:type="dxa"/>
            <w:vAlign w:val="bottom"/>
          </w:tcPr>
          <w:p>
            <w:pPr>
              <w:spacing w:after="0"/>
              <w:rPr>
                <w:sz w:val="1"/>
                <w:szCs w:val="1"/>
                <w:color w:val="auto"/>
              </w:rPr>
            </w:pPr>
          </w:p>
        </w:tc>
      </w:tr>
      <w:tr>
        <w:trPr>
          <w:trHeight w:val="243"/>
        </w:trPr>
        <w:tc>
          <w:tcPr>
            <w:tcW w:w="6000" w:type="dxa"/>
            <w:vAlign w:val="bottom"/>
            <w:shd w:val="clear" w:color="auto" w:fill="D6F3E8"/>
          </w:tcPr>
          <w:p>
            <w:pPr>
              <w:ind w:left="480"/>
              <w:spacing w:after="0"/>
              <w:rPr>
                <w:sz w:val="20"/>
                <w:szCs w:val="20"/>
                <w:color w:val="auto"/>
              </w:rPr>
            </w:pPr>
            <w:r>
              <w:rPr>
                <w:rFonts w:ascii="Arial" w:cs="Arial" w:eastAsia="Arial" w:hAnsi="Arial"/>
                <w:sz w:val="18"/>
                <w:szCs w:val="18"/>
                <w:color w:val="0D0E00"/>
              </w:rPr>
              <w:t>Gross profit</w:t>
            </w:r>
          </w:p>
        </w:tc>
        <w:tc>
          <w:tcPr>
            <w:tcW w:w="22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13,416,000</w:t>
            </w:r>
          </w:p>
        </w:tc>
        <w:tc>
          <w:tcPr>
            <w:tcW w:w="22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4,686,000</w:t>
            </w:r>
          </w:p>
        </w:tc>
        <w:tc>
          <w:tcPr>
            <w:tcW w:w="16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18,102,000</w:t>
            </w:r>
          </w:p>
        </w:tc>
        <w:tc>
          <w:tcPr>
            <w:tcW w:w="0" w:type="dxa"/>
            <w:vAlign w:val="bottom"/>
          </w:tcPr>
          <w:p>
            <w:pPr>
              <w:spacing w:after="0"/>
              <w:rPr>
                <w:sz w:val="1"/>
                <w:szCs w:val="1"/>
                <w:color w:val="auto"/>
              </w:rPr>
            </w:pPr>
          </w:p>
        </w:tc>
      </w:tr>
      <w:tr>
        <w:trPr>
          <w:trHeight w:val="243"/>
        </w:trPr>
        <w:tc>
          <w:tcPr>
            <w:tcW w:w="6000" w:type="dxa"/>
            <w:vAlign w:val="bottom"/>
          </w:tcPr>
          <w:p>
            <w:pPr>
              <w:ind w:left="480"/>
              <w:spacing w:after="0"/>
              <w:rPr>
                <w:sz w:val="20"/>
                <w:szCs w:val="20"/>
                <w:color w:val="auto"/>
              </w:rPr>
            </w:pPr>
            <w:r>
              <w:rPr>
                <w:rFonts w:ascii="Arial" w:cs="Arial" w:eastAsia="Arial" w:hAnsi="Arial"/>
                <w:sz w:val="18"/>
                <w:szCs w:val="18"/>
                <w:color w:val="0D0E00"/>
              </w:rPr>
              <w:t>Operating income</w:t>
            </w:r>
          </w:p>
        </w:tc>
        <w:tc>
          <w:tcPr>
            <w:tcW w:w="220" w:type="dxa"/>
            <w:vAlign w:val="bottom"/>
          </w:tcPr>
          <w:p>
            <w:pPr>
              <w:spacing w:after="0"/>
              <w:rPr>
                <w:sz w:val="21"/>
                <w:szCs w:val="21"/>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0D0E00"/>
              </w:rPr>
              <w:t>8,644,000</w:t>
            </w:r>
          </w:p>
        </w:tc>
        <w:tc>
          <w:tcPr>
            <w:tcW w:w="2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0D0E00"/>
              </w:rPr>
              <w:t>2,552,000</w:t>
            </w: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0D0E00"/>
              </w:rPr>
              <w:t>11,196,000</w:t>
            </w:r>
          </w:p>
        </w:tc>
        <w:tc>
          <w:tcPr>
            <w:tcW w:w="0" w:type="dxa"/>
            <w:vAlign w:val="bottom"/>
          </w:tcPr>
          <w:p>
            <w:pPr>
              <w:spacing w:after="0"/>
              <w:rPr>
                <w:sz w:val="1"/>
                <w:szCs w:val="1"/>
                <w:color w:val="auto"/>
              </w:rPr>
            </w:pPr>
          </w:p>
        </w:tc>
      </w:tr>
      <w:tr>
        <w:trPr>
          <w:trHeight w:val="486"/>
        </w:trPr>
        <w:tc>
          <w:tcPr>
            <w:tcW w:w="6000" w:type="dxa"/>
            <w:vAlign w:val="bottom"/>
          </w:tcPr>
          <w:p>
            <w:pPr>
              <w:spacing w:after="0"/>
              <w:rPr>
                <w:sz w:val="20"/>
                <w:szCs w:val="20"/>
                <w:color w:val="auto"/>
              </w:rPr>
            </w:pPr>
            <w:r>
              <w:rPr>
                <w:rFonts w:ascii="Arial" w:cs="Arial" w:eastAsia="Arial" w:hAnsi="Arial"/>
                <w:sz w:val="18"/>
                <w:szCs w:val="18"/>
                <w:color w:val="0D0E00"/>
              </w:rPr>
              <w:t>Nine Months Ended December 31, 2009:</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D6F3E8"/>
          </w:tcPr>
          <w:p>
            <w:pPr>
              <w:ind w:left="480"/>
              <w:spacing w:after="0"/>
              <w:rPr>
                <w:sz w:val="20"/>
                <w:szCs w:val="20"/>
                <w:color w:val="auto"/>
              </w:rPr>
            </w:pPr>
            <w:r>
              <w:rPr>
                <w:rFonts w:ascii="Arial" w:cs="Arial" w:eastAsia="Arial" w:hAnsi="Arial"/>
                <w:sz w:val="18"/>
                <w:szCs w:val="18"/>
                <w:color w:val="0D0E00"/>
              </w:rPr>
              <w:t>Sales</w:t>
            </w:r>
          </w:p>
        </w:tc>
        <w:tc>
          <w:tcPr>
            <w:tcW w:w="22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0D0E00"/>
                <w:w w:val="79"/>
              </w:rPr>
              <w:t>$</w:t>
            </w:r>
          </w:p>
        </w:tc>
        <w:tc>
          <w:tcPr>
            <w:tcW w:w="14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133,460,000</w:t>
            </w:r>
          </w:p>
        </w:tc>
        <w:tc>
          <w:tcPr>
            <w:tcW w:w="220" w:type="dxa"/>
            <w:vAlign w:val="bottom"/>
            <w:shd w:val="clear" w:color="auto" w:fill="D6F3E8"/>
          </w:tcPr>
          <w:p>
            <w:pPr>
              <w:jc w:val="right"/>
              <w:ind w:right="30"/>
              <w:spacing w:after="0"/>
              <w:rPr>
                <w:sz w:val="20"/>
                <w:szCs w:val="20"/>
                <w:color w:val="auto"/>
              </w:rPr>
            </w:pPr>
            <w:r>
              <w:rPr>
                <w:rFonts w:ascii="Arial" w:cs="Arial" w:eastAsia="Arial" w:hAnsi="Arial"/>
                <w:sz w:val="18"/>
                <w:szCs w:val="18"/>
                <w:color w:val="0D0E00"/>
                <w:w w:val="79"/>
              </w:rPr>
              <w:t>$</w:t>
            </w: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65,729,000</w:t>
            </w:r>
          </w:p>
        </w:tc>
        <w:tc>
          <w:tcPr>
            <w:tcW w:w="160" w:type="dxa"/>
            <w:vAlign w:val="bottom"/>
            <w:shd w:val="clear" w:color="auto" w:fill="D6F3E8"/>
          </w:tcPr>
          <w:p>
            <w:pPr>
              <w:jc w:val="right"/>
              <w:ind w:right="5"/>
              <w:spacing w:after="0"/>
              <w:rPr>
                <w:sz w:val="20"/>
                <w:szCs w:val="20"/>
                <w:color w:val="auto"/>
              </w:rPr>
            </w:pPr>
            <w:r>
              <w:rPr>
                <w:rFonts w:ascii="Arial" w:cs="Arial" w:eastAsia="Arial" w:hAnsi="Arial"/>
                <w:sz w:val="15"/>
                <w:szCs w:val="15"/>
                <w:color w:val="0D0E00"/>
                <w:w w:val="71"/>
              </w:rPr>
              <w:t>$</w:t>
            </w: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w w:val="95"/>
              </w:rPr>
              <w:t>199,189,000</w:t>
            </w:r>
          </w:p>
        </w:tc>
        <w:tc>
          <w:tcPr>
            <w:tcW w:w="0" w:type="dxa"/>
            <w:vAlign w:val="bottom"/>
          </w:tcPr>
          <w:p>
            <w:pPr>
              <w:spacing w:after="0"/>
              <w:rPr>
                <w:sz w:val="1"/>
                <w:szCs w:val="1"/>
                <w:color w:val="auto"/>
              </w:rPr>
            </w:pPr>
          </w:p>
        </w:tc>
      </w:tr>
      <w:tr>
        <w:trPr>
          <w:trHeight w:val="243"/>
        </w:trPr>
        <w:tc>
          <w:tcPr>
            <w:tcW w:w="6000" w:type="dxa"/>
            <w:vAlign w:val="bottom"/>
          </w:tcPr>
          <w:p>
            <w:pPr>
              <w:ind w:left="480"/>
              <w:spacing w:after="0"/>
              <w:rPr>
                <w:sz w:val="20"/>
                <w:szCs w:val="20"/>
                <w:color w:val="auto"/>
              </w:rPr>
            </w:pPr>
            <w:r>
              <w:rPr>
                <w:rFonts w:ascii="Arial" w:cs="Arial" w:eastAsia="Arial" w:hAnsi="Arial"/>
                <w:sz w:val="18"/>
                <w:szCs w:val="18"/>
                <w:color w:val="0D0E00"/>
              </w:rPr>
              <w:t>Gross profit</w:t>
            </w:r>
          </w:p>
        </w:tc>
        <w:tc>
          <w:tcPr>
            <w:tcW w:w="220" w:type="dxa"/>
            <w:vAlign w:val="bottom"/>
          </w:tcPr>
          <w:p>
            <w:pPr>
              <w:spacing w:after="0"/>
              <w:rPr>
                <w:sz w:val="21"/>
                <w:szCs w:val="21"/>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0D0E00"/>
              </w:rPr>
              <w:t>27,386,000</w:t>
            </w:r>
          </w:p>
        </w:tc>
        <w:tc>
          <w:tcPr>
            <w:tcW w:w="2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0D0E00"/>
              </w:rPr>
              <w:t>21,741,000</w:t>
            </w: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0D0E00"/>
              </w:rPr>
              <w:t>49,127,000</w:t>
            </w:r>
          </w:p>
        </w:tc>
        <w:tc>
          <w:tcPr>
            <w:tcW w:w="0" w:type="dxa"/>
            <w:vAlign w:val="bottom"/>
          </w:tcPr>
          <w:p>
            <w:pPr>
              <w:spacing w:after="0"/>
              <w:rPr>
                <w:sz w:val="1"/>
                <w:szCs w:val="1"/>
                <w:color w:val="auto"/>
              </w:rPr>
            </w:pPr>
          </w:p>
        </w:tc>
      </w:tr>
      <w:tr>
        <w:trPr>
          <w:trHeight w:val="243"/>
        </w:trPr>
        <w:tc>
          <w:tcPr>
            <w:tcW w:w="6000" w:type="dxa"/>
            <w:vAlign w:val="bottom"/>
            <w:shd w:val="clear" w:color="auto" w:fill="D6F3E8"/>
          </w:tcPr>
          <w:p>
            <w:pPr>
              <w:ind w:left="480"/>
              <w:spacing w:after="0"/>
              <w:rPr>
                <w:sz w:val="20"/>
                <w:szCs w:val="20"/>
                <w:color w:val="auto"/>
              </w:rPr>
            </w:pPr>
            <w:r>
              <w:rPr>
                <w:rFonts w:ascii="Arial" w:cs="Arial" w:eastAsia="Arial" w:hAnsi="Arial"/>
                <w:sz w:val="18"/>
                <w:szCs w:val="18"/>
                <w:color w:val="0D0E00"/>
              </w:rPr>
              <w:t>Operating income</w:t>
            </w:r>
          </w:p>
        </w:tc>
        <w:tc>
          <w:tcPr>
            <w:tcW w:w="22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14,964,000</w:t>
            </w:r>
          </w:p>
        </w:tc>
        <w:tc>
          <w:tcPr>
            <w:tcW w:w="22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14,793,000</w:t>
            </w:r>
          </w:p>
        </w:tc>
        <w:tc>
          <w:tcPr>
            <w:tcW w:w="16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29,757,000</w:t>
            </w:r>
          </w:p>
        </w:tc>
        <w:tc>
          <w:tcPr>
            <w:tcW w:w="0" w:type="dxa"/>
            <w:vAlign w:val="bottom"/>
          </w:tcPr>
          <w:p>
            <w:pPr>
              <w:spacing w:after="0"/>
              <w:rPr>
                <w:sz w:val="1"/>
                <w:szCs w:val="1"/>
                <w:color w:val="auto"/>
              </w:rPr>
            </w:pPr>
          </w:p>
        </w:tc>
      </w:tr>
      <w:tr>
        <w:trPr>
          <w:trHeight w:val="486"/>
        </w:trPr>
        <w:tc>
          <w:tcPr>
            <w:tcW w:w="6000" w:type="dxa"/>
            <w:vAlign w:val="bottom"/>
          </w:tcPr>
          <w:p>
            <w:pPr>
              <w:spacing w:after="0"/>
              <w:rPr>
                <w:sz w:val="20"/>
                <w:szCs w:val="20"/>
                <w:color w:val="auto"/>
              </w:rPr>
            </w:pPr>
            <w:r>
              <w:rPr>
                <w:rFonts w:ascii="Arial" w:cs="Arial" w:eastAsia="Arial" w:hAnsi="Arial"/>
                <w:sz w:val="18"/>
                <w:szCs w:val="18"/>
                <w:color w:val="0D0E00"/>
              </w:rPr>
              <w:t>Nine Months Ended December 31, 2008:</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480"/>
              <w:spacing w:after="0"/>
              <w:rPr>
                <w:sz w:val="20"/>
                <w:szCs w:val="20"/>
                <w:color w:val="auto"/>
              </w:rPr>
            </w:pPr>
            <w:r>
              <w:rPr>
                <w:rFonts w:ascii="Arial" w:cs="Arial" w:eastAsia="Arial" w:hAnsi="Arial"/>
                <w:sz w:val="18"/>
                <w:szCs w:val="18"/>
                <w:color w:val="0D0E00"/>
              </w:rPr>
              <w:t>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0D0E00"/>
                <w:w w:val="79"/>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0D0E00"/>
              </w:rPr>
              <w:t>151,175,000</w:t>
            </w:r>
          </w:p>
        </w:tc>
        <w:tc>
          <w:tcPr>
            <w:tcW w:w="220" w:type="dxa"/>
            <w:vAlign w:val="bottom"/>
          </w:tcPr>
          <w:p>
            <w:pPr>
              <w:jc w:val="right"/>
              <w:ind w:right="30"/>
              <w:spacing w:after="0"/>
              <w:rPr>
                <w:sz w:val="20"/>
                <w:szCs w:val="20"/>
                <w:color w:val="auto"/>
              </w:rPr>
            </w:pPr>
            <w:r>
              <w:rPr>
                <w:rFonts w:ascii="Arial" w:cs="Arial" w:eastAsia="Arial" w:hAnsi="Arial"/>
                <w:sz w:val="18"/>
                <w:szCs w:val="18"/>
                <w:color w:val="0D0E00"/>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0D0E00"/>
              </w:rPr>
              <w:t>65,397,000</w:t>
            </w:r>
          </w:p>
        </w:tc>
        <w:tc>
          <w:tcPr>
            <w:tcW w:w="160" w:type="dxa"/>
            <w:vAlign w:val="bottom"/>
          </w:tcPr>
          <w:p>
            <w:pPr>
              <w:jc w:val="right"/>
              <w:ind w:right="5"/>
              <w:spacing w:after="0"/>
              <w:rPr>
                <w:sz w:val="20"/>
                <w:szCs w:val="20"/>
                <w:color w:val="auto"/>
              </w:rPr>
            </w:pPr>
            <w:r>
              <w:rPr>
                <w:rFonts w:ascii="Arial" w:cs="Arial" w:eastAsia="Arial" w:hAnsi="Arial"/>
                <w:sz w:val="15"/>
                <w:szCs w:val="15"/>
                <w:color w:val="0D0E00"/>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0D0E00"/>
                <w:w w:val="95"/>
              </w:rPr>
              <w:t>216,572,000</w:t>
            </w:r>
          </w:p>
        </w:tc>
        <w:tc>
          <w:tcPr>
            <w:tcW w:w="0" w:type="dxa"/>
            <w:vAlign w:val="bottom"/>
          </w:tcPr>
          <w:p>
            <w:pPr>
              <w:spacing w:after="0"/>
              <w:rPr>
                <w:sz w:val="1"/>
                <w:szCs w:val="1"/>
                <w:color w:val="auto"/>
              </w:rPr>
            </w:pPr>
          </w:p>
        </w:tc>
      </w:tr>
      <w:tr>
        <w:trPr>
          <w:trHeight w:val="243"/>
        </w:trPr>
        <w:tc>
          <w:tcPr>
            <w:tcW w:w="6000" w:type="dxa"/>
            <w:vAlign w:val="bottom"/>
            <w:shd w:val="clear" w:color="auto" w:fill="D6F3E8"/>
          </w:tcPr>
          <w:p>
            <w:pPr>
              <w:ind w:left="480"/>
              <w:spacing w:after="0"/>
              <w:rPr>
                <w:sz w:val="20"/>
                <w:szCs w:val="20"/>
                <w:color w:val="auto"/>
              </w:rPr>
            </w:pPr>
            <w:r>
              <w:rPr>
                <w:rFonts w:ascii="Arial" w:cs="Arial" w:eastAsia="Arial" w:hAnsi="Arial"/>
                <w:sz w:val="18"/>
                <w:szCs w:val="18"/>
                <w:color w:val="0D0E00"/>
              </w:rPr>
              <w:t>Gross profit</w:t>
            </w:r>
          </w:p>
        </w:tc>
        <w:tc>
          <w:tcPr>
            <w:tcW w:w="22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0D0E00"/>
              </w:rPr>
              <w:t>31,396,000</w:t>
            </w:r>
          </w:p>
        </w:tc>
        <w:tc>
          <w:tcPr>
            <w:tcW w:w="22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0D0E00"/>
              </w:rPr>
              <w:t>17,467,000</w:t>
            </w:r>
          </w:p>
        </w:tc>
        <w:tc>
          <w:tcPr>
            <w:tcW w:w="16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48,863,000</w:t>
            </w:r>
          </w:p>
        </w:tc>
        <w:tc>
          <w:tcPr>
            <w:tcW w:w="0" w:type="dxa"/>
            <w:vAlign w:val="bottom"/>
          </w:tcPr>
          <w:p>
            <w:pPr>
              <w:spacing w:after="0"/>
              <w:rPr>
                <w:sz w:val="1"/>
                <w:szCs w:val="1"/>
                <w:color w:val="auto"/>
              </w:rPr>
            </w:pPr>
          </w:p>
        </w:tc>
      </w:tr>
      <w:tr>
        <w:trPr>
          <w:trHeight w:val="243"/>
        </w:trPr>
        <w:tc>
          <w:tcPr>
            <w:tcW w:w="6000" w:type="dxa"/>
            <w:vAlign w:val="bottom"/>
          </w:tcPr>
          <w:p>
            <w:pPr>
              <w:ind w:left="480"/>
              <w:spacing w:after="0"/>
              <w:rPr>
                <w:sz w:val="20"/>
                <w:szCs w:val="20"/>
                <w:color w:val="auto"/>
              </w:rPr>
            </w:pPr>
            <w:r>
              <w:rPr>
                <w:rFonts w:ascii="Arial" w:cs="Arial" w:eastAsia="Arial" w:hAnsi="Arial"/>
                <w:sz w:val="18"/>
                <w:szCs w:val="18"/>
                <w:color w:val="0D0E00"/>
              </w:rPr>
              <w:t>Operating income</w:t>
            </w:r>
          </w:p>
        </w:tc>
        <w:tc>
          <w:tcPr>
            <w:tcW w:w="220" w:type="dxa"/>
            <w:vAlign w:val="bottom"/>
          </w:tcPr>
          <w:p>
            <w:pPr>
              <w:spacing w:after="0"/>
              <w:rPr>
                <w:sz w:val="21"/>
                <w:szCs w:val="21"/>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0D0E00"/>
              </w:rPr>
              <w:t>19,416,000</w:t>
            </w:r>
          </w:p>
        </w:tc>
        <w:tc>
          <w:tcPr>
            <w:tcW w:w="2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0D0E00"/>
              </w:rPr>
              <w:t>10,442,000</w:t>
            </w: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0D0E00"/>
              </w:rPr>
              <w:t>29,858,000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5" w:lineRule="exact"/>
        <w:rPr>
          <w:sz w:val="20"/>
          <w:szCs w:val="20"/>
          <w:color w:val="auto"/>
        </w:rPr>
      </w:pPr>
    </w:p>
    <w:p>
      <w:pPr>
        <w:ind w:left="960" w:right="1120" w:hanging="971"/>
        <w:spacing w:after="0" w:line="251" w:lineRule="auto"/>
        <w:tabs>
          <w:tab w:leader="none" w:pos="940" w:val="left"/>
        </w:tabs>
        <w:rPr>
          <w:sz w:val="20"/>
          <w:szCs w:val="20"/>
          <w:color w:val="auto"/>
        </w:rPr>
      </w:pPr>
      <w:r>
        <w:rPr>
          <w:rFonts w:ascii="Arial" w:cs="Arial" w:eastAsia="Arial" w:hAnsi="Arial"/>
          <w:sz w:val="22"/>
          <w:szCs w:val="22"/>
          <w:color w:val="0D0E00"/>
        </w:rPr>
        <w:t>ITEM 2.</w:t>
        <w:tab/>
        <w:t>MANAGEMENT’S DISCUSSION AND ANALYSIS OF FINANCIAL CONDITION AND RESULTS OF OPERATIONS</w:t>
      </w:r>
    </w:p>
    <w:p>
      <w:pPr>
        <w:spacing w:after="0" w:line="20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0D0E00"/>
        </w:rPr>
        <w:t>The following is a discussion and analysis of our financial condition and results of operations for the three and nine months ended December 31, 2009 as compared to the same periods ended December 31, 2008. This discussion should be read in conjunction with the Condensed Financial Statements and Notes to Condensed Financial Statements included in this Form 10-Q and Item 8 of our Annual Report on Form 10-K as filed with the SEC on June 5,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Overview</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0D0E00"/>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increase.</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0D0E00"/>
        </w:rPr>
        <w:t>We have continued to invest in growing our business. In fiscal 2009, we invested in two new facilities, which we expect will expand our ability to service our customers and facilitate growth within our Industrial Group. Our new facility in Centralia, Illinois began operations in July 2009 and primarily serves our food-grade products business. We closed our Linden, New Jersey food-grade production facility in September 2009 as these operations have been transferred to the Centralia facility. Additionally, we built a new facility in Minneapolis, Minnesota to handle bulk chemicals sold to pharmaceutical manufacturers. The total capital expenditures on these two new facilities were approximately $10,000,000, of which approximately $7,500,000 occurred during fiscal 2009 and approximately $2,500,000 occurred in the first six months of fiscal 2010. We opened two new branch offices in late fiscal 2008 and on e new branch in the first quarter of fiscal 2010 for our Water Treatment Group and expect to continue to invest in existing and new branches to expand our geographic coverage. The cost of the branch expansion is not expected to be material.</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0D0E00"/>
        </w:rPr>
        <w:t>In February 2009, we entered into two agreements whereby we agreed to sell our inventory and enter into a marketing relationship regarding the business 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Condensed Financial Statements and Notes to Condensed Financial Statements for all periods presented in this Report on Form 10-Q.</w:t>
      </w:r>
    </w:p>
    <w:p>
      <w:pPr>
        <w:spacing w:after="0" w:line="2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0D0E00"/>
        </w:rPr>
        <w:t>Our raw material costs fluctuated dramatically during fiscal 2009 and through the first three quarters of fiscal 2010. The costs of the majority of our primary raw materials began to increase rapidly and substantially in the first quarter of fiscal 2009 and we continued to experience those costing trends through the third quarter of fiscal 2009. We saw costs for these commodities level off in the fourth quarter of fiscal 2009, before declining significantly during the first nine months of fiscal 2010, with the costs in the third quarter of fiscal 2010 substantially lower than they were in the third quarter of fiscal 2009. Recently our raw material costs have been stabilizing, although at levels significantly below the peak that occurred during the third and fourth quarters of fiscal 2009. We believe that the decreased chemical raw material costs are a result of the slower economy an d lower demand for many of the commodity chemicals we sell. Our use of the last in, first out (LIFO) method of valuing inventory partially offsets the impact of the rapidly changing prices. Our LIFO reserve decreased significantly in the first nine months of fiscal 2010, due to declining costs. This decrease in the reserve increased our reported gross profit in the first nine months of fiscal 2010. In the prior year, our LIFO reserve increased significantly due to rising costs, which decreased our reported gross profit in the comparable periods in that year.</w:t>
      </w:r>
    </w:p>
    <w:p>
      <w:pPr>
        <w:spacing w:after="0" w:line="2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0D0E00"/>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 We use the LIFO method of valuing inventory, which causes the most recent product costs to be recognized in our income statement. The valuation of LIFO inventory for interim periods is based on our estimates of fiscal year-end inventory levels and costs. The LIFO inventory valuation method and the resulting c ost of sales are consistent with our business practices of pricing to current commodity chemical raw material prices.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D0E00"/>
        </w:rPr>
        <w:t>The following table sets forth the percentage relationship of certain items to sales for the period indicated (sales are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0D0E00"/>
                <w:w w:val="91"/>
              </w:rPr>
              <w:t>Three months ended</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4"/>
          </w:tcPr>
          <w:p>
            <w:pPr>
              <w:jc w:val="center"/>
              <w:ind w:left="354"/>
              <w:spacing w:after="0"/>
              <w:rPr>
                <w:sz w:val="20"/>
                <w:szCs w:val="20"/>
                <w:color w:val="auto"/>
              </w:rPr>
            </w:pPr>
            <w:r>
              <w:rPr>
                <w:rFonts w:ascii="Arial" w:cs="Arial" w:eastAsia="Arial" w:hAnsi="Arial"/>
                <w:sz w:val="14"/>
                <w:szCs w:val="14"/>
                <w:b w:val="1"/>
                <w:bCs w:val="1"/>
                <w:color w:val="0D0E00"/>
                <w:w w:val="92"/>
              </w:rPr>
              <w:t>Nine months ended</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b w:val="1"/>
                <w:bCs w:val="1"/>
                <w:color w:val="0D0E00"/>
                <w:w w:val="91"/>
              </w:rPr>
              <w:t>December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0D0E00"/>
                <w:w w:val="91"/>
              </w:rPr>
              <w:t>December 31</w:t>
            </w: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37"/>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0D0E00"/>
              </w:rPr>
              <w:t>2009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0D0E00"/>
              </w:rPr>
              <w:t>2008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0D0E00"/>
              </w:rPr>
              <w:t>2009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0D0E00"/>
                <w:w w:val="83"/>
              </w:rPr>
              <w:t>2008</w:t>
            </w:r>
          </w:p>
        </w:tc>
        <w:tc>
          <w:tcPr>
            <w:tcW w:w="34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43"/>
        </w:trPr>
        <w:tc>
          <w:tcPr>
            <w:tcW w:w="5620" w:type="dxa"/>
            <w:vAlign w:val="bottom"/>
            <w:shd w:val="clear" w:color="auto" w:fill="D6F3E8"/>
          </w:tcPr>
          <w:p>
            <w:pPr>
              <w:spacing w:after="0"/>
              <w:rPr>
                <w:sz w:val="20"/>
                <w:szCs w:val="20"/>
                <w:color w:val="auto"/>
              </w:rPr>
            </w:pPr>
            <w:r>
              <w:rPr>
                <w:rFonts w:ascii="Arial" w:cs="Arial" w:eastAsia="Arial" w:hAnsi="Arial"/>
                <w:sz w:val="18"/>
                <w:szCs w:val="18"/>
                <w:color w:val="0D0E00"/>
              </w:rPr>
              <w:t>Sales</w:t>
            </w:r>
          </w:p>
        </w:tc>
        <w:tc>
          <w:tcPr>
            <w:tcW w:w="260" w:type="dxa"/>
            <w:vAlign w:val="bottom"/>
            <w:shd w:val="clear" w:color="auto" w:fill="D6F3E8"/>
          </w:tcPr>
          <w:p>
            <w:pPr>
              <w:jc w:val="right"/>
              <w:ind w:right="105"/>
              <w:spacing w:after="0"/>
              <w:rPr>
                <w:sz w:val="20"/>
                <w:szCs w:val="20"/>
                <w:color w:val="auto"/>
              </w:rPr>
            </w:pPr>
            <w:r>
              <w:rPr>
                <w:rFonts w:ascii="Arial" w:cs="Arial" w:eastAsia="Arial" w:hAnsi="Arial"/>
                <w:sz w:val="15"/>
                <w:szCs w:val="15"/>
                <w:color w:val="0D0E00"/>
                <w:w w:val="71"/>
              </w:rPr>
              <w:t>$</w:t>
            </w:r>
          </w:p>
        </w:tc>
        <w:tc>
          <w:tcPr>
            <w:tcW w:w="11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60,627</w:t>
            </w:r>
          </w:p>
        </w:tc>
        <w:tc>
          <w:tcPr>
            <w:tcW w:w="3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0D0E00"/>
              </w:rPr>
              <w:t>$</w:t>
            </w:r>
          </w:p>
        </w:tc>
        <w:tc>
          <w:tcPr>
            <w:tcW w:w="10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75,555</w:t>
            </w:r>
          </w:p>
        </w:tc>
        <w:tc>
          <w:tcPr>
            <w:tcW w:w="3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0D0E00"/>
              </w:rPr>
              <w:t>$</w:t>
            </w:r>
          </w:p>
        </w:tc>
        <w:tc>
          <w:tcPr>
            <w:tcW w:w="11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199,189</w:t>
            </w:r>
          </w:p>
        </w:tc>
        <w:tc>
          <w:tcPr>
            <w:tcW w:w="5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w:t>
            </w: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216,572</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0D0E00"/>
              </w:rPr>
              <w:t>Cost of sales as % of sales</w:t>
            </w:r>
          </w:p>
        </w:tc>
        <w:tc>
          <w:tcPr>
            <w:tcW w:w="2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0D0E00"/>
              </w:rPr>
              <w:t>(73.8)%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0D0E00"/>
              </w:rPr>
              <w:t>(76.0)%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0D0E00"/>
              </w:rPr>
              <w:t>(75.3)%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0D0E00"/>
              </w:rPr>
              <w:t>(77.4)%</w:t>
            </w:r>
          </w:p>
        </w:tc>
      </w:tr>
      <w:tr>
        <w:trPr>
          <w:trHeight w:val="243"/>
        </w:trPr>
        <w:tc>
          <w:tcPr>
            <w:tcW w:w="5620" w:type="dxa"/>
            <w:vAlign w:val="bottom"/>
            <w:shd w:val="clear" w:color="auto" w:fill="D6F3E8"/>
          </w:tcPr>
          <w:p>
            <w:pPr>
              <w:spacing w:after="0"/>
              <w:rPr>
                <w:sz w:val="20"/>
                <w:szCs w:val="20"/>
                <w:color w:val="auto"/>
              </w:rPr>
            </w:pPr>
            <w:r>
              <w:rPr>
                <w:rFonts w:ascii="Arial" w:cs="Arial" w:eastAsia="Arial" w:hAnsi="Arial"/>
                <w:sz w:val="18"/>
                <w:szCs w:val="18"/>
                <w:color w:val="0D0E00"/>
              </w:rPr>
              <w:t>Gross profit as % of sales</w:t>
            </w:r>
          </w:p>
        </w:tc>
        <w:tc>
          <w:tcPr>
            <w:tcW w:w="26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26.2</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24.0</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24.7</w:t>
            </w:r>
          </w:p>
        </w:tc>
        <w:tc>
          <w:tcPr>
            <w:tcW w:w="6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22.6</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0D0E00"/>
              </w:rPr>
              <w:t>Selling, general and administrative expenses as % of sales</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D0E00"/>
              </w:rPr>
              <w:t>(10.6)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0D0E00"/>
              </w:rPr>
              <w:t>(9.1)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0D0E00"/>
              </w:rPr>
              <w:t>(9.7)</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0D0E00"/>
              </w:rPr>
              <w:t>(8.8)</w:t>
            </w:r>
          </w:p>
        </w:tc>
      </w:tr>
      <w:tr>
        <w:trPr>
          <w:trHeight w:val="243"/>
        </w:trPr>
        <w:tc>
          <w:tcPr>
            <w:tcW w:w="5620" w:type="dxa"/>
            <w:vAlign w:val="bottom"/>
            <w:shd w:val="clear" w:color="auto" w:fill="D6F3E8"/>
          </w:tcPr>
          <w:p>
            <w:pPr>
              <w:spacing w:after="0"/>
              <w:rPr>
                <w:sz w:val="20"/>
                <w:szCs w:val="20"/>
                <w:color w:val="auto"/>
              </w:rPr>
            </w:pPr>
            <w:r>
              <w:rPr>
                <w:rFonts w:ascii="Arial" w:cs="Arial" w:eastAsia="Arial" w:hAnsi="Arial"/>
                <w:sz w:val="18"/>
                <w:szCs w:val="18"/>
                <w:color w:val="0D0E00"/>
              </w:rPr>
              <w:t>Operating income as % of sales</w:t>
            </w:r>
          </w:p>
        </w:tc>
        <w:tc>
          <w:tcPr>
            <w:tcW w:w="26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15.5</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14.8</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14.9</w:t>
            </w:r>
          </w:p>
        </w:tc>
        <w:tc>
          <w:tcPr>
            <w:tcW w:w="6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13.8</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0D0E00"/>
              </w:rPr>
              <w:t>Investment income as % of sales</w:t>
            </w:r>
          </w:p>
        </w:tc>
        <w:tc>
          <w:tcPr>
            <w:tcW w:w="2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0D0E00"/>
              </w:rPr>
              <w:t>0.2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0D0E00"/>
              </w:rPr>
              <w:t>0.1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0D0E00"/>
              </w:rPr>
              <w:t>0.1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0D0E00"/>
              </w:rPr>
              <w:t>0.2</w:t>
            </w:r>
          </w:p>
        </w:tc>
      </w:tr>
      <w:tr>
        <w:trPr>
          <w:trHeight w:val="243"/>
        </w:trPr>
        <w:tc>
          <w:tcPr>
            <w:tcW w:w="5620" w:type="dxa"/>
            <w:vAlign w:val="bottom"/>
            <w:shd w:val="clear" w:color="auto" w:fill="D6F3E8"/>
          </w:tcPr>
          <w:p>
            <w:pPr>
              <w:spacing w:after="0"/>
              <w:rPr>
                <w:sz w:val="20"/>
                <w:szCs w:val="20"/>
                <w:color w:val="auto"/>
              </w:rPr>
            </w:pPr>
            <w:r>
              <w:rPr>
                <w:rFonts w:ascii="Arial" w:cs="Arial" w:eastAsia="Arial" w:hAnsi="Arial"/>
                <w:sz w:val="18"/>
                <w:szCs w:val="18"/>
                <w:color w:val="0D0E00"/>
              </w:rPr>
              <w:t>Income from continuing operations before income taxes as % of sales</w:t>
            </w:r>
          </w:p>
        </w:tc>
        <w:tc>
          <w:tcPr>
            <w:tcW w:w="26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15.7</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14.9</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15.0</w:t>
            </w:r>
          </w:p>
        </w:tc>
        <w:tc>
          <w:tcPr>
            <w:tcW w:w="6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13.9</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0D0E00"/>
              </w:rPr>
              <w:t>Provision for income taxes as % of sales</w:t>
            </w:r>
          </w:p>
        </w:tc>
        <w:tc>
          <w:tcPr>
            <w:tcW w:w="2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D0E00"/>
              </w:rPr>
              <w:t>(6.5)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0D0E00"/>
              </w:rPr>
              <w:t>(5.8)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0D0E00"/>
              </w:rPr>
              <w:t>(5.9)</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0D0E00"/>
              </w:rPr>
              <w:t>(5.4)</w:t>
            </w:r>
          </w:p>
        </w:tc>
      </w:tr>
      <w:tr>
        <w:trPr>
          <w:trHeight w:val="243"/>
        </w:trPr>
        <w:tc>
          <w:tcPr>
            <w:tcW w:w="5620" w:type="dxa"/>
            <w:vAlign w:val="bottom"/>
            <w:shd w:val="clear" w:color="auto" w:fill="D6F3E8"/>
          </w:tcPr>
          <w:p>
            <w:pPr>
              <w:spacing w:after="0"/>
              <w:rPr>
                <w:sz w:val="20"/>
                <w:szCs w:val="20"/>
                <w:color w:val="auto"/>
              </w:rPr>
            </w:pPr>
            <w:r>
              <w:rPr>
                <w:rFonts w:ascii="Arial" w:cs="Arial" w:eastAsia="Arial" w:hAnsi="Arial"/>
                <w:sz w:val="18"/>
                <w:szCs w:val="18"/>
                <w:color w:val="0D0E00"/>
              </w:rPr>
              <w:t>Income from continuing operations as % of sales</w:t>
            </w:r>
          </w:p>
        </w:tc>
        <w:tc>
          <w:tcPr>
            <w:tcW w:w="26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9.2</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9.2</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9.1</w:t>
            </w:r>
          </w:p>
        </w:tc>
        <w:tc>
          <w:tcPr>
            <w:tcW w:w="6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8.6</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0D0E00"/>
              </w:rPr>
              <w:t>Income from discontinued operations, net of tax as % of sales</w:t>
            </w:r>
          </w:p>
        </w:tc>
        <w:tc>
          <w:tcPr>
            <w:tcW w:w="2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0D0E00"/>
              </w:rPr>
              <w:t>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0D0E00"/>
              </w:rPr>
              <w:t>0.1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0D0E00"/>
              </w:rPr>
              <w:t>0.1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0D0E00"/>
              </w:rPr>
              <w:t>0.1</w:t>
            </w:r>
          </w:p>
        </w:tc>
      </w:tr>
      <w:tr>
        <w:trPr>
          <w:trHeight w:val="243"/>
        </w:trPr>
        <w:tc>
          <w:tcPr>
            <w:tcW w:w="5620" w:type="dxa"/>
            <w:vAlign w:val="bottom"/>
            <w:shd w:val="clear" w:color="auto" w:fill="D6F3E8"/>
          </w:tcPr>
          <w:p>
            <w:pPr>
              <w:spacing w:after="0"/>
              <w:rPr>
                <w:sz w:val="20"/>
                <w:szCs w:val="20"/>
                <w:color w:val="auto"/>
              </w:rPr>
            </w:pPr>
            <w:r>
              <w:rPr>
                <w:rFonts w:ascii="Arial" w:cs="Arial" w:eastAsia="Arial" w:hAnsi="Arial"/>
                <w:sz w:val="18"/>
                <w:szCs w:val="18"/>
                <w:color w:val="0D0E00"/>
              </w:rPr>
              <w:t>Net income as % of sales</w:t>
            </w:r>
          </w:p>
        </w:tc>
        <w:tc>
          <w:tcPr>
            <w:tcW w:w="26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9.2</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9.2</w:t>
            </w:r>
          </w:p>
        </w:tc>
        <w:tc>
          <w:tcPr>
            <w:tcW w:w="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0D0E00"/>
              </w:rPr>
              <w:t>9.2</w:t>
            </w:r>
          </w:p>
        </w:tc>
        <w:tc>
          <w:tcPr>
            <w:tcW w:w="6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8.6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Three Months Ended December 31, 2009 Compared to the Three Months Ended December 31,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Sales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0D0E00"/>
        </w:rPr>
        <w:t>Sales decreased $14,928,000, or 19.8%, to $60,627,000 for the three months ended December 31, 2009, as compared to $75,555,000 for the same period a year ago. The sales decrease was primarily driven by lower sales of bulk chemicals, including caustic soda. Sales of these products were approximately 23% of sales during the three months ended December 31, 2009 and 33% of sales during the same period a year ago. The decrease in sales of bulk chemicals was primarily due to lower sales prices resulting from passing on lower commodity chemical costs to our customers.</w:t>
      </w:r>
    </w:p>
    <w:p>
      <w:pPr>
        <w:spacing w:after="0" w:line="19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0D0E00"/>
        </w:rPr>
        <w:t xml:space="preserve">Industrial Segment. </w:t>
      </w:r>
      <w:r>
        <w:rPr>
          <w:rFonts w:ascii="Arial" w:cs="Arial" w:eastAsia="Arial" w:hAnsi="Arial"/>
          <w:sz w:val="17"/>
          <w:szCs w:val="17"/>
          <w:color w:val="0D0E00"/>
        </w:rPr>
        <w:t>Industrial segment sales decreased $13,910,000, or 24.7%, to $42,336,000 for the three months ended December 31, 2009, as compared</w:t>
      </w:r>
      <w:r>
        <w:rPr>
          <w:rFonts w:ascii="Arial" w:cs="Arial" w:eastAsia="Arial" w:hAnsi="Arial"/>
          <w:sz w:val="17"/>
          <w:szCs w:val="17"/>
          <w:i w:val="1"/>
          <w:iCs w:val="1"/>
          <w:color w:val="0D0E00"/>
        </w:rPr>
        <w:t xml:space="preserve"> </w:t>
      </w:r>
      <w:r>
        <w:rPr>
          <w:rFonts w:ascii="Arial" w:cs="Arial" w:eastAsia="Arial" w:hAnsi="Arial"/>
          <w:sz w:val="17"/>
          <w:szCs w:val="17"/>
          <w:color w:val="0D0E00"/>
        </w:rPr>
        <w:t>to the same period a year ago. The sales decrease was primarily attributable to lower selling prices for commodity chemicals due to lower commodity chemical material costs compared to a year ago. In addition, volumes sold of certain manufactured and specialty chemical products were somewhat lower than the same period last year when we experienced exceptionally strong demand in a period of constrained supply.</w:t>
      </w:r>
    </w:p>
    <w:p>
      <w:pPr>
        <w:spacing w:after="0" w:line="19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0D0E00"/>
        </w:rPr>
        <w:t xml:space="preserve">Water Treatment Segment. </w:t>
      </w:r>
      <w:r>
        <w:rPr>
          <w:rFonts w:ascii="Arial" w:cs="Arial" w:eastAsia="Arial" w:hAnsi="Arial"/>
          <w:sz w:val="17"/>
          <w:szCs w:val="17"/>
          <w:color w:val="0D0E00"/>
        </w:rPr>
        <w:t>Water Treatment segment sales decreased $1,018,000, or 5.3%, to $18,291,000 for the three months ended December 31, 2009 as</w:t>
      </w:r>
      <w:r>
        <w:rPr>
          <w:rFonts w:ascii="Arial" w:cs="Arial" w:eastAsia="Arial" w:hAnsi="Arial"/>
          <w:sz w:val="17"/>
          <w:szCs w:val="17"/>
          <w:i w:val="1"/>
          <w:iCs w:val="1"/>
          <w:color w:val="0D0E00"/>
        </w:rPr>
        <w:t xml:space="preserve"> </w:t>
      </w:r>
      <w:r>
        <w:rPr>
          <w:rFonts w:ascii="Arial" w:cs="Arial" w:eastAsia="Arial" w:hAnsi="Arial"/>
          <w:sz w:val="17"/>
          <w:szCs w:val="17"/>
          <w:color w:val="0D0E00"/>
        </w:rPr>
        <w:t>compared to the same period a year ago, primarily due to decreases in selling prices for commodity chemicals due to lower commodity chemical material costs compared to a year ago, partially offset by higher sales volumes of manufactured and specialty chemical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0D0E00"/>
        </w:rPr>
        <w:t>Gross profit was $15,855,000, or 26.2% of sales, for the three months ended December 31, 2009, as compared to $18,102,000, or 24.0% of sales, for the three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0D0E00"/>
        </w:rPr>
        <w:t>months ended December 31, 2008. Due to decreases in certain raw material costs, the LIFO method of valuing inventory increased gross profit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D0E00"/>
        </w:rPr>
        <w:t>$2,070,000 for the three months ended December 31, 2009, whereas LIFO decreased gross profit by $1,750,000 for the comparable period in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D0E00"/>
        </w:rPr>
        <w:t>due to increases in raw material costs a year ago. The higher gross profit as a percentage of sales was primarily driven by lower selling prices in response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D0E00"/>
        </w:rPr>
        <w:t>lower commodity chemical material costs compared to a year ago in addition to an increase in sales of higher margin manufactured and specialty chemical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0D0E00"/>
        </w:rPr>
        <w:t>products and the LIFO reserve adjustments.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0D0E00"/>
        </w:rPr>
        <w:t xml:space="preserve">Industrial Segment. </w:t>
      </w:r>
      <w:r>
        <w:rPr>
          <w:rFonts w:ascii="Arial" w:cs="Arial" w:eastAsia="Arial" w:hAnsi="Arial"/>
          <w:sz w:val="17"/>
          <w:szCs w:val="17"/>
          <w:color w:val="0D0E00"/>
        </w:rPr>
        <w:t>Gross profit for the Industrial segment was $10,122,000, or 23.9% of sales, for the three months ended December 31, 2009, as compared</w:t>
      </w:r>
      <w:r>
        <w:rPr>
          <w:rFonts w:ascii="Arial" w:cs="Arial" w:eastAsia="Arial" w:hAnsi="Arial"/>
          <w:sz w:val="17"/>
          <w:szCs w:val="17"/>
          <w:i w:val="1"/>
          <w:iCs w:val="1"/>
          <w:color w:val="0D0E00"/>
        </w:rPr>
        <w:t xml:space="preserve"> </w:t>
      </w:r>
      <w:r>
        <w:rPr>
          <w:rFonts w:ascii="Arial" w:cs="Arial" w:eastAsia="Arial" w:hAnsi="Arial"/>
          <w:sz w:val="17"/>
          <w:szCs w:val="17"/>
          <w:color w:val="0D0E00"/>
        </w:rPr>
        <w:t>to $13,416,000, or 23.9% of sales, for the three months ended December 31, 2008. In the third quarter of fiscal 2009, gross profit dollars were significantly higher than historical levels due to the sale of lower-cost inventory on hand during that period of rapidly escalating market prices as well as an increase in profits realized on certain products where we had inventory available to meet escalated demand during a period of constrained supply. By contrast, in the three months ended December 31, 2009, the market conditions returned to levels more in line with our historical experience and, as a result, our gross profit dollars were lowe r for that period. The LIFO method of valuing inventory increased gross profit in this segment by $1,784,000 for the three months ended December 31, 2009 and decreased gross profit by $865,000 for the three months ended December 31, 2008.</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0D0E00"/>
        </w:rPr>
        <w:t xml:space="preserve">Water Treatment Segment. </w:t>
      </w:r>
      <w:r>
        <w:rPr>
          <w:rFonts w:ascii="Arial" w:cs="Arial" w:eastAsia="Arial" w:hAnsi="Arial"/>
          <w:sz w:val="18"/>
          <w:szCs w:val="18"/>
          <w:color w:val="0D0E00"/>
        </w:rPr>
        <w:t>Gross profit for the Water Treatment segment was $5,733,000, or 31.3% of sales, for the three months ended December 31, 2009,</w:t>
      </w:r>
      <w:r>
        <w:rPr>
          <w:rFonts w:ascii="Arial" w:cs="Arial" w:eastAsia="Arial" w:hAnsi="Arial"/>
          <w:sz w:val="18"/>
          <w:szCs w:val="18"/>
          <w:i w:val="1"/>
          <w:iCs w:val="1"/>
          <w:color w:val="0D0E00"/>
        </w:rPr>
        <w:t xml:space="preserve"> </w:t>
      </w:r>
      <w:r>
        <w:rPr>
          <w:rFonts w:ascii="Arial" w:cs="Arial" w:eastAsia="Arial" w:hAnsi="Arial"/>
          <w:sz w:val="18"/>
          <w:szCs w:val="18"/>
          <w:color w:val="0D0E00"/>
        </w:rPr>
        <w:t>as compared to $4,686,000, or 24.3% of sales, for the three months ended December 31, 2008. The increase in gross profit was primarily driven by increased sales of higher-margin manufactured and specialty chemical products and sales from our new branches. The LIFO method of valuing inventory increased gross profit in this segment by $286,000 for the three months ended December 31, 2009 and decreased gross profit by $885,000 for the three months ended December 31,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Selling, General and Administrative Expenses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0D0E00"/>
        </w:rPr>
        <w:t>Selling, general and administrative (SG&amp;A) expenses were $6,447,000, or 10.6% of sales, for the three months ended December 31, 2009 as compared to $6,906,000, or 9.1% of sales, for the three months ended December 31, 2008. The decrease was primarily the result of lower bad debt expense in 2010, partially offset by higher employee benefit costs, with the higher costs attributable to the Industrial segment. Water Treatment segment SG&amp;A expenses were consistent with the same period in the prior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Operating Income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0D0E00"/>
        </w:rPr>
        <w:t>Operating income was $9,408,000 for the three months ended December 31, 2009, a decrease of $1,788,000 from the same period of the prior year. Operating income for the Industrial segment decreased by $2,810,000, while operating income for the Water Treatment segment increased by $1,022,000. The Industrial segment’s decrease was primarily attributable to the lower gross profits discussed above, partially offset by lower SG&amp;A expenses. The increase in the Water Treatment segment was driven by increased sales of manufactured and specialty chemical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Investment Income</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0D0E00"/>
        </w:rPr>
        <w:t>Investment income was $99,000 for the three months ended December 31, 2009 as compared to $81,000 for the same period in fiscal 2009. The increase was due to larger levels of cash and investments on hand, offset by lower yields on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Provision for Income Taxes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0D0E00"/>
        </w:rPr>
        <w:t>Our effective income tax rate was 41.1% for the three months ended December 31, 2009, compared to 38.6% for the three months ended December 31, 2008. The increase in the effective income tax rate is due to the increase in projected pre-tax income subject to higher marginal income tax rates and decreased permanent differences.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Nine Months Ended December 31, 2009 Compared to the Nine Months Ended December 31,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Sales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0D0E00"/>
        </w:rPr>
        <w:t>Sales decreased $17,383,000, or 8.0%, to $199,189,000 for the nine month period ended December 31, 2009, as compared to $216,572,000 for the same period a year ago. The sales decrease was primarily driven by lower sales of bulk chemicals, including caustic soda. Sales of these products were approximately 25% of sales during the nine months ended December 31, 2009 and 35% of sales during the same period a year ago. The decrease in sales of bulk chemicals was due to a combination of lower sales prices resulting from passing on lower commodity chemical prices over the last two quarters compared to the prior year and volume decreases as a result of reduced demand. The decline in bulk chemical sales was partially offset by higher sales of our manufactured and specialty chemical products.</w:t>
      </w:r>
    </w:p>
    <w:p>
      <w:pPr>
        <w:spacing w:after="0" w:line="22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0D0E00"/>
        </w:rPr>
        <w:t xml:space="preserve">Industrial Segment. </w:t>
      </w:r>
      <w:r>
        <w:rPr>
          <w:rFonts w:ascii="Arial" w:cs="Arial" w:eastAsia="Arial" w:hAnsi="Arial"/>
          <w:sz w:val="17"/>
          <w:szCs w:val="17"/>
          <w:color w:val="0D0E00"/>
        </w:rPr>
        <w:t>Industrial segment sales decreased $17,715,000, or 11.7%, to $133,460,000 for the nine months ended December 31, 2009, as compared</w:t>
      </w:r>
      <w:r>
        <w:rPr>
          <w:rFonts w:ascii="Arial" w:cs="Arial" w:eastAsia="Arial" w:hAnsi="Arial"/>
          <w:sz w:val="17"/>
          <w:szCs w:val="17"/>
          <w:i w:val="1"/>
          <w:iCs w:val="1"/>
          <w:color w:val="0D0E00"/>
        </w:rPr>
        <w:t xml:space="preserve"> </w:t>
      </w:r>
      <w:r>
        <w:rPr>
          <w:rFonts w:ascii="Arial" w:cs="Arial" w:eastAsia="Arial" w:hAnsi="Arial"/>
          <w:sz w:val="17"/>
          <w:szCs w:val="17"/>
          <w:color w:val="0D0E00"/>
        </w:rPr>
        <w:t>to the same period of the prior year. The sales decrease was primarily attributable to lower selling prices for commodity chemicals due to lower commodity chemical material costs compared to a year ago, partially offset by increased sales of manufactured and specialty chemical products.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0D0E00"/>
        </w:rPr>
        <w:t xml:space="preserve">Water Treatment Segment. </w:t>
      </w:r>
      <w:r>
        <w:rPr>
          <w:rFonts w:ascii="Arial" w:cs="Arial" w:eastAsia="Arial" w:hAnsi="Arial"/>
          <w:sz w:val="17"/>
          <w:szCs w:val="17"/>
          <w:color w:val="0D0E00"/>
        </w:rPr>
        <w:t>Water Treatment segment sales increased $332,000, or 0.5%, to $65,729,000 for the nine months ended December 31, 2009, as</w:t>
      </w:r>
      <w:r>
        <w:rPr>
          <w:rFonts w:ascii="Arial" w:cs="Arial" w:eastAsia="Arial" w:hAnsi="Arial"/>
          <w:sz w:val="17"/>
          <w:szCs w:val="17"/>
          <w:i w:val="1"/>
          <w:iCs w:val="1"/>
          <w:color w:val="0D0E00"/>
        </w:rPr>
        <w:t xml:space="preserve"> </w:t>
      </w:r>
      <w:r>
        <w:rPr>
          <w:rFonts w:ascii="Arial" w:cs="Arial" w:eastAsia="Arial" w:hAnsi="Arial"/>
          <w:sz w:val="17"/>
          <w:szCs w:val="17"/>
          <w:color w:val="0D0E00"/>
        </w:rPr>
        <w:t>compared to the same period of the prior year. The higher sales were due to increased sales of manufactured and specialty chemical products, partially offset by lower selling prices for commodity chemicals due to lower commodity costs compared to a year ago.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Gross Profit</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0D0E00"/>
        </w:rPr>
        <w:t>Gross profit was $49,127,000, or 24.7% of sales, for the nine months ended December 31, 2009, as compared to $48,863,000, or 22.6% of sales, for the nine months ended December 31, 2008. Due to decreases in certain raw material costs, the LIFO method of valuing inventory increased gross profit by $9,115,000 for the nine months ended December 31, 2009, whereas LIFO decreased gross profit by $6,977,000 for the comparable period in the prior year due to increases in raw material costs a year ago. The higher gross profit as a percentage of sales was primarily driven by lower selling prices in response to lower commodity chemical material costs compared to a year ago in addition to an increase in sales of value-added manufactured and specialty chemical products and the LIFO reserve adjustments.</w:t>
      </w:r>
    </w:p>
    <w:p>
      <w:pPr>
        <w:spacing w:after="0" w:line="22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0D0E00"/>
        </w:rPr>
        <w:t xml:space="preserve">Industrial Segment. </w:t>
      </w:r>
      <w:r>
        <w:rPr>
          <w:rFonts w:ascii="Arial" w:cs="Arial" w:eastAsia="Arial" w:hAnsi="Arial"/>
          <w:sz w:val="17"/>
          <w:szCs w:val="17"/>
          <w:color w:val="0D0E00"/>
        </w:rPr>
        <w:t>Gross profit for the Industrial segment was $27,386,000, or 20.5% of sales, for the nine months ended December 31, 2009, as compared</w:t>
      </w:r>
      <w:r>
        <w:rPr>
          <w:rFonts w:ascii="Arial" w:cs="Arial" w:eastAsia="Arial" w:hAnsi="Arial"/>
          <w:sz w:val="17"/>
          <w:szCs w:val="17"/>
          <w:i w:val="1"/>
          <w:iCs w:val="1"/>
          <w:color w:val="0D0E00"/>
        </w:rPr>
        <w:t xml:space="preserve"> </w:t>
      </w:r>
      <w:r>
        <w:rPr>
          <w:rFonts w:ascii="Arial" w:cs="Arial" w:eastAsia="Arial" w:hAnsi="Arial"/>
          <w:sz w:val="17"/>
          <w:szCs w:val="17"/>
          <w:color w:val="0D0E00"/>
        </w:rPr>
        <w:t>to $31,396,000, or 20.8% of sales, for the nine months ended December 31, 2008. The reduction in gross profit in the first three quarters of fiscal 2010 compared to the same period of fiscal 2009 primarily occurred in the third quarter. In the third quarter of fiscal 2009, gross profit was significantly higher than historical levels due to the sale of lower-cost inventory on hand during that period of rapidly escalating market prices as well as an increase in profits realized on certain products where we had inventory available to meet escalated demand during a period of constrained supply. By contrast, in the three months ended Dece mber 31, 2009, the market conditions returned to levels more in line with our historical experience and, as a result, our gross profit dollars were lower in the quarter. These decreases were partially offset by increased sales of manufactured and specialty chemical products. The LIFO method of valuing inventory increased gross profit in this segment by $7,255,000 for the nine months ended December 31, 2009 and decreased gross profit by $5,030,000 for the nine months ended December 31, 2008.</w:t>
      </w:r>
    </w:p>
    <w:p>
      <w:pPr>
        <w:spacing w:after="0" w:line="2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0D0E00"/>
        </w:rPr>
        <w:t xml:space="preserve">Water Treatment Segment. </w:t>
      </w:r>
      <w:r>
        <w:rPr>
          <w:rFonts w:ascii="Arial" w:cs="Arial" w:eastAsia="Arial" w:hAnsi="Arial"/>
          <w:sz w:val="17"/>
          <w:szCs w:val="17"/>
          <w:color w:val="0D0E00"/>
        </w:rPr>
        <w:t>Gross profit for the Water Treatment segment was $21,741,000, or 33.1% of sales, for the nine months ended December 31, 2009,</w:t>
      </w:r>
      <w:r>
        <w:rPr>
          <w:rFonts w:ascii="Arial" w:cs="Arial" w:eastAsia="Arial" w:hAnsi="Arial"/>
          <w:sz w:val="17"/>
          <w:szCs w:val="17"/>
          <w:i w:val="1"/>
          <w:iCs w:val="1"/>
          <w:color w:val="0D0E00"/>
        </w:rPr>
        <w:t xml:space="preserve"> </w:t>
      </w:r>
      <w:r>
        <w:rPr>
          <w:rFonts w:ascii="Arial" w:cs="Arial" w:eastAsia="Arial" w:hAnsi="Arial"/>
          <w:sz w:val="17"/>
          <w:szCs w:val="17"/>
          <w:color w:val="0D0E00"/>
        </w:rPr>
        <w:t>as compared to $17,467,000, or 26.7% of sales, for the nine months ended December 31, 2008. The increase in gross profit was primarily driven by increased sales of higher-margin manufactured and specialty chemical products and favorable weather conditions in the first quarter of fiscal 2010 as compared to the first quarter of fiscal 2009. The LIFO method of valuing inventory increased gross profit in this segment by $1,860,000 for the nine months ended December 31, 2009 and decreased gross profit by $1,947,000 for the nine months ended December 31, 2008.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Selling, General and Administrative Expenses</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0D0E00"/>
        </w:rPr>
        <w:t>SG&amp;A expenses were $19,370,000, or 9.7% of sales, for the nine months ended December 31, 2009 as compared to $19,005,000, or 8.8% of sales, for the nine months ended December 31, 2008. The increase is primarily the result of higher employee benefits and variable pay plan costs, partially offset by lower bad debt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Operating Income</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0D0E00"/>
        </w:rPr>
        <w:t>Operating income was $29,757,000 for the nine months ended December 31, 2009, a decrease of $101,000 from the same period of the prior year. A $4,351,000 increase in operating income for the Water Treatment segment, which was driven by higher sales volumes for manufactured and specialty chemical products, was offset by a $4,452,000 decrease in operating income for the Industrial segment. The decrease in the Industrial segment was primarily attributable to lower gross profit dollars as discussed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Investment Income</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0D0E00"/>
        </w:rPr>
        <w:t>Investment income was $188,000 for the nine months ended December 31, 2009 as compared to $337,000 for the same period in fiscal 2009. The decrease was due to lower yields on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Provision for Income Taxes</w:t>
      </w: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0D0E00"/>
        </w:rPr>
        <w:t>Our effective income tax rate was 39.2% for the nine months ended December 31, 2009, compared to 38.6% for the nine months ended December 31,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Liquidity and Capital Resources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0D0E00"/>
        </w:rPr>
        <w:t>Cash provided by operations was $29,666,000 for the nine months ended December 31, 2009, as compared to $5,515,000 for the nine months ended December 31, 2008. The increase in cash provided by operating activities was primarily due to fluctuations in working capital balances. The $5,968,000 net decrease in working capital balances for the nine month period ended December 31, 2009 was primarily attributable to the significant decrease in raw material costs and related selling prices which drove lower inventory and lower accounts payable and accounts receivable levels. Due to the nature of our operations, which include purchases of large quantities of bulk chemicals, timing of purchases can result in significant changes in working capital investment and the resulting operating cash flow. Historically, our cash requirements for working capital have increased during the period from April through Septembe r as we receive the majority of our barges of caustic soda during this period as we build our annual seasonal inventory levels. Additionally, due to the seasonality of the Water Treatment business, our accounts receivable balance generally increases during the same period. Cash used for working capital was $17,634,000 during the nine month period ended December 31, 2008.</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0D0E00"/>
        </w:rPr>
        <w:t>Cash and investments available-for-sale of $46,194,000 at December 31, 2009 increased by $16,658,000, as compared with the $29,536,000 available as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D0E00"/>
        </w:rPr>
        <w:t>March 29, 2009, primarily due to an increase in cash generated from operations that was partially offset by capital expenditures and dividend payments.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0D0E00"/>
        </w:rPr>
        <w:t>$29,536,000 balance at March 29, 2009 consisted entirely of cash and cash equivalents. As of December 31, 2009, we had $33,320,000 invested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D0E00"/>
        </w:rPr>
        <w:t>certificates of deposit; these are classified as available-for-sale at December 31, 2009. The certificates of deposit were purchased from a number of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0D0E00"/>
        </w:rPr>
        <w:t>institutions in increments less than the FDIC insurance limits and have an average maturity of approximately one year. As of December 31, 2009,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D0E00"/>
        </w:rPr>
        <w:t>$12,349,000 in certificates of deposit were classified as non-current assets with an aggregate market value exceeding carrying value by $19,000, as they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0D0E00"/>
        </w:rPr>
        <w:t>m aturity dates exceeding one year. Cash equivalents include cash funds and money market accounts.</w:t>
      </w:r>
    </w:p>
    <w:p>
      <w:pPr>
        <w:spacing w:after="0" w:line="238" w:lineRule="exact"/>
        <w:rPr>
          <w:sz w:val="20"/>
          <w:szCs w:val="20"/>
          <w:color w:val="auto"/>
        </w:rPr>
      </w:pPr>
    </w:p>
    <w:p>
      <w:pPr>
        <w:spacing w:after="0" w:line="297" w:lineRule="auto"/>
        <w:rPr>
          <w:sz w:val="20"/>
          <w:szCs w:val="20"/>
          <w:color w:val="auto"/>
        </w:rPr>
      </w:pPr>
      <w:r>
        <w:rPr>
          <w:rFonts w:ascii="Arial" w:cs="Arial" w:eastAsia="Arial" w:hAnsi="Arial"/>
          <w:sz w:val="16"/>
          <w:szCs w:val="16"/>
          <w:color w:val="0D0E00"/>
        </w:rPr>
        <w:t>Our investment objectives, in order of importance, are preservation of principal, maintenance of liquidity and rate of return. We monitor the maturities of our investments to ensure that funding is available for anticipated cash needs. At December 31, 2009, our available-for-sale investments consisted of certificates of deposit with a market value of $33,340,000. These fixed income securities, like all fixed income instruments, are subject to interest rate risk and will decline in value if market interest rates increase. However, while the value of the investment may fluctuate in any given period, we intend to hold the fixed income investments until recovery. Consequently, we would not expect to recognize an adverse impact on net income or cash flows during the holding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Capital Expenditures</w:t>
      </w:r>
    </w:p>
    <w:p>
      <w:pPr>
        <w:spacing w:after="0" w:line="25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0D0E00"/>
        </w:rPr>
        <w:t>Capital expenditures were $6,591,000 for the nine months ended December 31, 2009, as compared to $10,243,000 in the same period in the prior fiscal year. The $3,652,000 decrease over the nine months ended December 31, 2008 is primarily a result of the timing of capital expenditures for our two new facilities. We incurred approximately $2,500,000 of capital expenditures on these facilities during the nine months ended December 31, 2009 as compared to approximately $6,000,000 during the nine months ended December 31, 2008. Other significant capital expenditures during the first nine months of fiscal 2010 consisted of facility improvement and safety projects, storage expansion, and new route sales trucks and vehicles. We expect recurring capital expenditures for this fiscal year to approximate the recurring capital expenditure spend rate for the prior year, with fourth quarter of fiscal 2010 expenditures primarily relating to storage capacity expansion, facilities improvement projects, returnable containers, and new route sales trucks and vehicles. We expect our cash flows from operations will continue to be sufficient to fund our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Critical Accounting Policies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0D0E00"/>
        </w:rPr>
        <w:t>Our significant accounting policies are set forth in Note 1 to our financial statements in our Annual Report on Form 10-K for the fiscal year ended March 29, 2009. The accounting policies used in preparing our interim fiscal 2010 financial statements are the same as those described in our Annual Report on Form 10-K for the fiscal year ended March 29, 2009.</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Forward-Looking Statements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“appears,” “expect,” “intend,” “plan,” “believe,” “seek,” “estimate,” “will” and similar expressions to identify forward-looking statements. These statements are not guarantees of future performance and are subject to certain risks, uncertainties and other factors, some of w hich are beyond our control and are difficult to predict. These factors could cause actual results to differ materially from those expressed or forecasted in the forward-looking statements. Additional information concerning potential factors that could effect future financial results is included in our Annual Report on Form 10-K for the fiscal year ended March 29, 2009.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3.</w:t>
      </w:r>
      <w:r>
        <w:rPr>
          <w:sz w:val="20"/>
          <w:szCs w:val="20"/>
          <w:color w:val="auto"/>
        </w:rPr>
        <w:tab/>
      </w:r>
      <w:r>
        <w:rPr>
          <w:rFonts w:ascii="Arial" w:cs="Arial" w:eastAsia="Arial" w:hAnsi="Arial"/>
          <w:sz w:val="21"/>
          <w:szCs w:val="21"/>
          <w:color w:val="0D0E00"/>
        </w:rPr>
        <w:t>QUANTITATIVE AND QUALITATIVE DISCLOSURES ABOUT MARKET RISK</w:t>
      </w:r>
    </w:p>
    <w:p>
      <w:pPr>
        <w:spacing w:after="0" w:line="24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0D0E00"/>
        </w:rPr>
        <w:t>At December 31, 2009, our investment portfolio included $33,340,000 of certificates of deposit classified as fixed income securities and cash and cash equivalents of $12,854,000.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7"/>
          <w:szCs w:val="17"/>
          <w:color w:val="0D0E00"/>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commodity chemical cost increases in the future.</w:t>
      </w:r>
    </w:p>
    <w:p>
      <w:pPr>
        <w:spacing w:after="0" w:line="185"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4.</w:t>
      </w:r>
      <w:r>
        <w:rPr>
          <w:sz w:val="20"/>
          <w:szCs w:val="20"/>
          <w:color w:val="auto"/>
        </w:rPr>
        <w:tab/>
      </w:r>
      <w:r>
        <w:rPr>
          <w:rFonts w:ascii="Arial" w:cs="Arial" w:eastAsia="Arial" w:hAnsi="Arial"/>
          <w:sz w:val="19"/>
          <w:szCs w:val="19"/>
          <w:color w:val="0D0E00"/>
        </w:rPr>
        <w:t>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0D0E0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2010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D0E00"/>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0D0E00"/>
        </w:rPr>
        <w:t>ITEM 1A. 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0D0E00"/>
        </w:rPr>
        <w:t>There have been no material changes to our risk factors from those disclosed in our Annual Report on Form 10-K for the fiscal year ended March 29, 2009.</w:t>
      </w: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6.</w:t>
      </w:r>
      <w:r>
        <w:rPr>
          <w:sz w:val="20"/>
          <w:szCs w:val="20"/>
          <w:color w:val="auto"/>
        </w:rPr>
        <w:tab/>
      </w:r>
      <w:r>
        <w:rPr>
          <w:rFonts w:ascii="Arial" w:cs="Arial" w:eastAsia="Arial" w:hAnsi="Arial"/>
          <w:sz w:val="21"/>
          <w:szCs w:val="21"/>
          <w:color w:val="0D0E00"/>
        </w:rPr>
        <w:t>EXHIBITS</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40" w:type="dxa"/>
            <w:vAlign w:val="bottom"/>
            <w:gridSpan w:val="3"/>
          </w:tcPr>
          <w:p>
            <w:pPr>
              <w:jc w:val="center"/>
              <w:ind w:right="1080"/>
              <w:spacing w:after="0"/>
              <w:rPr>
                <w:sz w:val="20"/>
                <w:szCs w:val="20"/>
                <w:color w:val="auto"/>
              </w:rPr>
            </w:pPr>
            <w:r>
              <w:rPr>
                <w:rFonts w:ascii="Arial" w:cs="Arial" w:eastAsia="Arial" w:hAnsi="Arial"/>
                <w:sz w:val="18"/>
                <w:szCs w:val="18"/>
                <w:color w:val="0D0E00"/>
                <w:w w:val="96"/>
              </w:rPr>
              <w:t>Exhibit Index</w:t>
            </w: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0D0E00"/>
                <w:w w:val="96"/>
              </w:rPr>
              <w:t>Exhibit</w:t>
            </w: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40" w:type="dxa"/>
            <w:vAlign w:val="bottom"/>
            <w:gridSpan w:val="3"/>
          </w:tcPr>
          <w:p>
            <w:pPr>
              <w:jc w:val="center"/>
              <w:ind w:right="1080"/>
              <w:spacing w:after="0"/>
              <w:rPr>
                <w:sz w:val="20"/>
                <w:szCs w:val="20"/>
                <w:color w:val="auto"/>
              </w:rPr>
            </w:pPr>
            <w:r>
              <w:rPr>
                <w:rFonts w:ascii="Arial" w:cs="Arial" w:eastAsia="Arial" w:hAnsi="Arial"/>
                <w:sz w:val="18"/>
                <w:szCs w:val="18"/>
                <w:color w:val="0D0E00"/>
                <w:w w:val="93"/>
              </w:rPr>
              <w:t>Description</w:t>
            </w:r>
          </w:p>
        </w:tc>
        <w:tc>
          <w:tcPr>
            <w:tcW w:w="50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0D0E00"/>
                <w:w w:val="96"/>
              </w:rPr>
              <w:t>Method of Filing</w:t>
            </w:r>
          </w:p>
        </w:tc>
      </w:tr>
      <w:tr>
        <w:trPr>
          <w:trHeight w:val="20"/>
        </w:trPr>
        <w:tc>
          <w:tcPr>
            <w:tcW w:w="540" w:type="dxa"/>
            <w:vAlign w:val="bottom"/>
            <w:shd w:val="clear" w:color="auto" w:fill="0D0E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D0E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D0E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0D0E00"/>
              </w:rPr>
              <w:t>3.1</w:t>
            </w:r>
          </w:p>
        </w:tc>
        <w:tc>
          <w:tcPr>
            <w:tcW w:w="7140" w:type="dxa"/>
            <w:vAlign w:val="bottom"/>
            <w:gridSpan w:val="4"/>
          </w:tcPr>
          <w:p>
            <w:pPr>
              <w:ind w:left="540"/>
              <w:spacing w:after="0"/>
              <w:rPr>
                <w:sz w:val="20"/>
                <w:szCs w:val="20"/>
                <w:color w:val="auto"/>
              </w:rPr>
            </w:pPr>
            <w:r>
              <w:rPr>
                <w:rFonts w:ascii="Arial" w:cs="Arial" w:eastAsia="Arial" w:hAnsi="Arial"/>
                <w:sz w:val="18"/>
                <w:szCs w:val="18"/>
                <w:color w:val="0D0E00"/>
                <w:w w:val="94"/>
              </w:rPr>
              <w:t>Amended and Second Restated Articles of Incorporation as amended through February</w:t>
            </w: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0D0E00"/>
                <w:w w:val="92"/>
              </w:rPr>
              <w:t>27, 2001. (1)</w:t>
            </w:r>
          </w:p>
        </w:tc>
        <w:tc>
          <w:tcPr>
            <w:tcW w:w="1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0D0E00"/>
              </w:rPr>
              <w:t>3.2</w:t>
            </w:r>
          </w:p>
        </w:tc>
        <w:tc>
          <w:tcPr>
            <w:tcW w:w="7140" w:type="dxa"/>
            <w:vAlign w:val="bottom"/>
            <w:gridSpan w:val="4"/>
          </w:tcPr>
          <w:p>
            <w:pPr>
              <w:ind w:left="540"/>
              <w:spacing w:after="0"/>
              <w:rPr>
                <w:sz w:val="20"/>
                <w:szCs w:val="20"/>
                <w:color w:val="auto"/>
              </w:rPr>
            </w:pPr>
            <w:r>
              <w:rPr>
                <w:rFonts w:ascii="Arial" w:cs="Arial" w:eastAsia="Arial" w:hAnsi="Arial"/>
                <w:sz w:val="18"/>
                <w:szCs w:val="18"/>
                <w:color w:val="0D0E00"/>
              </w:rPr>
              <w:t>Amended and Restated By-Laws adopted on October 28, 2009. (2)</w:t>
            </w: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0D0E00"/>
              </w:rPr>
              <w:t>31.1</w:t>
            </w:r>
          </w:p>
        </w:tc>
        <w:tc>
          <w:tcPr>
            <w:tcW w:w="7140" w:type="dxa"/>
            <w:vAlign w:val="bottom"/>
            <w:gridSpan w:val="4"/>
          </w:tcPr>
          <w:p>
            <w:pPr>
              <w:ind w:left="540"/>
              <w:spacing w:after="0"/>
              <w:rPr>
                <w:sz w:val="20"/>
                <w:szCs w:val="20"/>
                <w:color w:val="auto"/>
              </w:rPr>
            </w:pPr>
            <w:r>
              <w:rPr>
                <w:rFonts w:ascii="Arial" w:cs="Arial" w:eastAsia="Arial" w:hAnsi="Arial"/>
                <w:sz w:val="18"/>
                <w:szCs w:val="18"/>
                <w:color w:val="auto"/>
                <w:w w:val="94"/>
              </w:rPr>
              <w:t>Certification by Chief Executive Officer pursuant to Rule 13a-14(a) of the Exchange Act.</w:t>
            </w: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0D0E00"/>
              </w:rPr>
              <w:t>31.2</w:t>
            </w:r>
          </w:p>
        </w:tc>
        <w:tc>
          <w:tcPr>
            <w:tcW w:w="7140" w:type="dxa"/>
            <w:vAlign w:val="bottom"/>
            <w:gridSpan w:val="4"/>
          </w:tcPr>
          <w:p>
            <w:pPr>
              <w:ind w:left="540"/>
              <w:spacing w:after="0"/>
              <w:rPr>
                <w:sz w:val="20"/>
                <w:szCs w:val="20"/>
                <w:color w:val="auto"/>
              </w:rPr>
            </w:pPr>
            <w:r>
              <w:rPr>
                <w:rFonts w:ascii="Arial" w:cs="Arial" w:eastAsia="Arial" w:hAnsi="Arial"/>
                <w:sz w:val="18"/>
                <w:szCs w:val="18"/>
                <w:color w:val="auto"/>
                <w:w w:val="95"/>
              </w:rPr>
              <w:t>Certification by Chief Financial Officer pursuant to Rule 13a-14(a) of the Exchange Act.</w:t>
            </w: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0D0E00"/>
              </w:rPr>
              <w:t>32.1</w:t>
            </w:r>
          </w:p>
        </w:tc>
        <w:tc>
          <w:tcPr>
            <w:tcW w:w="1500" w:type="dxa"/>
            <w:vAlign w:val="bottom"/>
          </w:tcPr>
          <w:p>
            <w:pPr>
              <w:ind w:left="540"/>
              <w:spacing w:after="0"/>
              <w:rPr>
                <w:sz w:val="20"/>
                <w:szCs w:val="20"/>
                <w:color w:val="auto"/>
              </w:rPr>
            </w:pPr>
            <w:r>
              <w:rPr>
                <w:rFonts w:ascii="Arial" w:cs="Arial" w:eastAsia="Arial" w:hAnsi="Arial"/>
                <w:sz w:val="18"/>
                <w:szCs w:val="18"/>
                <w:color w:val="auto"/>
                <w:w w:val="89"/>
              </w:rPr>
              <w:t>Section 1350</w:t>
            </w: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Filed Electronically</w:t>
            </w:r>
          </w:p>
        </w:tc>
      </w:tr>
      <w:tr>
        <w:trPr>
          <w:trHeight w:val="230"/>
        </w:trPr>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0D0E00"/>
              </w:rPr>
              <w:t>32.2</w:t>
            </w:r>
          </w:p>
        </w:tc>
        <w:tc>
          <w:tcPr>
            <w:tcW w:w="1500" w:type="dxa"/>
            <w:vAlign w:val="bottom"/>
          </w:tcPr>
          <w:p>
            <w:pPr>
              <w:ind w:left="540"/>
              <w:spacing w:after="0"/>
              <w:rPr>
                <w:sz w:val="20"/>
                <w:szCs w:val="20"/>
                <w:color w:val="auto"/>
              </w:rPr>
            </w:pPr>
            <w:r>
              <w:rPr>
                <w:rFonts w:ascii="Arial" w:cs="Arial" w:eastAsia="Arial" w:hAnsi="Arial"/>
                <w:sz w:val="18"/>
                <w:szCs w:val="18"/>
                <w:color w:val="auto"/>
                <w:w w:val="89"/>
              </w:rPr>
              <w:t>Section 1350</w:t>
            </w: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Filed Electronically</w:t>
            </w:r>
          </w:p>
        </w:tc>
      </w:tr>
    </w:tbl>
    <w:p>
      <w:pPr>
        <w:spacing w:after="0" w:line="229" w:lineRule="exact"/>
        <w:rPr>
          <w:sz w:val="20"/>
          <w:szCs w:val="20"/>
          <w:color w:val="auto"/>
        </w:rPr>
      </w:pPr>
    </w:p>
    <w:p>
      <w:pPr>
        <w:ind w:left="920" w:hanging="372"/>
        <w:spacing w:after="0"/>
        <w:tabs>
          <w:tab w:leader="none" w:pos="920" w:val="left"/>
        </w:tabs>
        <w:numPr>
          <w:ilvl w:val="0"/>
          <w:numId w:val="11"/>
        </w:numPr>
        <w:rPr>
          <w:rFonts w:ascii="Arial" w:cs="Arial" w:eastAsia="Arial" w:hAnsi="Arial"/>
          <w:sz w:val="18"/>
          <w:szCs w:val="18"/>
          <w:color w:val="0D0E00"/>
        </w:rPr>
      </w:pPr>
      <w:r>
        <w:rPr>
          <w:rFonts w:ascii="Arial" w:cs="Arial" w:eastAsia="Arial" w:hAnsi="Arial"/>
          <w:sz w:val="18"/>
          <w:szCs w:val="18"/>
          <w:color w:val="0D0E00"/>
        </w:rPr>
        <w:t>Incorporated by reference to Exhibit 3.1 to the Company’s Annual Report on Form 10-K for the year ended September 30, 2001.</w:t>
      </w:r>
    </w:p>
    <w:p>
      <w:pPr>
        <w:spacing w:after="0" w:line="252" w:lineRule="exact"/>
        <w:rPr>
          <w:rFonts w:ascii="Arial" w:cs="Arial" w:eastAsia="Arial" w:hAnsi="Arial"/>
          <w:sz w:val="18"/>
          <w:szCs w:val="18"/>
          <w:color w:val="0D0E00"/>
        </w:rPr>
      </w:pPr>
    </w:p>
    <w:p>
      <w:pPr>
        <w:ind w:left="920" w:hanging="372"/>
        <w:spacing w:after="0"/>
        <w:tabs>
          <w:tab w:leader="none" w:pos="920" w:val="left"/>
        </w:tabs>
        <w:numPr>
          <w:ilvl w:val="0"/>
          <w:numId w:val="11"/>
        </w:numPr>
        <w:rPr>
          <w:rFonts w:ascii="Arial" w:cs="Arial" w:eastAsia="Arial" w:hAnsi="Arial"/>
          <w:sz w:val="16"/>
          <w:szCs w:val="16"/>
          <w:color w:val="0D0E00"/>
        </w:rPr>
      </w:pPr>
      <w:r>
        <w:rPr>
          <w:rFonts w:ascii="Arial" w:cs="Arial" w:eastAsia="Arial" w:hAnsi="Arial"/>
          <w:sz w:val="16"/>
          <w:szCs w:val="16"/>
          <w:color w:val="0D0E00"/>
        </w:rPr>
        <w:t>Incorporated by reference to Item 5.03 of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D0E00"/>
        </w:rPr>
        <w:t>SIGNATURES</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0D0E00"/>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6120"/>
        <w:spacing w:after="0"/>
        <w:rPr>
          <w:sz w:val="20"/>
          <w:szCs w:val="20"/>
          <w:color w:val="auto"/>
        </w:rPr>
      </w:pPr>
      <w:r>
        <w:rPr>
          <w:rFonts w:ascii="Arial" w:cs="Arial" w:eastAsia="Arial" w:hAnsi="Arial"/>
          <w:sz w:val="18"/>
          <w:szCs w:val="18"/>
          <w:color w:val="0D0E00"/>
        </w:rPr>
        <w:t>HAWKINS, INC.</w:t>
      </w:r>
    </w:p>
    <w:p>
      <w:pPr>
        <w:spacing w:after="0" w:line="279" w:lineRule="exact"/>
        <w:rPr>
          <w:sz w:val="20"/>
          <w:szCs w:val="20"/>
          <w:color w:val="auto"/>
        </w:rPr>
      </w:pPr>
    </w:p>
    <w:p>
      <w:pPr>
        <w:spacing w:after="0"/>
        <w:tabs>
          <w:tab w:leader="none" w:pos="6100" w:val="left"/>
          <w:tab w:leader="none" w:pos="7520" w:val="left"/>
        </w:tabs>
        <w:rPr>
          <w:sz w:val="20"/>
          <w:szCs w:val="20"/>
          <w:color w:val="auto"/>
        </w:rPr>
      </w:pPr>
      <w:r>
        <w:rPr>
          <w:rFonts w:ascii="Arial" w:cs="Arial" w:eastAsia="Arial" w:hAnsi="Arial"/>
          <w:sz w:val="18"/>
          <w:szCs w:val="18"/>
          <w:color w:val="0D0E00"/>
        </w:rPr>
        <w:t>Dated: January 28, 2010</w:t>
      </w:r>
      <w:r>
        <w:rPr>
          <w:sz w:val="20"/>
          <w:szCs w:val="20"/>
          <w:color w:val="auto"/>
        </w:rPr>
        <w:tab/>
      </w:r>
      <w:r>
        <w:rPr>
          <w:rFonts w:ascii="Arial" w:cs="Arial" w:eastAsia="Arial" w:hAnsi="Arial"/>
          <w:sz w:val="18"/>
          <w:szCs w:val="18"/>
          <w:color w:val="0D0E00"/>
        </w:rPr>
        <w:t>By:</w:t>
      </w:r>
      <w:r>
        <w:rPr>
          <w:sz w:val="20"/>
          <w:szCs w:val="20"/>
          <w:color w:val="auto"/>
        </w:rPr>
        <w:tab/>
      </w:r>
      <w:r>
        <w:rPr>
          <w:rFonts w:ascii="Arial" w:cs="Arial" w:eastAsia="Arial" w:hAnsi="Arial"/>
          <w:sz w:val="16"/>
          <w:szCs w:val="16"/>
          <w:color w:val="0D0E00"/>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46" w:lineRule="exact"/>
        <w:rPr>
          <w:sz w:val="20"/>
          <w:szCs w:val="20"/>
          <w:color w:val="auto"/>
        </w:rPr>
      </w:pPr>
    </w:p>
    <w:p>
      <w:pPr>
        <w:ind w:left="7660"/>
        <w:spacing w:after="0"/>
        <w:rPr>
          <w:sz w:val="20"/>
          <w:szCs w:val="20"/>
          <w:color w:val="auto"/>
        </w:rPr>
      </w:pPr>
      <w:r>
        <w:rPr>
          <w:rFonts w:ascii="Arial" w:cs="Arial" w:eastAsia="Arial" w:hAnsi="Arial"/>
          <w:sz w:val="18"/>
          <w:szCs w:val="18"/>
          <w:color w:val="0D0E00"/>
        </w:rPr>
        <w:t>Kathleen P. Pepski</w:t>
      </w:r>
    </w:p>
    <w:p>
      <w:pPr>
        <w:spacing w:after="0" w:line="27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0D0E00"/>
        </w:rPr>
        <w:t>Vice President, Chief Financial Officer, and</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0D0E00"/>
        </w:rPr>
        <w:t>Treasurer</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0D0E00"/>
        </w:rPr>
        <w:t>(On behalf of the Registrant and as principal</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0D0E00"/>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0D0E00"/>
        </w:rPr>
        <w:t>Exhibit Index</w:t>
      </w:r>
    </w:p>
    <w:p>
      <w:pPr>
        <w:spacing w:after="0" w:line="229"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540" w:type="dxa"/>
            <w:vAlign w:val="bottom"/>
          </w:tcPr>
          <w:p>
            <w:pPr>
              <w:jc w:val="right"/>
              <w:spacing w:after="0"/>
              <w:rPr>
                <w:sz w:val="20"/>
                <w:szCs w:val="20"/>
                <w:color w:val="auto"/>
              </w:rPr>
            </w:pPr>
            <w:r>
              <w:rPr>
                <w:rFonts w:ascii="Arial" w:cs="Arial" w:eastAsia="Arial" w:hAnsi="Arial"/>
                <w:sz w:val="18"/>
                <w:szCs w:val="18"/>
                <w:color w:val="0D0E00"/>
                <w:w w:val="96"/>
              </w:rPr>
              <w:t>Exhibit</w:t>
            </w: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640" w:type="dxa"/>
            <w:vAlign w:val="bottom"/>
            <w:gridSpan w:val="3"/>
          </w:tcPr>
          <w:p>
            <w:pPr>
              <w:ind w:left="1860"/>
              <w:spacing w:after="0"/>
              <w:rPr>
                <w:sz w:val="20"/>
                <w:szCs w:val="20"/>
                <w:color w:val="auto"/>
              </w:rPr>
            </w:pPr>
            <w:r>
              <w:rPr>
                <w:rFonts w:ascii="Arial" w:cs="Arial" w:eastAsia="Arial" w:hAnsi="Arial"/>
                <w:sz w:val="18"/>
                <w:szCs w:val="18"/>
                <w:color w:val="0D0E00"/>
              </w:rPr>
              <w:t>Description</w:t>
            </w: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0D0E00"/>
                <w:w w:val="96"/>
              </w:rPr>
              <w:t>Method of Filing</w:t>
            </w:r>
          </w:p>
        </w:tc>
      </w:tr>
      <w:tr>
        <w:trPr>
          <w:trHeight w:val="20"/>
        </w:trPr>
        <w:tc>
          <w:tcPr>
            <w:tcW w:w="540" w:type="dxa"/>
            <w:vAlign w:val="bottom"/>
            <w:shd w:val="clear" w:color="auto" w:fill="0D0E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40" w:type="dxa"/>
            <w:vAlign w:val="bottom"/>
            <w:shd w:val="clear" w:color="auto" w:fill="0D0E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D0E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540" w:type="dxa"/>
            <w:vAlign w:val="bottom"/>
          </w:tcPr>
          <w:p>
            <w:pPr>
              <w:jc w:val="right"/>
              <w:spacing w:after="0"/>
              <w:rPr>
                <w:sz w:val="20"/>
                <w:szCs w:val="20"/>
                <w:color w:val="auto"/>
              </w:rPr>
            </w:pPr>
            <w:r>
              <w:rPr>
                <w:rFonts w:ascii="Arial" w:cs="Arial" w:eastAsia="Arial" w:hAnsi="Arial"/>
                <w:sz w:val="18"/>
                <w:szCs w:val="18"/>
                <w:color w:val="0D0E00"/>
              </w:rPr>
              <w:t>3.1</w:t>
            </w:r>
          </w:p>
        </w:tc>
        <w:tc>
          <w:tcPr>
            <w:tcW w:w="540" w:type="dxa"/>
            <w:vAlign w:val="bottom"/>
          </w:tcPr>
          <w:p>
            <w:pPr>
              <w:spacing w:after="0"/>
              <w:rPr>
                <w:sz w:val="19"/>
                <w:szCs w:val="19"/>
                <w:color w:val="auto"/>
              </w:rPr>
            </w:pPr>
          </w:p>
        </w:tc>
        <w:tc>
          <w:tcPr>
            <w:tcW w:w="7160" w:type="dxa"/>
            <w:vAlign w:val="bottom"/>
            <w:gridSpan w:val="4"/>
          </w:tcPr>
          <w:p>
            <w:pPr>
              <w:ind w:left="560"/>
              <w:spacing w:after="0"/>
              <w:rPr>
                <w:sz w:val="20"/>
                <w:szCs w:val="20"/>
                <w:color w:val="auto"/>
              </w:rPr>
            </w:pPr>
            <w:r>
              <w:rPr>
                <w:rFonts w:ascii="Arial" w:cs="Arial" w:eastAsia="Arial" w:hAnsi="Arial"/>
                <w:sz w:val="18"/>
                <w:szCs w:val="18"/>
                <w:color w:val="0D0E00"/>
                <w:w w:val="94"/>
              </w:rPr>
              <w:t>Amended and Second Restated Articles of Incorporation as amended through February</w:t>
            </w: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ind w:left="560"/>
              <w:spacing w:after="0"/>
              <w:rPr>
                <w:sz w:val="20"/>
                <w:szCs w:val="20"/>
                <w:color w:val="auto"/>
              </w:rPr>
            </w:pPr>
            <w:r>
              <w:rPr>
                <w:rFonts w:ascii="Arial" w:cs="Arial" w:eastAsia="Arial" w:hAnsi="Arial"/>
                <w:sz w:val="18"/>
                <w:szCs w:val="18"/>
                <w:color w:val="0D0E00"/>
              </w:rPr>
              <w:t>27, 2001.</w:t>
            </w:r>
          </w:p>
        </w:tc>
        <w:tc>
          <w:tcPr>
            <w:tcW w:w="1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0D0E00"/>
              </w:rPr>
              <w:t>3.2</w:t>
            </w:r>
          </w:p>
        </w:tc>
        <w:tc>
          <w:tcPr>
            <w:tcW w:w="7160" w:type="dxa"/>
            <w:vAlign w:val="bottom"/>
            <w:gridSpan w:val="4"/>
          </w:tcPr>
          <w:p>
            <w:pPr>
              <w:ind w:left="560"/>
              <w:spacing w:after="0"/>
              <w:rPr>
                <w:sz w:val="20"/>
                <w:szCs w:val="20"/>
                <w:color w:val="auto"/>
              </w:rPr>
            </w:pPr>
            <w:r>
              <w:rPr>
                <w:rFonts w:ascii="Arial" w:cs="Arial" w:eastAsia="Arial" w:hAnsi="Arial"/>
                <w:sz w:val="18"/>
                <w:szCs w:val="18"/>
                <w:color w:val="0D0E00"/>
              </w:rPr>
              <w:t>Amended and Restated By-Laws adopted on October 28, 2009.</w:t>
            </w:r>
          </w:p>
        </w:tc>
        <w:tc>
          <w:tcPr>
            <w:tcW w:w="208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0D0E00"/>
              </w:rPr>
              <w:t>31.1</w:t>
            </w:r>
          </w:p>
        </w:tc>
        <w:tc>
          <w:tcPr>
            <w:tcW w:w="7160" w:type="dxa"/>
            <w:vAlign w:val="bottom"/>
            <w:gridSpan w:val="4"/>
          </w:tcPr>
          <w:p>
            <w:pPr>
              <w:ind w:left="560"/>
              <w:spacing w:after="0"/>
              <w:rPr>
                <w:sz w:val="20"/>
                <w:szCs w:val="20"/>
                <w:color w:val="auto"/>
              </w:rPr>
            </w:pPr>
            <w:r>
              <w:rPr>
                <w:rFonts w:ascii="Arial" w:cs="Arial" w:eastAsia="Arial" w:hAnsi="Arial"/>
                <w:sz w:val="18"/>
                <w:szCs w:val="18"/>
                <w:color w:val="auto"/>
                <w:w w:val="94"/>
              </w:rPr>
              <w:t>Certification by Chief Executive Officer pursuant to Rule 13a-14(a) of the Exchange Act.</w:t>
            </w:r>
          </w:p>
        </w:tc>
        <w:tc>
          <w:tcPr>
            <w:tcW w:w="208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0D0E00"/>
              </w:rPr>
              <w:t>31.2</w:t>
            </w:r>
          </w:p>
        </w:tc>
        <w:tc>
          <w:tcPr>
            <w:tcW w:w="7160" w:type="dxa"/>
            <w:vAlign w:val="bottom"/>
            <w:gridSpan w:val="4"/>
          </w:tcPr>
          <w:p>
            <w:pPr>
              <w:ind w:left="560"/>
              <w:spacing w:after="0"/>
              <w:rPr>
                <w:sz w:val="20"/>
                <w:szCs w:val="20"/>
                <w:color w:val="auto"/>
              </w:rPr>
            </w:pPr>
            <w:r>
              <w:rPr>
                <w:rFonts w:ascii="Arial" w:cs="Arial" w:eastAsia="Arial" w:hAnsi="Arial"/>
                <w:sz w:val="18"/>
                <w:szCs w:val="18"/>
                <w:color w:val="auto"/>
                <w:w w:val="95"/>
              </w:rPr>
              <w:t>Certification by Chief Financial Officer pursuant to Rule 13a-14(a) of the Exchange Act.</w:t>
            </w:r>
          </w:p>
        </w:tc>
        <w:tc>
          <w:tcPr>
            <w:tcW w:w="208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Filed Electronically</w:t>
            </w:r>
          </w:p>
        </w:tc>
      </w:tr>
      <w:tr>
        <w:trPr>
          <w:trHeight w:val="216"/>
        </w:trPr>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0D0E00"/>
              </w:rPr>
              <w:t>32.1</w:t>
            </w:r>
          </w:p>
        </w:tc>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1350</w:t>
            </w: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08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0D0E00"/>
              </w:rPr>
              <w:t>32.2</w:t>
            </w:r>
          </w:p>
        </w:tc>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1350</w:t>
            </w: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08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Filed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19" w:name="page20"/>
    <w:bookmarkEnd w:id="19"/>
    <w:p>
      <w:pPr>
        <w:ind w:left="10260"/>
        <w:spacing w:after="0"/>
        <w:rPr>
          <w:sz w:val="20"/>
          <w:szCs w:val="20"/>
          <w:color w:val="auto"/>
        </w:rPr>
      </w:pPr>
      <w:r>
        <w:rPr>
          <w:rFonts w:ascii="Arial" w:cs="Arial" w:eastAsia="Arial" w:hAnsi="Arial"/>
          <w:sz w:val="21"/>
          <w:szCs w:val="21"/>
          <w:b w:val="1"/>
          <w:bCs w:val="1"/>
          <w:color w:val="0D0E00"/>
        </w:rPr>
        <w:t>Exhibit 31.1</w:t>
      </w: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SECTION 302 OF</w:t>
      </w:r>
    </w:p>
    <w:p>
      <w:pPr>
        <w:jc w:val="center"/>
        <w:ind w:right="60"/>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D0E00"/>
        </w:rPr>
        <w:t>CERTIFICATIONS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0D0E00"/>
        </w:rPr>
        <w:t>I, John R. Hawkins, certify that:</w:t>
      </w:r>
    </w:p>
    <w:p>
      <w:pPr>
        <w:spacing w:after="0" w:line="252" w:lineRule="exact"/>
        <w:rPr>
          <w:sz w:val="20"/>
          <w:szCs w:val="20"/>
          <w:color w:val="auto"/>
        </w:rPr>
      </w:pPr>
    </w:p>
    <w:p>
      <w:pPr>
        <w:ind w:left="720" w:hanging="361"/>
        <w:spacing w:after="0"/>
        <w:tabs>
          <w:tab w:leader="none" w:pos="720" w:val="left"/>
        </w:tabs>
        <w:numPr>
          <w:ilvl w:val="0"/>
          <w:numId w:val="12"/>
        </w:numPr>
        <w:rPr>
          <w:rFonts w:ascii="Arial" w:cs="Arial" w:eastAsia="Arial" w:hAnsi="Arial"/>
          <w:sz w:val="18"/>
          <w:szCs w:val="18"/>
          <w:color w:val="0D0E00"/>
        </w:rPr>
      </w:pPr>
      <w:r>
        <w:rPr>
          <w:rFonts w:ascii="Arial" w:cs="Arial" w:eastAsia="Arial" w:hAnsi="Arial"/>
          <w:sz w:val="18"/>
          <w:szCs w:val="18"/>
          <w:color w:val="0D0E00"/>
        </w:rPr>
        <w:t>I have reviewed this quarterly report on Form 10-Q of Hawkins, Inc.;</w:t>
      </w:r>
    </w:p>
    <w:p>
      <w:pPr>
        <w:spacing w:after="0" w:line="279" w:lineRule="exact"/>
        <w:rPr>
          <w:rFonts w:ascii="Arial" w:cs="Arial" w:eastAsia="Arial" w:hAnsi="Arial"/>
          <w:sz w:val="18"/>
          <w:szCs w:val="18"/>
          <w:color w:val="0D0E00"/>
        </w:rPr>
      </w:pPr>
    </w:p>
    <w:p>
      <w:pPr>
        <w:jc w:val="both"/>
        <w:ind w:left="720" w:right="20" w:hanging="361"/>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20" w:right="20" w:hanging="361"/>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20" w:right="40" w:hanging="361"/>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208" w:lineRule="exact"/>
        <w:rPr>
          <w:rFonts w:ascii="Arial" w:cs="Arial" w:eastAsia="Arial" w:hAnsi="Arial"/>
          <w:sz w:val="18"/>
          <w:szCs w:val="18"/>
          <w:color w:val="auto"/>
        </w:rPr>
      </w:pPr>
    </w:p>
    <w:p>
      <w:pPr>
        <w:jc w:val="both"/>
        <w:ind w:left="1040" w:right="20" w:hanging="330"/>
        <w:spacing w:after="0" w:line="264" w:lineRule="auto"/>
        <w:tabs>
          <w:tab w:leader="none" w:pos="1040" w:val="left"/>
        </w:tabs>
        <w:numPr>
          <w:ilvl w:val="1"/>
          <w:numId w:val="12"/>
        </w:numPr>
        <w:rPr>
          <w:rFonts w:ascii="Arial" w:cs="Arial" w:eastAsia="Arial" w:hAnsi="Arial"/>
          <w:sz w:val="18"/>
          <w:szCs w:val="18"/>
          <w:color w:val="0D0E00"/>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0D0E00"/>
        </w:rPr>
      </w:pPr>
    </w:p>
    <w:p>
      <w:pPr>
        <w:jc w:val="both"/>
        <w:ind w:left="1040" w:right="20" w:hanging="330"/>
        <w:spacing w:after="0" w:line="264" w:lineRule="auto"/>
        <w:tabs>
          <w:tab w:leader="none" w:pos="1040" w:val="left"/>
        </w:tabs>
        <w:numPr>
          <w:ilvl w:val="1"/>
          <w:numId w:val="12"/>
        </w:numPr>
        <w:rPr>
          <w:rFonts w:ascii="Arial" w:cs="Arial" w:eastAsia="Arial" w:hAnsi="Arial"/>
          <w:sz w:val="18"/>
          <w:szCs w:val="18"/>
          <w:color w:val="0D0E00"/>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208" w:lineRule="exact"/>
        <w:rPr>
          <w:rFonts w:ascii="Arial" w:cs="Arial" w:eastAsia="Arial" w:hAnsi="Arial"/>
          <w:sz w:val="18"/>
          <w:szCs w:val="18"/>
          <w:color w:val="0D0E00"/>
        </w:rPr>
      </w:pPr>
    </w:p>
    <w:p>
      <w:pPr>
        <w:ind w:left="1040" w:right="20" w:hanging="330"/>
        <w:spacing w:after="0" w:line="308" w:lineRule="auto"/>
        <w:tabs>
          <w:tab w:leader="none" w:pos="1040" w:val="left"/>
        </w:tabs>
        <w:numPr>
          <w:ilvl w:val="1"/>
          <w:numId w:val="12"/>
        </w:numPr>
        <w:rPr>
          <w:rFonts w:ascii="Arial" w:cs="Arial" w:eastAsia="Arial" w:hAnsi="Arial"/>
          <w:sz w:val="17"/>
          <w:szCs w:val="17"/>
          <w:color w:val="0D0E00"/>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0D0E00"/>
        </w:rPr>
      </w:pPr>
    </w:p>
    <w:p>
      <w:pPr>
        <w:jc w:val="both"/>
        <w:ind w:left="1040" w:right="20" w:hanging="330"/>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720" w:right="20" w:hanging="361"/>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040" w:right="20" w:hanging="330"/>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040" w:right="20" w:hanging="330"/>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0D0E00"/>
              </w:rPr>
              <w:t>Date: January 28, 2010</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0D0E00"/>
              </w:rPr>
              <w:t>/s/ John R. Hawkins</w:t>
            </w:r>
          </w:p>
        </w:tc>
        <w:tc>
          <w:tcPr>
            <w:tcW w:w="3460" w:type="dxa"/>
            <w:vAlign w:val="bottom"/>
          </w:tcPr>
          <w:p>
            <w:pPr>
              <w:spacing w:after="0"/>
              <w:rPr>
                <w:sz w:val="20"/>
                <w:szCs w:val="20"/>
                <w:color w:val="auto"/>
              </w:rPr>
            </w:pPr>
          </w:p>
        </w:tc>
      </w:tr>
      <w:tr>
        <w:trPr>
          <w:trHeight w:val="195"/>
        </w:trPr>
        <w:tc>
          <w:tcPr>
            <w:tcW w:w="496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Arial" w:cs="Arial" w:eastAsia="Arial" w:hAnsi="Arial"/>
                <w:sz w:val="18"/>
                <w:szCs w:val="18"/>
                <w:color w:val="0D0E00"/>
              </w:rPr>
              <w:t>John R. Hawkins</w:t>
            </w:r>
          </w:p>
        </w:tc>
        <w:tc>
          <w:tcPr>
            <w:tcW w:w="3460" w:type="dxa"/>
            <w:vAlign w:val="bottom"/>
          </w:tcPr>
          <w:p>
            <w:pPr>
              <w:spacing w:after="0"/>
              <w:rPr>
                <w:sz w:val="16"/>
                <w:szCs w:val="16"/>
                <w:color w:val="auto"/>
              </w:rPr>
            </w:pPr>
          </w:p>
        </w:tc>
      </w:tr>
      <w:tr>
        <w:trPr>
          <w:trHeight w:val="230"/>
        </w:trPr>
        <w:tc>
          <w:tcPr>
            <w:tcW w:w="49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0D0E00"/>
              </w:rPr>
              <w:t>Chief Executive Officer</w:t>
            </w:r>
          </w:p>
        </w:tc>
        <w:tc>
          <w:tcPr>
            <w:tcW w:w="3460" w:type="dxa"/>
            <w:vAlign w:val="bottom"/>
          </w:tcPr>
          <w:p>
            <w:pPr>
              <w:spacing w:after="0"/>
              <w:rPr>
                <w:sz w:val="20"/>
                <w:szCs w:val="20"/>
                <w:color w:val="auto"/>
              </w:rPr>
            </w:pPr>
          </w:p>
        </w:tc>
      </w:tr>
      <w:tr>
        <w:trPr>
          <w:trHeight w:val="361"/>
        </w:trPr>
        <w:tc>
          <w:tcPr>
            <w:tcW w:w="49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20" w:name="page21"/>
    <w:bookmarkEnd w:id="20"/>
    <w:p>
      <w:pPr>
        <w:jc w:val="right"/>
        <w:ind w:right="20"/>
        <w:spacing w:after="0"/>
        <w:rPr>
          <w:sz w:val="20"/>
          <w:szCs w:val="20"/>
          <w:color w:val="auto"/>
        </w:rPr>
      </w:pPr>
      <w:r>
        <w:rPr>
          <w:rFonts w:ascii="Arial" w:cs="Arial" w:eastAsia="Arial" w:hAnsi="Arial"/>
          <w:sz w:val="22"/>
          <w:szCs w:val="22"/>
          <w:b w:val="1"/>
          <w:bCs w:val="1"/>
          <w:color w:val="0D0E00"/>
        </w:rPr>
        <w:t>Exhibit 31.2</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jc w:val="center"/>
        <w:ind w:right="60"/>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D0E00"/>
        </w:rPr>
        <w:t>CERTIFICATIONS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0D0E00"/>
        </w:rPr>
        <w:t>I, Kathleen P. Pepski, certify that:</w:t>
      </w:r>
    </w:p>
    <w:p>
      <w:pPr>
        <w:spacing w:after="0" w:line="252" w:lineRule="exact"/>
        <w:rPr>
          <w:sz w:val="20"/>
          <w:szCs w:val="20"/>
          <w:color w:val="auto"/>
        </w:rPr>
      </w:pPr>
    </w:p>
    <w:p>
      <w:pPr>
        <w:ind w:left="720" w:hanging="361"/>
        <w:spacing w:after="0"/>
        <w:tabs>
          <w:tab w:leader="none" w:pos="720" w:val="left"/>
        </w:tabs>
        <w:numPr>
          <w:ilvl w:val="0"/>
          <w:numId w:val="13"/>
        </w:numPr>
        <w:rPr>
          <w:rFonts w:ascii="Arial" w:cs="Arial" w:eastAsia="Arial" w:hAnsi="Arial"/>
          <w:sz w:val="18"/>
          <w:szCs w:val="18"/>
          <w:color w:val="0D0E00"/>
        </w:rPr>
      </w:pPr>
      <w:r>
        <w:rPr>
          <w:rFonts w:ascii="Arial" w:cs="Arial" w:eastAsia="Arial" w:hAnsi="Arial"/>
          <w:sz w:val="18"/>
          <w:szCs w:val="18"/>
          <w:color w:val="0D0E00"/>
        </w:rPr>
        <w:t>I have reviewed this quarterly report on Form 10-Q of Hawkins, Inc.;</w:t>
      </w:r>
    </w:p>
    <w:p>
      <w:pPr>
        <w:spacing w:after="0" w:line="279" w:lineRule="exact"/>
        <w:rPr>
          <w:rFonts w:ascii="Arial" w:cs="Arial" w:eastAsia="Arial" w:hAnsi="Arial"/>
          <w:sz w:val="18"/>
          <w:szCs w:val="18"/>
          <w:color w:val="0D0E00"/>
        </w:rPr>
      </w:pPr>
    </w:p>
    <w:p>
      <w:pPr>
        <w:jc w:val="both"/>
        <w:ind w:left="720" w:right="20" w:hanging="361"/>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20" w:right="20" w:hanging="361"/>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20" w:right="40" w:hanging="361"/>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208" w:lineRule="exact"/>
        <w:rPr>
          <w:rFonts w:ascii="Arial" w:cs="Arial" w:eastAsia="Arial" w:hAnsi="Arial"/>
          <w:sz w:val="18"/>
          <w:szCs w:val="18"/>
          <w:color w:val="auto"/>
        </w:rPr>
      </w:pPr>
    </w:p>
    <w:p>
      <w:pPr>
        <w:jc w:val="both"/>
        <w:ind w:left="1040" w:right="20" w:hanging="330"/>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040" w:right="20" w:hanging="330"/>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040" w:right="20" w:hanging="330"/>
        <w:spacing w:after="0" w:line="308" w:lineRule="auto"/>
        <w:tabs>
          <w:tab w:leader="none" w:pos="10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1040" w:right="20" w:hanging="330"/>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720" w:right="20" w:hanging="361"/>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040" w:right="20" w:hanging="330"/>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040" w:right="20" w:hanging="330"/>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0D0E00"/>
              </w:rPr>
              <w:t>Date: January 28, 2010</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0D0E00"/>
              </w:rPr>
              <w:t>/s/ Kathleen P. Pepski</w:t>
            </w:r>
          </w:p>
        </w:tc>
        <w:tc>
          <w:tcPr>
            <w:tcW w:w="3460" w:type="dxa"/>
            <w:vAlign w:val="bottom"/>
          </w:tcPr>
          <w:p>
            <w:pPr>
              <w:spacing w:after="0"/>
              <w:rPr>
                <w:sz w:val="20"/>
                <w:szCs w:val="20"/>
                <w:color w:val="auto"/>
              </w:rPr>
            </w:pPr>
          </w:p>
        </w:tc>
      </w:tr>
      <w:tr>
        <w:trPr>
          <w:trHeight w:val="195"/>
        </w:trPr>
        <w:tc>
          <w:tcPr>
            <w:tcW w:w="496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Arial" w:cs="Arial" w:eastAsia="Arial" w:hAnsi="Arial"/>
                <w:sz w:val="18"/>
                <w:szCs w:val="18"/>
                <w:color w:val="0D0E00"/>
              </w:rPr>
              <w:t>Kathleen P. Pepski</w:t>
            </w:r>
          </w:p>
        </w:tc>
        <w:tc>
          <w:tcPr>
            <w:tcW w:w="346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0D0E00"/>
                <w:w w:val="97"/>
              </w:rPr>
              <w:t>Vice President, Chief Financial Officer,</w:t>
            </w:r>
          </w:p>
        </w:tc>
        <w:tc>
          <w:tcPr>
            <w:tcW w:w="346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0D0E00"/>
              </w:rPr>
              <w:t>and Treasurer</w:t>
            </w:r>
          </w:p>
        </w:tc>
        <w:tc>
          <w:tcPr>
            <w:tcW w:w="3460" w:type="dxa"/>
            <w:vAlign w:val="bottom"/>
          </w:tcPr>
          <w:p>
            <w:pPr>
              <w:spacing w:after="0"/>
              <w:rPr>
                <w:sz w:val="20"/>
                <w:szCs w:val="20"/>
                <w:color w:val="auto"/>
              </w:rPr>
            </w:pPr>
          </w:p>
        </w:tc>
      </w:tr>
      <w:tr>
        <w:trPr>
          <w:trHeight w:val="361"/>
        </w:trPr>
        <w:tc>
          <w:tcPr>
            <w:tcW w:w="49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32.1</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2009, as filed with the Securities and Exchange Commission on the date hereof (the Report), I, John R. Hawkins, Chief Executive Officer of the Company, certify, pursuant to 18 U.S.C. § 1350, as adopted pursuant to § 906 of the Sarbanes-Oxley Act of 2002, that:</w:t>
      </w:r>
    </w:p>
    <w:p>
      <w:pPr>
        <w:spacing w:after="0" w:line="208"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January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1007745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32.2</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2009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208"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9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January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1007745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2019-12-10T01:01:35Z</dcterms:created>
  <dcterms:modified xsi:type="dcterms:W3CDTF">2019-12-10T01:01:35Z</dcterms:modified>
</cp:coreProperties>
</file>