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No.18)</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1,161,378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1,161,378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1,161,378</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11.01%</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ectPr>
          <w:pgSz w:w="11900" w:h="16855"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the Investment Company Act</w:t>
      </w:r>
    </w:p>
    <w:p>
      <w:pPr>
        <w:spacing w:after="0" w:line="4"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1,161,378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11.01%</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1,161,378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1,161,378</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835,000 shares or 7.92%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2019-12-05T06:56:42Z</dcterms:created>
  <dcterms:modified xsi:type="dcterms:W3CDTF">2019-12-05T06:56:42Z</dcterms:modified>
</cp:coreProperties>
</file>