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Hawkins Patrick 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2381 ROSEGATE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ROSEVILLE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HAWKINS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HWKN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08/13/2024</w:t>
            </w:r>
          </w:p>
        </w:tc>
        <w:tc>
          <w:tcPr>
            <w:tcW w:w="23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8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3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08/13/2024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300</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60"/>
              <w:spacing w:after="0"/>
              <w:rPr>
                <w:sz w:val="20"/>
                <w:szCs w:val="20"/>
                <w:color w:val="auto"/>
              </w:rPr>
            </w:pPr>
            <w:r>
              <w:rPr>
                <w:rFonts w:ascii="Times New Roman" w:cs="Times New Roman" w:eastAsia="Times New Roman" w:hAnsi="Times New Roman"/>
                <w:sz w:val="17"/>
                <w:szCs w:val="17"/>
                <w:color w:val="0000FF"/>
              </w:rPr>
              <w:t>304,159.794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0000FF"/>
              </w:rPr>
              <w:t>26,073.163</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Gift of shares for no consideration.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5.435 shares acquired on June 14, 2024, pursuant to the Issuer's dividend reinvestment plan and 218 shares acquired on June 28, 2024, pursuant to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8867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2024-08-15T15:25:10Z</dcterms:created>
  <dcterms:modified xsi:type="dcterms:W3CDTF">2024-08-15T15:25:10Z</dcterms:modified>
</cp:coreProperties>
</file>