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12b-25</w:t>
      </w:r>
    </w:p>
    <w:p>
      <w:pPr>
        <w:spacing w:after="0" w:line="234"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60" w:type="dxa"/>
            <w:vAlign w:val="bottom"/>
            <w:gridSpan w:val="2"/>
          </w:tcPr>
          <w:p>
            <w:pPr>
              <w:ind w:left="720"/>
              <w:spacing w:after="0"/>
              <w:rPr>
                <w:sz w:val="20"/>
                <w:szCs w:val="20"/>
                <w:color w:val="auto"/>
              </w:rPr>
            </w:pPr>
            <w:r>
              <w:rPr>
                <w:rFonts w:ascii="Arial" w:cs="Arial" w:eastAsia="Arial" w:hAnsi="Arial"/>
                <w:sz w:val="18"/>
                <w:szCs w:val="18"/>
                <w:b w:val="1"/>
                <w:bCs w:val="1"/>
                <w:color w:val="auto"/>
              </w:rPr>
              <w:t>NOTIFICATION OF LATE FILING</w:t>
            </w:r>
          </w:p>
        </w:tc>
        <w:tc>
          <w:tcPr>
            <w:tcW w:w="1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00" w:type="dxa"/>
            <w:vAlign w:val="bottom"/>
            <w:gridSpan w:val="2"/>
          </w:tcPr>
          <w:p>
            <w:pPr>
              <w:ind w:left="620"/>
              <w:spacing w:after="0"/>
              <w:rPr>
                <w:sz w:val="20"/>
                <w:szCs w:val="20"/>
                <w:color w:val="auto"/>
              </w:rPr>
            </w:pPr>
            <w:r>
              <w:rPr>
                <w:rFonts w:ascii="Arial" w:cs="Arial" w:eastAsia="Arial" w:hAnsi="Arial"/>
                <w:sz w:val="18"/>
                <w:szCs w:val="18"/>
                <w:color w:val="auto"/>
                <w:w w:val="92"/>
              </w:rPr>
              <w:t>Commission File Number</w:t>
            </w: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0-7647</w:t>
            </w:r>
          </w:p>
        </w:tc>
      </w:tr>
      <w:tr>
        <w:trPr>
          <w:trHeight w:val="438"/>
        </w:trPr>
        <w:tc>
          <w:tcPr>
            <w:tcW w:w="144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212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w:t>
            </w:r>
          </w:p>
        </w:tc>
        <w:tc>
          <w:tcPr>
            <w:tcW w:w="1820" w:type="dxa"/>
            <w:vAlign w:val="bottom"/>
          </w:tcPr>
          <w:p>
            <w:pPr>
              <w:ind w:left="280"/>
              <w:spacing w:after="0"/>
              <w:rPr>
                <w:sz w:val="20"/>
                <w:szCs w:val="20"/>
                <w:color w:val="auto"/>
              </w:rPr>
            </w:pPr>
            <w:r>
              <w:rPr>
                <w:rFonts w:ascii="Arial" w:cs="Arial" w:eastAsia="Arial" w:hAnsi="Arial"/>
                <w:sz w:val="18"/>
                <w:szCs w:val="18"/>
                <w:color w:val="auto"/>
              </w:rPr>
              <w:t>o Form 20-F</w:t>
            </w:r>
          </w:p>
        </w:tc>
        <w:tc>
          <w:tcPr>
            <w:tcW w:w="2040" w:type="dxa"/>
            <w:vAlign w:val="bottom"/>
          </w:tcPr>
          <w:p>
            <w:pPr>
              <w:ind w:left="420"/>
              <w:spacing w:after="0"/>
              <w:rPr>
                <w:sz w:val="20"/>
                <w:szCs w:val="20"/>
                <w:color w:val="auto"/>
              </w:rPr>
            </w:pPr>
            <w:r>
              <w:rPr>
                <w:rFonts w:ascii="Arial" w:cs="Arial" w:eastAsia="Arial" w:hAnsi="Arial"/>
                <w:sz w:val="18"/>
                <w:szCs w:val="18"/>
                <w:color w:val="auto"/>
              </w:rPr>
              <w:t>o Form 11-K</w:t>
            </w:r>
          </w:p>
        </w:tc>
        <w:tc>
          <w:tcPr>
            <w:tcW w:w="1720" w:type="dxa"/>
            <w:vAlign w:val="bottom"/>
          </w:tcPr>
          <w:p>
            <w:pPr>
              <w:ind w:left="300"/>
              <w:spacing w:after="0"/>
              <w:rPr>
                <w:sz w:val="20"/>
                <w:szCs w:val="20"/>
                <w:color w:val="auto"/>
              </w:rPr>
            </w:pPr>
            <w:r>
              <w:rPr>
                <w:rFonts w:ascii="Arial" w:cs="Arial" w:eastAsia="Arial" w:hAnsi="Arial"/>
                <w:sz w:val="18"/>
                <w:szCs w:val="18"/>
                <w:color w:val="auto"/>
              </w:rPr>
              <w:t>o Form 10-Q</w:t>
            </w:r>
          </w:p>
        </w:tc>
        <w:tc>
          <w:tcPr>
            <w:tcW w:w="2260" w:type="dxa"/>
            <w:vAlign w:val="bottom"/>
            <w:gridSpan w:val="2"/>
          </w:tcPr>
          <w:p>
            <w:pPr>
              <w:jc w:val="right"/>
              <w:ind w:right="750"/>
              <w:spacing w:after="0"/>
              <w:rPr>
                <w:sz w:val="20"/>
                <w:szCs w:val="20"/>
                <w:color w:val="auto"/>
              </w:rPr>
            </w:pPr>
            <w:r>
              <w:rPr>
                <w:rFonts w:ascii="Arial" w:cs="Arial" w:eastAsia="Arial" w:hAnsi="Arial"/>
                <w:sz w:val="18"/>
                <w:szCs w:val="18"/>
                <w:color w:val="auto"/>
              </w:rPr>
              <w:t>o Form 10-D</w:t>
            </w:r>
          </w:p>
        </w:tc>
      </w:tr>
      <w:tr>
        <w:trPr>
          <w:trHeight w:val="230"/>
        </w:trPr>
        <w:tc>
          <w:tcPr>
            <w:tcW w:w="1440" w:type="dxa"/>
            <w:vAlign w:val="bottom"/>
          </w:tcPr>
          <w:p>
            <w:pPr>
              <w:spacing w:after="0"/>
              <w:rPr>
                <w:sz w:val="20"/>
                <w:szCs w:val="20"/>
                <w:color w:val="auto"/>
              </w:rPr>
            </w:pPr>
          </w:p>
        </w:tc>
        <w:tc>
          <w:tcPr>
            <w:tcW w:w="2120" w:type="dxa"/>
            <w:vAlign w:val="bottom"/>
          </w:tcPr>
          <w:p>
            <w:pPr>
              <w:ind w:left="500"/>
              <w:spacing w:after="0"/>
              <w:rPr>
                <w:sz w:val="20"/>
                <w:szCs w:val="20"/>
                <w:color w:val="auto"/>
              </w:rPr>
            </w:pPr>
            <w:r>
              <w:rPr>
                <w:rFonts w:ascii="Arial" w:cs="Arial" w:eastAsia="Arial" w:hAnsi="Arial"/>
                <w:sz w:val="18"/>
                <w:szCs w:val="18"/>
                <w:color w:val="auto"/>
              </w:rPr>
              <w:t>o Form N-SAR</w:t>
            </w:r>
          </w:p>
        </w:tc>
        <w:tc>
          <w:tcPr>
            <w:tcW w:w="1820" w:type="dxa"/>
            <w:vAlign w:val="bottom"/>
          </w:tcPr>
          <w:p>
            <w:pPr>
              <w:ind w:left="280"/>
              <w:spacing w:after="0"/>
              <w:rPr>
                <w:sz w:val="20"/>
                <w:szCs w:val="20"/>
                <w:color w:val="auto"/>
              </w:rPr>
            </w:pPr>
            <w:r>
              <w:rPr>
                <w:rFonts w:ascii="Arial" w:cs="Arial" w:eastAsia="Arial" w:hAnsi="Arial"/>
                <w:sz w:val="18"/>
                <w:szCs w:val="18"/>
                <w:color w:val="auto"/>
              </w:rPr>
              <w:t>o Form N-CSR</w:t>
            </w:r>
          </w:p>
        </w:tc>
        <w:tc>
          <w:tcPr>
            <w:tcW w:w="2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2120" w:type="dxa"/>
            <w:vAlign w:val="bottom"/>
          </w:tcPr>
          <w:p>
            <w:pPr>
              <w:ind w:left="500"/>
              <w:spacing w:after="0"/>
              <w:rPr>
                <w:sz w:val="20"/>
                <w:szCs w:val="20"/>
                <w:color w:val="auto"/>
              </w:rPr>
            </w:pPr>
            <w:r>
              <w:rPr>
                <w:rFonts w:ascii="Arial" w:cs="Arial" w:eastAsia="Arial" w:hAnsi="Arial"/>
                <w:sz w:val="18"/>
                <w:szCs w:val="18"/>
                <w:color w:val="auto"/>
              </w:rPr>
              <w:t>For Period Ended:</w:t>
            </w:r>
          </w:p>
        </w:tc>
        <w:tc>
          <w:tcPr>
            <w:tcW w:w="1820" w:type="dxa"/>
            <w:vAlign w:val="bottom"/>
          </w:tcPr>
          <w:p>
            <w:pPr>
              <w:ind w:left="420"/>
              <w:spacing w:after="0"/>
              <w:rPr>
                <w:sz w:val="20"/>
                <w:szCs w:val="20"/>
                <w:color w:val="auto"/>
              </w:rPr>
            </w:pPr>
            <w:r>
              <w:rPr>
                <w:rFonts w:ascii="Arial" w:cs="Arial" w:eastAsia="Arial" w:hAnsi="Arial"/>
                <w:sz w:val="18"/>
                <w:szCs w:val="18"/>
                <w:color w:val="auto"/>
              </w:rPr>
              <w:t>April 3, 2005</w:t>
            </w:r>
          </w:p>
        </w:tc>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ind w:left="1960"/>
        <w:spacing w:after="0"/>
        <w:rPr>
          <w:sz w:val="20"/>
          <w:szCs w:val="20"/>
          <w:color w:val="auto"/>
        </w:rPr>
      </w:pPr>
      <w:r>
        <w:rPr>
          <w:rFonts w:ascii="Arial" w:cs="Arial" w:eastAsia="Arial" w:hAnsi="Arial"/>
          <w:sz w:val="18"/>
          <w:szCs w:val="18"/>
          <w:color w:val="auto"/>
        </w:rPr>
        <w:t>o Transition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-130810</wp:posOffset>
            </wp:positionV>
            <wp:extent cx="48025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o Transition Report on Form 20-F</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o Transition Report on Form 11-K</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o Transition Report on Form 10-Q</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o Transition Report on Form N-SAR</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3383915</wp:posOffset>
            </wp:positionH>
            <wp:positionV relativeFrom="paragraph">
              <wp:posOffset>5715</wp:posOffset>
            </wp:positionV>
            <wp:extent cx="3867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Read Instructions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347345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20"/>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Minneapolis, Minnesota 55413</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600" w:hanging="58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  The reason described in reasonable detail in Part III of this form could not be eliminated without unreasonable effort or expense</w:t>
      </w:r>
    </w:p>
    <w:p>
      <w:pPr>
        <w:spacing w:after="0" w:line="25" w:lineRule="exact"/>
        <w:rPr>
          <w:rFonts w:ascii="MS PGothic" w:cs="MS PGothic" w:eastAsia="MS PGothic" w:hAnsi="MS PGothic"/>
          <w:sz w:val="18"/>
          <w:szCs w:val="18"/>
          <w:color w:val="auto"/>
        </w:rPr>
      </w:pPr>
    </w:p>
    <w:p>
      <w:pPr>
        <w:ind w:left="920" w:hanging="328"/>
        <w:spacing w:after="0"/>
        <w:tabs>
          <w:tab w:leader="none" w:pos="92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pacing w:after="0" w:line="30" w:lineRule="exact"/>
        <w:rPr>
          <w:rFonts w:ascii="Arial" w:cs="Arial" w:eastAsia="Arial" w:hAnsi="Arial"/>
          <w:sz w:val="16"/>
          <w:szCs w:val="16"/>
          <w:color w:val="auto"/>
        </w:rPr>
      </w:pPr>
    </w:p>
    <w:p>
      <w:pPr>
        <w:ind w:left="920" w:right="140" w:hanging="900"/>
        <w:spacing w:after="0" w:line="201" w:lineRule="auto"/>
        <w:tabs>
          <w:tab w:leader="none" w:pos="92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-685165</wp:posOffset>
            </wp:positionV>
            <wp:extent cx="8890" cy="823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23595"/>
                    </a:xfrm>
                    <a:prstGeom prst="rect">
                      <a:avLst/>
                    </a:prstGeom>
                    <a:noFill/>
                  </pic:spPr>
                </pic:pic>
              </a:graphicData>
            </a:graphic>
          </wp:anchor>
        </w:drawing>
      </w: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  The accountant’s statement or other exhibit required by Rule 12b-25(c) has been attached if applicable.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70" w:lineRule="exact"/>
        <w:rPr>
          <w:sz w:val="24"/>
          <w:szCs w:val="24"/>
          <w:color w:val="auto"/>
        </w:rPr>
      </w:pPr>
    </w:p>
    <w:p>
      <w:pPr>
        <w:ind w:right="240"/>
        <w:spacing w:after="0" w:line="297" w:lineRule="auto"/>
        <w:rPr>
          <w:sz w:val="20"/>
          <w:szCs w:val="20"/>
          <w:color w:val="auto"/>
        </w:rPr>
      </w:pPr>
      <w:r>
        <w:rPr>
          <w:rFonts w:ascii="Arial" w:cs="Arial" w:eastAsia="Arial" w:hAnsi="Arial"/>
          <w:sz w:val="16"/>
          <w:szCs w:val="16"/>
          <w:color w:val="auto"/>
        </w:rPr>
        <w:t>Hawkins, Inc. (the “Company”) is currently in the process of completing its review of certain accounting matters relevant to the completion of its audit and management’s assessment of internal controls over financial reporting as required by Section 404 of the Sarbanes-Oxley Act of 2002 (“Section 404”), and requires additional time to complete such review and assessment. The Company has dedicated significant resources to the completion of its audit and its assessment of the effectiveness of the Company’s internal controls over financial reporting. Although substantial progress has been made, there have been delays in completing the review and assessment, primarily as a result of the complex nature of the new requirements under Section 404.</w:t>
      </w:r>
    </w:p>
    <w:p>
      <w:pPr>
        <w:spacing w:after="0" w:line="158" w:lineRule="exact"/>
        <w:rPr>
          <w:sz w:val="24"/>
          <w:szCs w:val="24"/>
          <w:color w:val="auto"/>
        </w:rPr>
      </w:pPr>
    </w:p>
    <w:p>
      <w:pPr>
        <w:ind w:right="180"/>
        <w:spacing w:after="0" w:line="286" w:lineRule="auto"/>
        <w:rPr>
          <w:sz w:val="20"/>
          <w:szCs w:val="20"/>
          <w:color w:val="auto"/>
        </w:rPr>
      </w:pPr>
      <w:r>
        <w:rPr>
          <w:rFonts w:ascii="Arial" w:cs="Arial" w:eastAsia="Arial" w:hAnsi="Arial"/>
          <w:sz w:val="17"/>
          <w:szCs w:val="17"/>
          <w:color w:val="auto"/>
        </w:rPr>
        <w:t>As a result of these delays and in order to ensure the accuracy and completeness of the Company’s Annual Report on Form 10-K for the year ended April 3, 2005 (the “Form 10-K”), the Company is unable to complete and file its Form 10-K by the prescribed filing deadline without unreasonable effort and expense. The Company currently anticipates filing the Form 10-K on or before the end of the extended deadline.</w:t>
      </w:r>
    </w:p>
    <w:p>
      <w:pPr>
        <w:spacing w:after="0" w:line="162" w:lineRule="exact"/>
        <w:rPr>
          <w:sz w:val="24"/>
          <w:szCs w:val="24"/>
          <w:color w:val="auto"/>
        </w:rPr>
      </w:pPr>
    </w:p>
    <w:p>
      <w:pPr>
        <w:ind w:left="1840" w:right="360" w:hanging="1822"/>
        <w:spacing w:after="0" w:line="282" w:lineRule="auto"/>
        <w:tabs>
          <w:tab w:leader="none" w:pos="1820" w:val="left"/>
        </w:tabs>
        <w:rPr>
          <w:sz w:val="20"/>
          <w:szCs w:val="20"/>
          <w:color w:val="auto"/>
        </w:rPr>
      </w:pPr>
      <w:r>
        <w:rPr>
          <w:rFonts w:ascii="Arial" w:cs="Arial" w:eastAsia="Arial" w:hAnsi="Arial"/>
          <w:sz w:val="18"/>
          <w:szCs w:val="18"/>
          <w:color w:val="auto"/>
        </w:rPr>
        <w:t>SEC 1344 (03-05)</w:t>
      </w:r>
      <w:r>
        <w:rPr>
          <w:sz w:val="20"/>
          <w:szCs w:val="20"/>
          <w:color w:val="auto"/>
        </w:rPr>
        <w:tab/>
      </w: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ectPr>
          <w:pgSz w:w="11900" w:h="16838" w:orient="portrait"/>
          <w:cols w:equalWidth="0" w:num="1">
            <w:col w:w="11420"/>
          </w:cols>
          <w:pgMar w:left="240" w:top="445"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(Attach extra Sheets if Needed)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11" w:lineRule="exact"/>
        <w:rPr>
          <w:sz w:val="20"/>
          <w:szCs w:val="20"/>
          <w:color w:val="auto"/>
        </w:rPr>
      </w:pPr>
    </w:p>
    <w:p>
      <w:pPr>
        <w:ind w:left="440" w:hanging="420"/>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2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Marvin E. Dee</w:t>
            </w:r>
          </w:p>
        </w:tc>
        <w:tc>
          <w:tcPr>
            <w:tcW w:w="1900" w:type="dxa"/>
            <w:vAlign w:val="bottom"/>
          </w:tcPr>
          <w:p>
            <w:pPr>
              <w:jc w:val="right"/>
              <w:ind w:right="65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2720" w:type="dxa"/>
            <w:vAlign w:val="bottom"/>
          </w:tcPr>
          <w:p>
            <w:pPr>
              <w:jc w:val="right"/>
              <w:ind w:right="930"/>
              <w:spacing w:after="0"/>
              <w:rPr>
                <w:sz w:val="20"/>
                <w:szCs w:val="20"/>
                <w:color w:val="auto"/>
              </w:rPr>
            </w:pPr>
            <w:r>
              <w:rPr>
                <w:rFonts w:ascii="Arial" w:cs="Arial" w:eastAsia="Arial" w:hAnsi="Arial"/>
                <w:sz w:val="18"/>
                <w:szCs w:val="18"/>
                <w:color w:val="auto"/>
              </w:rPr>
              <w:t>617-8571</w:t>
            </w:r>
          </w:p>
        </w:tc>
      </w:tr>
      <w:tr>
        <w:trPr>
          <w:trHeight w:val="224"/>
        </w:trPr>
        <w:tc>
          <w:tcPr>
            <w:tcW w:w="6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18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(Area Code)</w:t>
            </w:r>
          </w:p>
        </w:tc>
        <w:tc>
          <w:tcPr>
            <w:tcW w:w="180" w:type="dxa"/>
            <w:vAlign w:val="bottom"/>
          </w:tcPr>
          <w:p>
            <w:pPr>
              <w:spacing w:after="0"/>
              <w:rPr>
                <w:sz w:val="19"/>
                <w:szCs w:val="19"/>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ind w:left="440" w:right="80" w:hanging="420"/>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 If answer is no, identify report(s).</w:t>
      </w:r>
    </w:p>
    <w:p>
      <w:pPr>
        <w:spacing w:after="0" w:line="181" w:lineRule="exact"/>
        <w:rPr>
          <w:rFonts w:ascii="Arial" w:cs="Arial" w:eastAsia="Arial" w:hAnsi="Arial"/>
          <w:sz w:val="18"/>
          <w:szCs w:val="18"/>
          <w:color w:val="auto"/>
        </w:rPr>
      </w:pPr>
    </w:p>
    <w:p>
      <w:pPr>
        <w:ind w:left="9760" w:hanging="196"/>
        <w:spacing w:after="0"/>
        <w:tabs>
          <w:tab w:leader="none" w:pos="976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Yes  o No</w:t>
      </w:r>
    </w:p>
    <w:p>
      <w:pPr>
        <w:spacing w:after="0" w:line="238" w:lineRule="exact"/>
        <w:rPr>
          <w:rFonts w:ascii="MS PGothic" w:cs="MS PGothic" w:eastAsia="MS PGothic" w:hAnsi="MS PGothic"/>
          <w:sz w:val="18"/>
          <w:szCs w:val="18"/>
          <w:color w:val="auto"/>
        </w:rPr>
      </w:pPr>
    </w:p>
    <w:p>
      <w:pPr>
        <w:ind w:left="440" w:right="660" w:hanging="420"/>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-302260</wp:posOffset>
            </wp:positionV>
            <wp:extent cx="6980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pacing w:after="0" w:line="118" w:lineRule="exact"/>
        <w:rPr>
          <w:sz w:val="20"/>
          <w:szCs w:val="20"/>
          <w:color w:val="auto"/>
        </w:rPr>
      </w:pPr>
    </w:p>
    <w:p>
      <w:pPr>
        <w:ind w:left="9560"/>
        <w:spacing w:after="0" w:line="207" w:lineRule="exact"/>
        <w:tabs>
          <w:tab w:leader="none" w:pos="10120" w:val="left"/>
        </w:tabs>
        <w:rPr>
          <w:sz w:val="20"/>
          <w:szCs w:val="20"/>
          <w:color w:val="auto"/>
        </w:rPr>
      </w:pPr>
      <w:r>
        <w:rPr>
          <w:rFonts w:ascii="Arial" w:cs="Arial" w:eastAsia="Arial" w:hAnsi="Arial"/>
          <w:sz w:val="18"/>
          <w:szCs w:val="18"/>
          <w:color w:val="auto"/>
        </w:rPr>
        <w:t>o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58" w:lineRule="exact"/>
        <w:rPr>
          <w:sz w:val="20"/>
          <w:szCs w:val="20"/>
          <w:color w:val="auto"/>
        </w:rPr>
      </w:pPr>
    </w:p>
    <w:p>
      <w:pPr>
        <w:ind w:left="440" w:right="6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ind w:left="100"/>
              <w:spacing w:after="0"/>
              <w:rPr>
                <w:sz w:val="20"/>
                <w:szCs w:val="20"/>
                <w:color w:val="auto"/>
              </w:rPr>
            </w:pPr>
            <w:r>
              <w:rPr>
                <w:rFonts w:ascii="Arial" w:cs="Arial" w:eastAsia="Arial" w:hAnsi="Arial"/>
                <w:sz w:val="18"/>
                <w:szCs w:val="18"/>
                <w:color w:val="auto"/>
              </w:rPr>
              <w:t>June 17, 2005</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By  /s/ Marvin E. Dee</w:t>
            </w:r>
          </w:p>
        </w:tc>
      </w:tr>
      <w:tr>
        <w:trPr>
          <w:trHeight w:val="195"/>
        </w:trPr>
        <w:tc>
          <w:tcPr>
            <w:tcW w:w="560" w:type="dxa"/>
            <w:vAlign w:val="bottom"/>
          </w:tcPr>
          <w:p>
            <w:pPr>
              <w:spacing w:after="0"/>
              <w:rPr>
                <w:sz w:val="16"/>
                <w:szCs w:val="16"/>
                <w:color w:val="auto"/>
              </w:rPr>
            </w:pPr>
          </w:p>
        </w:tc>
        <w:tc>
          <w:tcPr>
            <w:tcW w:w="4920" w:type="dxa"/>
            <w:vAlign w:val="bottom"/>
            <w:tcBorders>
              <w:top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Marvin E. Dee</w:t>
            </w:r>
          </w:p>
        </w:tc>
      </w:tr>
      <w:tr>
        <w:trPr>
          <w:trHeight w:val="230"/>
        </w:trPr>
        <w:tc>
          <w:tcPr>
            <w:tcW w:w="5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lowerLetter"/>
      <w:start w:val="2"/>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2019-12-13T01:51:07Z</dcterms:created>
  <dcterms:modified xsi:type="dcterms:W3CDTF">2019-12-13T01:51:07Z</dcterms:modified>
</cp:coreProperties>
</file>