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VP, Industrial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04/29/2014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1,401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37.26</w:t>
            </w:r>
          </w:p>
        </w:tc>
        <w:tc>
          <w:tcPr>
            <w:tcW w:w="126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96"/>
              </w:rPr>
              <w:t>10,680.196</w:t>
            </w:r>
            <w:r>
              <w:rPr>
                <w:rFonts w:ascii="Arial" w:cs="Arial" w:eastAsia="Arial" w:hAnsi="Arial"/>
                <w:sz w:val="22"/>
                <w:szCs w:val="22"/>
                <w:color w:val="008000"/>
                <w:w w:val="96"/>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8"/>
                <w:szCs w:val="18"/>
                <w:color w:val="0000FF"/>
              </w:rPr>
              <w:t>26,899.4122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33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6.967 shares acquired in October 2013 and 11.075 shares acquired in April 2014, each pursuant to the issuer's dividend reinvestment plan, and 358 shares acquired in June of 2013 and 412 shares acquired in December 2013, each pursuant to the issuer's employee stock purchase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05/06/2014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2019-12-17T10:27:45Z</dcterms:created>
  <dcterms:modified xsi:type="dcterms:W3CDTF">2019-12-17T10:27:45Z</dcterms:modified>
</cp:coreProperties>
</file>