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140335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168275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September 30, 2007</w:t>
      </w:r>
    </w:p>
    <w:p>
      <w:pPr>
        <w:spacing w:after="0" w:line="206" w:lineRule="exact"/>
        <w:rPr>
          <w:sz w:val="24"/>
          <w:szCs w:val="24"/>
          <w:color w:val="auto"/>
        </w:rPr>
      </w:pPr>
    </w:p>
    <w:tbl>
      <w:tblPr>
        <w:tblLayout w:type="fixed"/>
        <w:tblInd w:w="1540" w:type="dxa"/>
        <w:tblCellMar>
          <w:top w:w="0" w:type="dxa"/>
          <w:left w:w="0" w:type="dxa"/>
          <w:bottom w:w="0" w:type="dxa"/>
          <w:right w:w="0" w:type="dxa"/>
        </w:tblCellMar>
      </w:tblPr>
      <w:tr>
        <w:trPr>
          <w:trHeight w:val="281"/>
        </w:trPr>
        <w:tc>
          <w:tcPr>
            <w:tcW w:w="2240" w:type="dxa"/>
            <w:vAlign w:val="bottom"/>
          </w:tcPr>
          <w:p>
            <w:pPr>
              <w:spacing w:after="0"/>
              <w:rPr>
                <w:sz w:val="24"/>
                <w:szCs w:val="24"/>
                <w:color w:val="auto"/>
              </w:rPr>
            </w:pPr>
          </w:p>
        </w:tc>
        <w:tc>
          <w:tcPr>
            <w:tcW w:w="5800" w:type="dxa"/>
            <w:vAlign w:val="bottom"/>
            <w:gridSpan w:val="3"/>
          </w:tcPr>
          <w:p>
            <w:pPr>
              <w:jc w:val="center"/>
              <w:ind w:right="1852"/>
              <w:spacing w:after="0"/>
              <w:rPr>
                <w:sz w:val="20"/>
                <w:szCs w:val="20"/>
                <w:color w:val="auto"/>
              </w:rPr>
            </w:pPr>
            <w:r>
              <w:rPr>
                <w:rFonts w:ascii="Arial" w:cs="Arial" w:eastAsia="Arial" w:hAnsi="Arial"/>
                <w:sz w:val="22"/>
                <w:szCs w:val="22"/>
                <w:b w:val="1"/>
                <w:bCs w:val="1"/>
                <w:color w:val="auto"/>
                <w:w w:val="88"/>
              </w:rPr>
              <w:t>Commission file number 0-7647</w:t>
            </w:r>
          </w:p>
        </w:tc>
      </w:tr>
      <w:tr>
        <w:trPr>
          <w:trHeight w:val="206"/>
        </w:trPr>
        <w:tc>
          <w:tcPr>
            <w:tcW w:w="2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2720" w:type="dxa"/>
            <w:vAlign w:val="bottom"/>
          </w:tcPr>
          <w:p>
            <w:pPr>
              <w:spacing w:after="0"/>
              <w:rPr>
                <w:sz w:val="17"/>
                <w:szCs w:val="17"/>
                <w:color w:val="auto"/>
              </w:rPr>
            </w:pPr>
          </w:p>
        </w:tc>
      </w:tr>
      <w:tr>
        <w:trPr>
          <w:trHeight w:val="849"/>
        </w:trPr>
        <w:tc>
          <w:tcPr>
            <w:tcW w:w="2240" w:type="dxa"/>
            <w:vAlign w:val="bottom"/>
          </w:tcPr>
          <w:p>
            <w:pPr>
              <w:spacing w:after="0"/>
              <w:rPr>
                <w:sz w:val="24"/>
                <w:szCs w:val="24"/>
                <w:color w:val="auto"/>
              </w:rPr>
            </w:pPr>
          </w:p>
        </w:tc>
        <w:tc>
          <w:tcPr>
            <w:tcW w:w="5800" w:type="dxa"/>
            <w:vAlign w:val="bottom"/>
            <w:gridSpan w:val="3"/>
          </w:tcPr>
          <w:p>
            <w:pPr>
              <w:jc w:val="center"/>
              <w:ind w:right="1832"/>
              <w:spacing w:after="0"/>
              <w:rPr>
                <w:sz w:val="20"/>
                <w:szCs w:val="20"/>
                <w:color w:val="auto"/>
              </w:rPr>
            </w:pPr>
            <w:r>
              <w:rPr>
                <w:rFonts w:ascii="Arial" w:cs="Arial" w:eastAsia="Arial" w:hAnsi="Arial"/>
                <w:sz w:val="43"/>
                <w:szCs w:val="43"/>
                <w:b w:val="1"/>
                <w:bCs w:val="1"/>
                <w:color w:val="auto"/>
              </w:rPr>
              <w:t>HAWKINS, INC.</w:t>
            </w:r>
          </w:p>
        </w:tc>
      </w:tr>
      <w:tr>
        <w:trPr>
          <w:trHeight w:val="222"/>
        </w:trPr>
        <w:tc>
          <w:tcPr>
            <w:tcW w:w="2240" w:type="dxa"/>
            <w:vAlign w:val="bottom"/>
          </w:tcPr>
          <w:p>
            <w:pPr>
              <w:spacing w:after="0"/>
              <w:rPr>
                <w:sz w:val="19"/>
                <w:szCs w:val="19"/>
                <w:color w:val="auto"/>
              </w:rPr>
            </w:pPr>
          </w:p>
        </w:tc>
        <w:tc>
          <w:tcPr>
            <w:tcW w:w="5800" w:type="dxa"/>
            <w:vAlign w:val="bottom"/>
            <w:gridSpan w:val="3"/>
          </w:tcPr>
          <w:p>
            <w:pPr>
              <w:jc w:val="center"/>
              <w:ind w:right="185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93"/>
        </w:trPr>
        <w:tc>
          <w:tcPr>
            <w:tcW w:w="2240" w:type="dxa"/>
            <w:vAlign w:val="bottom"/>
          </w:tcPr>
          <w:p>
            <w:pPr>
              <w:jc w:val="center"/>
              <w:ind w:right="25"/>
              <w:spacing w:after="0"/>
              <w:rPr>
                <w:sz w:val="20"/>
                <w:szCs w:val="20"/>
                <w:color w:val="auto"/>
              </w:rPr>
            </w:pPr>
            <w:r>
              <w:rPr>
                <w:rFonts w:ascii="Arial" w:cs="Arial" w:eastAsia="Arial" w:hAnsi="Arial"/>
                <w:sz w:val="22"/>
                <w:szCs w:val="22"/>
                <w:b w:val="1"/>
                <w:bCs w:val="1"/>
                <w:color w:val="auto"/>
                <w:w w:val="99"/>
              </w:rPr>
              <w:t>MINNESOTA</w:t>
            </w:r>
          </w:p>
        </w:tc>
        <w:tc>
          <w:tcPr>
            <w:tcW w:w="5800" w:type="dxa"/>
            <w:vAlign w:val="bottom"/>
            <w:gridSpan w:val="3"/>
          </w:tcPr>
          <w:p>
            <w:pPr>
              <w:jc w:val="right"/>
              <w:ind w:right="672"/>
              <w:spacing w:after="0"/>
              <w:rPr>
                <w:sz w:val="20"/>
                <w:szCs w:val="20"/>
                <w:color w:val="auto"/>
              </w:rPr>
            </w:pPr>
            <w:r>
              <w:rPr>
                <w:rFonts w:ascii="Arial" w:cs="Arial" w:eastAsia="Arial" w:hAnsi="Arial"/>
                <w:sz w:val="22"/>
                <w:szCs w:val="22"/>
                <w:b w:val="1"/>
                <w:bCs w:val="1"/>
                <w:color w:val="auto"/>
              </w:rPr>
              <w:t>41-0771293</w:t>
            </w:r>
          </w:p>
        </w:tc>
      </w:tr>
      <w:tr>
        <w:trPr>
          <w:trHeight w:val="216"/>
        </w:trPr>
        <w:tc>
          <w:tcPr>
            <w:tcW w:w="2240" w:type="dxa"/>
            <w:vAlign w:val="bottom"/>
          </w:tcPr>
          <w:p>
            <w:pPr>
              <w:jc w:val="center"/>
              <w:ind w:right="25"/>
              <w:spacing w:after="0"/>
              <w:rPr>
                <w:sz w:val="20"/>
                <w:szCs w:val="20"/>
                <w:color w:val="auto"/>
              </w:rPr>
            </w:pPr>
            <w:r>
              <w:rPr>
                <w:rFonts w:ascii="Arial" w:cs="Arial" w:eastAsia="Arial" w:hAnsi="Arial"/>
                <w:sz w:val="18"/>
                <w:szCs w:val="18"/>
                <w:color w:val="auto"/>
                <w:w w:val="90"/>
              </w:rPr>
              <w:t>(State or other jurisdiction of</w:t>
            </w:r>
          </w:p>
        </w:tc>
        <w:tc>
          <w:tcPr>
            <w:tcW w:w="7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720" w:type="dxa"/>
            <w:vAlign w:val="bottom"/>
          </w:tcPr>
          <w:p>
            <w:pPr>
              <w:jc w:val="center"/>
              <w:ind w:left="9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2240" w:type="dxa"/>
            <w:vAlign w:val="bottom"/>
          </w:tcPr>
          <w:p>
            <w:pPr>
              <w:jc w:val="center"/>
              <w:ind w:right="25"/>
              <w:spacing w:after="0"/>
              <w:rPr>
                <w:sz w:val="20"/>
                <w:szCs w:val="20"/>
                <w:color w:val="auto"/>
              </w:rPr>
            </w:pPr>
            <w:r>
              <w:rPr>
                <w:rFonts w:ascii="Arial" w:cs="Arial" w:eastAsia="Arial" w:hAnsi="Arial"/>
                <w:sz w:val="18"/>
                <w:szCs w:val="18"/>
                <w:color w:val="auto"/>
                <w:w w:val="90"/>
              </w:rPr>
              <w:t>incorporation or organization)</w:t>
            </w:r>
          </w:p>
        </w:tc>
        <w:tc>
          <w:tcPr>
            <w:tcW w:w="7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3100 EAST HENNEPIN AVENUE, MINNEAPOLIS, MINNESOTA 55413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(612) 331-6910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225425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right="260"/>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6"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22"/>
          <w:szCs w:val="22"/>
          <w:color w:val="auto"/>
        </w:rPr>
        <w:t>YES  x</w:t>
        <w:tab/>
        <w:t>NO  o</w:t>
      </w:r>
    </w:p>
    <w:p>
      <w:pPr>
        <w:spacing w:after="0" w:line="206"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(as defined in Rule 12b-2 of the Exchange Act).</w:t>
      </w:r>
    </w:p>
    <w:p>
      <w:pPr>
        <w:spacing w:after="0" w:line="173" w:lineRule="exact"/>
        <w:rPr>
          <w:sz w:val="24"/>
          <w:szCs w:val="24"/>
          <w:color w:val="auto"/>
        </w:rPr>
      </w:pPr>
    </w:p>
    <w:p>
      <w:pPr>
        <w:ind w:left="2620"/>
        <w:spacing w:after="0"/>
        <w:rPr>
          <w:sz w:val="20"/>
          <w:szCs w:val="20"/>
          <w:color w:val="auto"/>
        </w:rPr>
      </w:pPr>
      <w:r>
        <w:rPr>
          <w:rFonts w:ascii="Arial" w:cs="Arial" w:eastAsia="Arial" w:hAnsi="Arial"/>
          <w:sz w:val="22"/>
          <w:szCs w:val="22"/>
          <w:color w:val="auto"/>
        </w:rPr>
        <w:t>Large Accelerated Filer o Accelerated Filer x Non-Accelerated Filer o</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 shell company (as defined in Rule 12b-2 of the Exchange Act).</w:t>
      </w:r>
    </w:p>
    <w:p>
      <w:pPr>
        <w:spacing w:after="0" w:line="206" w:lineRule="exact"/>
        <w:rPr>
          <w:sz w:val="24"/>
          <w:szCs w:val="24"/>
          <w:color w:val="auto"/>
        </w:rPr>
      </w:pPr>
    </w:p>
    <w:p>
      <w:pPr>
        <w:ind w:left="4980"/>
        <w:spacing w:after="0"/>
        <w:tabs>
          <w:tab w:leader="none" w:pos="5860" w:val="left"/>
        </w:tabs>
        <w:rPr>
          <w:sz w:val="20"/>
          <w:szCs w:val="20"/>
          <w:color w:val="auto"/>
        </w:rPr>
      </w:pPr>
      <w:r>
        <w:rPr>
          <w:rFonts w:ascii="Arial" w:cs="Arial" w:eastAsia="Arial" w:hAnsi="Arial"/>
          <w:sz w:val="22"/>
          <w:szCs w:val="22"/>
          <w:color w:val="auto"/>
        </w:rPr>
        <w:t>YES  o</w:t>
        <w:tab/>
        <w:t>NO  x</w:t>
      </w:r>
    </w:p>
    <w:p>
      <w:pPr>
        <w:spacing w:after="0" w:line="206"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680" w:type="dxa"/>
            <w:vAlign w:val="bottom"/>
          </w:tcPr>
          <w:p>
            <w:pPr>
              <w:jc w:val="center"/>
              <w:ind w:right="162"/>
              <w:spacing w:after="0"/>
              <w:rPr>
                <w:sz w:val="20"/>
                <w:szCs w:val="20"/>
                <w:color w:val="auto"/>
              </w:rPr>
            </w:pPr>
            <w:r>
              <w:rPr>
                <w:rFonts w:ascii="Arial" w:cs="Arial" w:eastAsia="Arial" w:hAnsi="Arial"/>
                <w:sz w:val="18"/>
                <w:szCs w:val="18"/>
                <w:color w:val="auto"/>
                <w:w w:val="91"/>
              </w:rPr>
              <w:t>CLASS</w:t>
            </w:r>
          </w:p>
        </w:tc>
        <w:tc>
          <w:tcPr>
            <w:tcW w:w="5740" w:type="dxa"/>
            <w:vAlign w:val="bottom"/>
          </w:tcPr>
          <w:p>
            <w:pPr>
              <w:jc w:val="center"/>
              <w:ind w:right="142"/>
              <w:spacing w:after="0"/>
              <w:rPr>
                <w:sz w:val="20"/>
                <w:szCs w:val="20"/>
                <w:color w:val="auto"/>
              </w:rPr>
            </w:pPr>
            <w:r>
              <w:rPr>
                <w:rFonts w:ascii="Arial" w:cs="Arial" w:eastAsia="Arial" w:hAnsi="Arial"/>
                <w:sz w:val="18"/>
                <w:szCs w:val="18"/>
                <w:color w:val="auto"/>
                <w:w w:val="93"/>
              </w:rPr>
              <w:t>OUTSTANDING AT NOVEMBER 9, 2007</w:t>
            </w:r>
          </w:p>
        </w:tc>
      </w:tr>
      <w:tr>
        <w:trPr>
          <w:trHeight w:val="245"/>
        </w:trPr>
        <w:tc>
          <w:tcPr>
            <w:tcW w:w="5680" w:type="dxa"/>
            <w:vAlign w:val="bottom"/>
            <w:tcBorders>
              <w:bottom w:val="single" w:sz="8" w:color="auto"/>
            </w:tcBorders>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r>
      <w:tr>
        <w:trPr>
          <w:trHeight w:val="268"/>
        </w:trPr>
        <w:tc>
          <w:tcPr>
            <w:tcW w:w="5680" w:type="dxa"/>
            <w:vAlign w:val="bottom"/>
          </w:tcPr>
          <w:p>
            <w:pPr>
              <w:jc w:val="center"/>
              <w:ind w:right="142"/>
              <w:spacing w:after="0"/>
              <w:rPr>
                <w:sz w:val="20"/>
                <w:szCs w:val="20"/>
                <w:color w:val="auto"/>
              </w:rPr>
            </w:pPr>
            <w:r>
              <w:rPr>
                <w:rFonts w:ascii="Arial" w:cs="Arial" w:eastAsia="Arial" w:hAnsi="Arial"/>
                <w:sz w:val="22"/>
                <w:szCs w:val="22"/>
                <w:color w:val="auto"/>
                <w:w w:val="87"/>
              </w:rPr>
              <w:t>Common Stock, par value $.05 per share</w:t>
            </w:r>
          </w:p>
        </w:tc>
        <w:tc>
          <w:tcPr>
            <w:tcW w:w="5740" w:type="dxa"/>
            <w:vAlign w:val="bottom"/>
          </w:tcPr>
          <w:p>
            <w:pPr>
              <w:jc w:val="right"/>
              <w:ind w:right="2422"/>
              <w:spacing w:after="0"/>
              <w:rPr>
                <w:sz w:val="20"/>
                <w:szCs w:val="20"/>
                <w:color w:val="auto"/>
              </w:rPr>
            </w:pPr>
            <w:r>
              <w:rPr>
                <w:rFonts w:ascii="Arial" w:cs="Arial" w:eastAsia="Arial" w:hAnsi="Arial"/>
                <w:sz w:val="22"/>
                <w:szCs w:val="22"/>
                <w:color w:val="auto"/>
              </w:rPr>
              <w:t>10,264,084</w:t>
            </w:r>
          </w:p>
        </w:tc>
      </w:tr>
      <w:tr>
        <w:trPr>
          <w:trHeight w:val="246"/>
        </w:trPr>
        <w:tc>
          <w:tcPr>
            <w:tcW w:w="5680" w:type="dxa"/>
            <w:vAlign w:val="bottom"/>
            <w:tcBorders>
              <w:bottom w:val="single" w:sz="8" w:color="auto"/>
            </w:tcBorders>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r>
      <w:tr>
        <w:trPr>
          <w:trHeight w:val="618"/>
        </w:trPr>
        <w:tc>
          <w:tcPr>
            <w:tcW w:w="568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HAWKINS,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INDEX TO FORM 10-Q</w:t>
      </w:r>
    </w:p>
    <w:p>
      <w:pPr>
        <w:spacing w:after="0" w:line="210" w:lineRule="exact"/>
        <w:rPr>
          <w:sz w:val="24"/>
          <w:szCs w:val="24"/>
          <w:color w:val="auto"/>
        </w:rPr>
      </w:pPr>
    </w:p>
    <w:p>
      <w:pPr>
        <w:ind w:left="10940"/>
        <w:spacing w:after="0"/>
        <w:rPr>
          <w:sz w:val="20"/>
          <w:szCs w:val="20"/>
          <w:color w:val="auto"/>
        </w:rPr>
      </w:pPr>
      <w:r>
        <w:rPr>
          <w:rFonts w:ascii="Arial" w:cs="Arial" w:eastAsia="Arial" w:hAnsi="Arial"/>
          <w:sz w:val="14"/>
          <w:szCs w:val="14"/>
          <w:b w:val="1"/>
          <w:bCs w:val="1"/>
          <w:color w:val="auto"/>
        </w:rPr>
        <w:t>Page</w:t>
      </w:r>
    </w:p>
    <w:p>
      <w:pPr>
        <w:spacing w:after="0" w:line="135" w:lineRule="exact"/>
        <w:rPr>
          <w:sz w:val="24"/>
          <w:szCs w:val="24"/>
          <w:color w:val="auto"/>
        </w:rPr>
      </w:pPr>
    </w:p>
    <w:p>
      <w:pPr>
        <w:spacing w:after="0"/>
        <w:tabs>
          <w:tab w:leader="none" w:pos="1260" w:val="left"/>
        </w:tabs>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2">
        <w:r>
          <w:rPr>
            <w:rFonts w:ascii="Arial" w:cs="Arial" w:eastAsia="Arial" w:hAnsi="Arial"/>
            <w:sz w:val="18"/>
            <w:szCs w:val="18"/>
            <w:b w:val="1"/>
            <w:bCs w:val="1"/>
            <w:u w:val="single" w:color="auto"/>
            <w:color w:val="0000EE"/>
          </w:rPr>
          <w:t>FINANCIAL INFORMATION</w:t>
        </w:r>
      </w:hyperlink>
    </w:p>
    <w:p>
      <w:pPr>
        <w:spacing w:after="0" w:line="164"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5"/>
            <w:szCs w:val="15"/>
            <w:u w:val="single" w:color="auto"/>
            <w:color w:val="0000EE"/>
          </w:rPr>
          <w:t>Financial Statements:</w:t>
        </w:r>
      </w:hyperlink>
    </w:p>
    <w:p>
      <w:pPr>
        <w:spacing w:after="0" w:line="135"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4760" w:type="dxa"/>
            <w:vAlign w:val="bottom"/>
            <w:tcBorders>
              <w:bottom w:val="single" w:sz="8" w:color="0000EE"/>
            </w:tcBorders>
          </w:tcPr>
          <w:p>
            <w:pPr>
              <w:spacing w:after="0"/>
              <w:rPr>
                <w:rFonts w:ascii="Arial" w:cs="Arial" w:eastAsia="Arial" w:hAnsi="Arial"/>
                <w:sz w:val="18"/>
                <w:szCs w:val="18"/>
                <w:color w:val="0000EE"/>
                <w:w w:val="86"/>
              </w:rPr>
            </w:pPr>
            <w:hyperlink w:anchor="page2">
              <w:r>
                <w:rPr>
                  <w:rFonts w:ascii="Arial" w:cs="Arial" w:eastAsia="Arial" w:hAnsi="Arial"/>
                  <w:sz w:val="18"/>
                  <w:szCs w:val="18"/>
                  <w:color w:val="0000EE"/>
                  <w:w w:val="86"/>
                </w:rPr>
                <w:t>Condensed Balance Sheets – September 30, 2007 and April 1, 2007</w:t>
              </w:r>
            </w:hyperlink>
          </w:p>
        </w:tc>
        <w:tc>
          <w:tcPr>
            <w:tcW w:w="502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70" w:orient="portrait"/>
          <w:cols w:equalWidth="0" w:num="1">
            <w:col w:w="11420"/>
          </w:cols>
          <w:pgMar w:left="240" w:top="239" w:right="23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16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Statements of Income - Three and Six Months Ended September 30, 2007 and 2006</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00" w:type="dxa"/>
            <w:vAlign w:val="bottom"/>
            <w:tcBorders>
              <w:top w:val="single" w:sz="8" w:color="0000EE"/>
            </w:tcBorders>
            <w:gridSpan w:val="10"/>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Statements of Cash Flows - Six Months Ended September 30, 2007 and 2006</w:t>
              </w:r>
            </w:hyperlink>
          </w:p>
        </w:tc>
        <w:tc>
          <w:tcPr>
            <w:tcW w:w="1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Notes to Condensed Financial Statements – Unaudited</w:t>
              </w:r>
            </w:hyperlink>
          </w:p>
        </w:tc>
        <w:tc>
          <w:tcPr>
            <w:tcW w:w="2400" w:type="dxa"/>
            <w:vAlign w:val="bottom"/>
            <w:tcBorders>
              <w:top w:val="single" w:sz="8" w:color="0000EE"/>
            </w:tcBorders>
            <w:gridSpan w:val="2"/>
          </w:tcPr>
          <w:p>
            <w:pPr>
              <w:spacing w:after="0"/>
              <w:rPr>
                <w:sz w:val="24"/>
                <w:szCs w:val="24"/>
                <w:color w:val="auto"/>
              </w:rPr>
            </w:pPr>
          </w:p>
        </w:tc>
        <w:tc>
          <w:tcPr>
            <w:tcW w:w="1920" w:type="dxa"/>
            <w:vAlign w:val="bottom"/>
            <w:gridSpan w:val="3"/>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45"/>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Item 2.</w:t>
              </w:r>
            </w:hyperlink>
          </w:p>
        </w:tc>
        <w:tc>
          <w:tcPr>
            <w:tcW w:w="760" w:type="dxa"/>
            <w:vAlign w:val="bottom"/>
            <w:gridSpan w:val="5"/>
          </w:tcPr>
          <w:p>
            <w:pPr>
              <w:spacing w:after="0"/>
              <w:rPr>
                <w:sz w:val="24"/>
                <w:szCs w:val="24"/>
                <w:color w:val="auto"/>
              </w:rPr>
            </w:pPr>
          </w:p>
        </w:tc>
        <w:tc>
          <w:tcPr>
            <w:tcW w:w="63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Management’s Discussion and Analysis of Financial Condition and Results of Operations</w:t>
              </w:r>
            </w:hyperlink>
          </w:p>
        </w:tc>
        <w:tc>
          <w:tcPr>
            <w:tcW w:w="1860" w:type="dxa"/>
            <w:vAlign w:val="bottom"/>
            <w:gridSpan w:val="2"/>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45"/>
        </w:trPr>
        <w:tc>
          <w:tcPr>
            <w:tcW w:w="520" w:type="dxa"/>
            <w:vAlign w:val="bottom"/>
            <w:gridSpan w:val="2"/>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Item 3.</w:t>
              </w:r>
            </w:hyperlink>
          </w:p>
        </w:tc>
        <w:tc>
          <w:tcPr>
            <w:tcW w:w="760" w:type="dxa"/>
            <w:vAlign w:val="bottom"/>
            <w:gridSpan w:val="5"/>
          </w:tcPr>
          <w:p>
            <w:pPr>
              <w:spacing w:after="0"/>
              <w:rPr>
                <w:sz w:val="24"/>
                <w:szCs w:val="24"/>
                <w:color w:val="auto"/>
              </w:rPr>
            </w:pPr>
          </w:p>
        </w:tc>
        <w:tc>
          <w:tcPr>
            <w:tcW w:w="8160" w:type="dxa"/>
            <w:vAlign w:val="bottom"/>
            <w:gridSpan w:val="1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Quantitative and Qualitative Disclosures about Market Risk</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45"/>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Item 4.</w:t>
              </w:r>
            </w:hyperlink>
          </w:p>
        </w:tc>
        <w:tc>
          <w:tcPr>
            <w:tcW w:w="760" w:type="dxa"/>
            <w:vAlign w:val="bottom"/>
            <w:gridSpan w:val="5"/>
          </w:tcPr>
          <w:p>
            <w:pPr>
              <w:spacing w:after="0"/>
              <w:rPr>
                <w:sz w:val="24"/>
                <w:szCs w:val="24"/>
                <w:color w:val="auto"/>
              </w:rPr>
            </w:pPr>
          </w:p>
        </w:tc>
        <w:tc>
          <w:tcPr>
            <w:tcW w:w="4200" w:type="dxa"/>
            <w:vAlign w:val="bottom"/>
            <w:tcBorders>
              <w:top w:val="single" w:sz="8" w:color="0000EE"/>
            </w:tcBorders>
            <w:gridSpan w:val="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Controls and Procedures</w:t>
              </w:r>
            </w:hyperlink>
          </w:p>
        </w:tc>
        <w:tc>
          <w:tcPr>
            <w:tcW w:w="3960" w:type="dxa"/>
            <w:vAlign w:val="bottom"/>
            <w:gridSpan w:val="4"/>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45"/>
        </w:trPr>
        <w:tc>
          <w:tcPr>
            <w:tcW w:w="700" w:type="dxa"/>
            <w:vAlign w:val="bottom"/>
            <w:gridSpan w:val="4"/>
          </w:tcPr>
          <w:p>
            <w:pPr>
              <w:spacing w:after="0"/>
              <w:rPr>
                <w:rFonts w:ascii="Arial" w:cs="Arial" w:eastAsia="Arial" w:hAnsi="Arial"/>
                <w:sz w:val="18"/>
                <w:szCs w:val="18"/>
                <w:b w:val="1"/>
                <w:bCs w:val="1"/>
                <w:color w:val="0000EE"/>
                <w:w w:val="98"/>
              </w:rPr>
            </w:pPr>
            <w:hyperlink w:anchor="page10">
              <w:r>
                <w:rPr>
                  <w:rFonts w:ascii="Arial" w:cs="Arial" w:eastAsia="Arial" w:hAnsi="Arial"/>
                  <w:sz w:val="18"/>
                  <w:szCs w:val="18"/>
                  <w:b w:val="1"/>
                  <w:bCs w:val="1"/>
                  <w:color w:val="0000EE"/>
                  <w:w w:val="98"/>
                </w:rPr>
                <w:t>PART II.</w:t>
              </w:r>
            </w:hyperlink>
          </w:p>
        </w:tc>
        <w:tc>
          <w:tcPr>
            <w:tcW w:w="580" w:type="dxa"/>
            <w:vAlign w:val="bottom"/>
            <w:gridSpan w:val="3"/>
          </w:tcPr>
          <w:p>
            <w:pPr>
              <w:spacing w:after="0"/>
              <w:rPr>
                <w:sz w:val="24"/>
                <w:szCs w:val="24"/>
                <w:color w:val="auto"/>
              </w:rPr>
            </w:pPr>
          </w:p>
        </w:tc>
        <w:tc>
          <w:tcPr>
            <w:tcW w:w="8160" w:type="dxa"/>
            <w:vAlign w:val="bottom"/>
            <w:gridSpan w:val="11"/>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OTHER INFORMATION</w:t>
              </w:r>
            </w:hyperlink>
          </w:p>
        </w:tc>
        <w:tc>
          <w:tcPr>
            <w:tcW w:w="1620" w:type="dxa"/>
            <w:vAlign w:val="bottom"/>
          </w:tcPr>
          <w:p>
            <w:pPr>
              <w:spacing w:after="0"/>
              <w:rPr>
                <w:sz w:val="24"/>
                <w:szCs w:val="24"/>
                <w:color w:val="auto"/>
              </w:rPr>
            </w:pPr>
          </w:p>
        </w:tc>
      </w:tr>
      <w:tr>
        <w:trPr>
          <w:trHeight w:val="345"/>
        </w:trPr>
        <w:tc>
          <w:tcPr>
            <w:tcW w:w="640" w:type="dxa"/>
            <w:vAlign w:val="bottom"/>
            <w:tcBorders>
              <w:top w:val="single" w:sz="8" w:color="0000EE"/>
            </w:tcBorders>
            <w:gridSpan w:val="3"/>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Item 1A.</w:t>
              </w:r>
            </w:hyperlink>
          </w:p>
        </w:tc>
        <w:tc>
          <w:tcPr>
            <w:tcW w:w="60" w:type="dxa"/>
            <w:vAlign w:val="bottom"/>
            <w:tcBorders>
              <w:top w:val="single" w:sz="8" w:color="0000EE"/>
            </w:tcBorders>
          </w:tcPr>
          <w:p>
            <w:pPr>
              <w:spacing w:after="0"/>
              <w:rPr>
                <w:sz w:val="24"/>
                <w:szCs w:val="24"/>
                <w:color w:val="auto"/>
              </w:rPr>
            </w:pPr>
          </w:p>
        </w:tc>
        <w:tc>
          <w:tcPr>
            <w:tcW w:w="580" w:type="dxa"/>
            <w:vAlign w:val="bottom"/>
            <w:gridSpan w:val="3"/>
          </w:tcPr>
          <w:p>
            <w:pPr>
              <w:spacing w:after="0"/>
              <w:rPr>
                <w:sz w:val="24"/>
                <w:szCs w:val="24"/>
                <w:color w:val="auto"/>
              </w:rPr>
            </w:pPr>
          </w:p>
        </w:tc>
        <w:tc>
          <w:tcPr>
            <w:tcW w:w="1960" w:type="dxa"/>
            <w:vAlign w:val="bottom"/>
            <w:tcBorders>
              <w:top w:val="single" w:sz="8" w:color="0000EE"/>
            </w:tcBorders>
            <w:gridSpan w:val="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6200" w:type="dxa"/>
            <w:vAlign w:val="bottom"/>
            <w:gridSpan w:val="7"/>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45"/>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Item 4.</w:t>
              </w:r>
            </w:hyperlink>
          </w:p>
        </w:tc>
        <w:tc>
          <w:tcPr>
            <w:tcW w:w="120" w:type="dxa"/>
            <w:vAlign w:val="bottom"/>
          </w:tcPr>
          <w:p>
            <w:pPr>
              <w:spacing w:after="0"/>
              <w:rPr>
                <w:sz w:val="24"/>
                <w:szCs w:val="24"/>
                <w:color w:val="auto"/>
              </w:rPr>
            </w:pPr>
          </w:p>
        </w:tc>
        <w:tc>
          <w:tcPr>
            <w:tcW w:w="640" w:type="dxa"/>
            <w:vAlign w:val="bottom"/>
            <w:gridSpan w:val="4"/>
          </w:tcPr>
          <w:p>
            <w:pPr>
              <w:spacing w:after="0"/>
              <w:rPr>
                <w:sz w:val="24"/>
                <w:szCs w:val="24"/>
                <w:color w:val="auto"/>
              </w:rPr>
            </w:pPr>
          </w:p>
        </w:tc>
        <w:tc>
          <w:tcPr>
            <w:tcW w:w="36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Submission of Matters to a Vote of Security Holders</w:t>
              </w:r>
            </w:hyperlink>
          </w:p>
        </w:tc>
        <w:tc>
          <w:tcPr>
            <w:tcW w:w="4480" w:type="dxa"/>
            <w:vAlign w:val="bottom"/>
            <w:gridSpan w:val="6"/>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45"/>
        </w:trPr>
        <w:tc>
          <w:tcPr>
            <w:tcW w:w="520" w:type="dxa"/>
            <w:vAlign w:val="bottom"/>
            <w:gridSpan w:val="2"/>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Item 6.</w:t>
              </w:r>
            </w:hyperlink>
          </w:p>
        </w:tc>
        <w:tc>
          <w:tcPr>
            <w:tcW w:w="760" w:type="dxa"/>
            <w:vAlign w:val="bottom"/>
            <w:gridSpan w:val="5"/>
          </w:tcPr>
          <w:p>
            <w:pPr>
              <w:spacing w:after="0"/>
              <w:rPr>
                <w:sz w:val="24"/>
                <w:szCs w:val="24"/>
                <w:color w:val="auto"/>
              </w:rPr>
            </w:pPr>
          </w:p>
        </w:tc>
        <w:tc>
          <w:tcPr>
            <w:tcW w:w="8160" w:type="dxa"/>
            <w:vAlign w:val="bottom"/>
            <w:gridSpan w:val="1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Exhibits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45"/>
        </w:trPr>
        <w:tc>
          <w:tcPr>
            <w:tcW w:w="1280" w:type="dxa"/>
            <w:vAlign w:val="bottom"/>
            <w:gridSpan w:val="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74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45"/>
        </w:trPr>
        <w:tc>
          <w:tcPr>
            <w:tcW w:w="1280" w:type="dxa"/>
            <w:vAlign w:val="bottom"/>
            <w:gridSpan w:val="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Exhibit Index</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51"/>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240" w:type="dxa"/>
            <w:vAlign w:val="bottom"/>
            <w:gridSpan w:val="8"/>
          </w:tcPr>
          <w:p>
            <w:pPr>
              <w:ind w:left="44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40" w:type="dxa"/>
            <w:vAlign w:val="bottom"/>
          </w:tcPr>
          <w:p>
            <w:pPr>
              <w:ind w:left="2820"/>
              <w:spacing w:after="0"/>
              <w:rPr>
                <w:sz w:val="20"/>
                <w:szCs w:val="20"/>
                <w:color w:val="auto"/>
              </w:rPr>
            </w:pPr>
            <w:r>
              <w:rPr>
                <w:rFonts w:ascii="Arial" w:cs="Arial" w:eastAsia="Arial" w:hAnsi="Arial"/>
                <w:sz w:val="22"/>
                <w:szCs w:val="22"/>
                <w:b w:val="1"/>
                <w:bCs w:val="1"/>
                <w:color w:val="auto"/>
              </w:rPr>
              <w:t>PART I. FINANCIAL INFORMATION</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060" w:type="dxa"/>
            <w:vAlign w:val="bottom"/>
            <w:gridSpan w:val="2"/>
          </w:tcPr>
          <w:p>
            <w:pPr>
              <w:spacing w:after="0"/>
              <w:rPr>
                <w:sz w:val="20"/>
                <w:szCs w:val="20"/>
                <w:color w:val="auto"/>
              </w:rPr>
            </w:pPr>
            <w:r>
              <w:rPr>
                <w:rFonts w:ascii="Arial" w:cs="Arial" w:eastAsia="Arial" w:hAnsi="Arial"/>
                <w:sz w:val="22"/>
                <w:szCs w:val="22"/>
                <w:color w:val="auto"/>
              </w:rPr>
              <w:t>ITEM 1.</w:t>
            </w:r>
          </w:p>
        </w:tc>
        <w:tc>
          <w:tcPr>
            <w:tcW w:w="6840" w:type="dxa"/>
            <w:vAlign w:val="bottom"/>
          </w:tcPr>
          <w:p>
            <w:pPr>
              <w:ind w:left="100"/>
              <w:spacing w:after="0"/>
              <w:rPr>
                <w:sz w:val="20"/>
                <w:szCs w:val="20"/>
                <w:color w:val="auto"/>
              </w:rPr>
            </w:pPr>
            <w:r>
              <w:rPr>
                <w:rFonts w:ascii="Arial" w:cs="Arial" w:eastAsia="Arial" w:hAnsi="Arial"/>
                <w:sz w:val="22"/>
                <w:szCs w:val="22"/>
                <w:color w:val="auto"/>
              </w:rPr>
              <w:t>FINANCIAL STATEMENTS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HAWKINS, INC.</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CONDENSED BALANCE SHEETS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37"/>
              <w:spacing w:after="0"/>
              <w:rPr>
                <w:sz w:val="20"/>
                <w:szCs w:val="20"/>
                <w:color w:val="auto"/>
              </w:rPr>
            </w:pPr>
            <w:r>
              <w:rPr>
                <w:rFonts w:ascii="Arial" w:cs="Arial" w:eastAsia="Arial" w:hAnsi="Arial"/>
                <w:sz w:val="14"/>
                <w:szCs w:val="14"/>
                <w:b w:val="1"/>
                <w:bCs w:val="1"/>
                <w:color w:val="auto"/>
                <w:w w:val="97"/>
              </w:rPr>
              <w:t>APRIL 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9"/>
              </w:rPr>
              <w:t>(DERIVED FROM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SEPTEMBER 30,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9"/>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(UNAUDITED)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STATEMENTS)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shd w:val="clear" w:color="auto" w:fill="D6F3E8"/>
          </w:tcPr>
          <w:p>
            <w:pPr>
              <w:spacing w:after="0"/>
              <w:rPr>
                <w:sz w:val="20"/>
                <w:szCs w:val="20"/>
                <w:color w:val="auto"/>
              </w:rPr>
            </w:pPr>
            <w:r>
              <w:rPr>
                <w:rFonts w:ascii="Arial" w:cs="Arial" w:eastAsia="Arial" w:hAnsi="Arial"/>
                <w:sz w:val="18"/>
                <w:szCs w:val="18"/>
                <w:color w:val="auto"/>
              </w:rPr>
              <w:t>ASSETS</w:t>
            </w:r>
          </w:p>
        </w:tc>
        <w:tc>
          <w:tcPr>
            <w:tcW w:w="68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9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13,691,042</w:t>
            </w:r>
          </w:p>
        </w:tc>
        <w:tc>
          <w:tcPr>
            <w:tcW w:w="220" w:type="dxa"/>
            <w:vAlign w:val="bottom"/>
            <w:shd w:val="clear" w:color="auto" w:fill="D6F3E8"/>
          </w:tcPr>
          <w:p>
            <w:pPr>
              <w:spacing w:after="0"/>
              <w:rPr>
                <w:sz w:val="18"/>
                <w:szCs w:val="18"/>
                <w:color w:val="auto"/>
              </w:rPr>
            </w:pPr>
          </w:p>
        </w:tc>
        <w:tc>
          <w:tcPr>
            <w:tcW w:w="3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11,592,939</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140"/>
              <w:spacing w:after="0"/>
              <w:rPr>
                <w:sz w:val="20"/>
                <w:szCs w:val="20"/>
                <w:color w:val="auto"/>
              </w:rPr>
            </w:pPr>
            <w:r>
              <w:rPr>
                <w:rFonts w:ascii="Arial" w:cs="Arial" w:eastAsia="Arial" w:hAnsi="Arial"/>
                <w:sz w:val="18"/>
                <w:szCs w:val="18"/>
                <w:color w:val="auto"/>
              </w:rPr>
              <w:t>Investments available-for-sale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10,457,960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13,712,540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Trade receivables - net</w:t>
            </w:r>
          </w:p>
        </w:tc>
        <w:tc>
          <w:tcPr>
            <w:tcW w:w="180" w:type="dxa"/>
            <w:vAlign w:val="bottom"/>
            <w:shd w:val="clear" w:color="auto" w:fill="D6F3E8"/>
          </w:tcPr>
          <w:p>
            <w:pPr>
              <w:spacing w:after="0"/>
              <w:rPr>
                <w:sz w:val="18"/>
                <w:szCs w:val="18"/>
                <w:color w:val="auto"/>
              </w:rPr>
            </w:pPr>
          </w:p>
        </w:tc>
        <w:tc>
          <w:tcPr>
            <w:tcW w:w="1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19,322,925</w:t>
            </w: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19,663,169</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140"/>
              <w:spacing w:after="0"/>
              <w:rPr>
                <w:sz w:val="20"/>
                <w:szCs w:val="20"/>
                <w:color w:val="auto"/>
              </w:rPr>
            </w:pPr>
            <w:r>
              <w:rPr>
                <w:rFonts w:ascii="Arial" w:cs="Arial" w:eastAsia="Arial" w:hAnsi="Arial"/>
                <w:sz w:val="18"/>
                <w:szCs w:val="18"/>
                <w:color w:val="auto"/>
                <w:w w:val="99"/>
              </w:rPr>
              <w:t>Inventories</w:t>
            </w: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19,268,112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12,786,348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D6F3E8"/>
          </w:tcPr>
          <w:p>
            <w:pPr>
              <w:spacing w:after="0"/>
              <w:rPr>
                <w:sz w:val="18"/>
                <w:szCs w:val="18"/>
                <w:color w:val="auto"/>
              </w:rPr>
            </w:pPr>
          </w:p>
        </w:tc>
        <w:tc>
          <w:tcPr>
            <w:tcW w:w="1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1,355,363</w:t>
            </w: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3,214,254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vMerge w:val="restart"/>
          </w:tcPr>
          <w:p>
            <w:pPr>
              <w:ind w:left="3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64,095,402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60,969,250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8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PROPERTY, PLANT AND EQUIPMENT – net</w:t>
            </w:r>
          </w:p>
        </w:tc>
        <w:tc>
          <w:tcPr>
            <w:tcW w:w="180" w:type="dxa"/>
            <w:vAlign w:val="bottom"/>
            <w:shd w:val="clear" w:color="auto" w:fill="D6F3E8"/>
          </w:tcPr>
          <w:p>
            <w:pPr>
              <w:spacing w:after="0"/>
              <w:rPr>
                <w:sz w:val="18"/>
                <w:szCs w:val="18"/>
                <w:color w:val="auto"/>
              </w:rPr>
            </w:pPr>
          </w:p>
        </w:tc>
        <w:tc>
          <w:tcPr>
            <w:tcW w:w="1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35,636,820</w:t>
            </w: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34,720,460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900" w:type="dxa"/>
            <w:vAlign w:val="bottom"/>
            <w:gridSpan w:val="3"/>
          </w:tcPr>
          <w:p>
            <w:pPr>
              <w:spacing w:after="0"/>
              <w:rPr>
                <w:sz w:val="20"/>
                <w:szCs w:val="20"/>
                <w:color w:val="auto"/>
              </w:rPr>
            </w:pPr>
            <w:r>
              <w:rPr>
                <w:rFonts w:ascii="Arial" w:cs="Arial" w:eastAsia="Arial" w:hAnsi="Arial"/>
                <w:sz w:val="18"/>
                <w:szCs w:val="18"/>
                <w:color w:val="auto"/>
                <w:w w:val="99"/>
              </w:rPr>
              <w:t>INTANGIBLE ASSETS - less accumulated amortization of $1,822,784 and $1,643,308, respectively</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7,140,016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1,839,725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8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D6F3E8"/>
          </w:tcPr>
          <w:p>
            <w:pPr>
              <w:spacing w:after="0"/>
              <w:rPr>
                <w:sz w:val="18"/>
                <w:szCs w:val="18"/>
                <w:color w:val="auto"/>
              </w:rPr>
            </w:pPr>
          </w:p>
        </w:tc>
        <w:tc>
          <w:tcPr>
            <w:tcW w:w="1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1,555,310</w:t>
            </w: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3,013,888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9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576,477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725,271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6840" w:type="dxa"/>
            <w:vAlign w:val="bottom"/>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109,004,025</w:t>
            </w: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101,268,594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00" w:type="dxa"/>
            <w:vAlign w:val="bottom"/>
            <w:gridSpan w:val="3"/>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00" w:type="dxa"/>
            <w:vAlign w:val="bottom"/>
            <w:gridSpan w:val="3"/>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9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8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D6F3E8"/>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140"/>
              <w:spacing w:after="0"/>
              <w:rPr>
                <w:sz w:val="20"/>
                <w:szCs w:val="20"/>
                <w:color w:val="auto"/>
              </w:rPr>
            </w:pPr>
            <w:r>
              <w:rPr>
                <w:rFonts w:ascii="Arial" w:cs="Arial" w:eastAsia="Arial" w:hAnsi="Arial"/>
                <w:sz w:val="18"/>
                <w:szCs w:val="18"/>
                <w:color w:val="auto"/>
              </w:rPr>
              <w:t>Accounts payable – trade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14,597,261</w:t>
            </w:r>
          </w:p>
        </w:tc>
        <w:tc>
          <w:tcPr>
            <w:tcW w:w="2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10,891,162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Dividends payable</w:t>
            </w:r>
          </w:p>
        </w:tc>
        <w:tc>
          <w:tcPr>
            <w:tcW w:w="180" w:type="dxa"/>
            <w:vAlign w:val="bottom"/>
            <w:shd w:val="clear" w:color="auto" w:fill="D6F3E8"/>
          </w:tcPr>
          <w:p>
            <w:pPr>
              <w:spacing w:after="0"/>
              <w:rPr>
                <w:sz w:val="18"/>
                <w:szCs w:val="18"/>
                <w:color w:val="auto"/>
              </w:rPr>
            </w:pPr>
          </w:p>
        </w:tc>
        <w:tc>
          <w:tcPr>
            <w:tcW w:w="1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2,463,380</w:t>
            </w: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2,247,686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140"/>
              <w:spacing w:after="0"/>
              <w:rPr>
                <w:sz w:val="20"/>
                <w:szCs w:val="20"/>
                <w:color w:val="auto"/>
              </w:rPr>
            </w:pPr>
            <w:r>
              <w:rPr>
                <w:rFonts w:ascii="Arial" w:cs="Arial" w:eastAsia="Arial" w:hAnsi="Arial"/>
                <w:sz w:val="18"/>
                <w:szCs w:val="18"/>
                <w:color w:val="auto"/>
              </w:rPr>
              <w:t>Accrued payroll and employee benefits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4,294,530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5,221,005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D6F3E8"/>
          </w:tcPr>
          <w:p>
            <w:pPr>
              <w:spacing w:after="0"/>
              <w:rPr>
                <w:sz w:val="18"/>
                <w:szCs w:val="18"/>
                <w:color w:val="auto"/>
              </w:rPr>
            </w:pPr>
          </w:p>
        </w:tc>
        <w:tc>
          <w:tcPr>
            <w:tcW w:w="1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2,739,225</w:t>
            </w: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2,371,904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vMerge w:val="restart"/>
          </w:tcPr>
          <w:p>
            <w:pPr>
              <w:ind w:left="3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24,094,396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20,731,757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8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D6F3E8"/>
          </w:tcPr>
          <w:p>
            <w:pPr>
              <w:spacing w:after="0"/>
              <w:rPr>
                <w:sz w:val="18"/>
                <w:szCs w:val="18"/>
                <w:color w:val="auto"/>
              </w:rPr>
            </w:pPr>
          </w:p>
        </w:tc>
        <w:tc>
          <w:tcPr>
            <w:tcW w:w="1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132,023</w:t>
            </w: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138,673</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90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443,767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420,521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8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D6F3E8"/>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90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w w:val="95"/>
              </w:rPr>
              <w:t>Common stock, par value $.05 per share; 10,211,827 and 10,171,496 shares issued and outstanding,</w:t>
            </w:r>
          </w:p>
        </w:tc>
        <w:tc>
          <w:tcPr>
            <w:tcW w:w="180" w:type="dxa"/>
            <w:vAlign w:val="bottom"/>
            <w:shd w:val="clear" w:color="auto" w:fill="D6F3E8"/>
          </w:tcPr>
          <w:p>
            <w:pPr>
              <w:spacing w:after="0"/>
              <w:rPr>
                <w:sz w:val="19"/>
                <w:szCs w:val="19"/>
                <w:color w:val="auto"/>
              </w:rPr>
            </w:pPr>
          </w:p>
        </w:tc>
        <w:tc>
          <w:tcPr>
            <w:tcW w:w="1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510,591</w:t>
            </w:r>
          </w:p>
        </w:tc>
        <w:tc>
          <w:tcPr>
            <w:tcW w:w="220" w:type="dxa"/>
            <w:vAlign w:val="bottom"/>
            <w:shd w:val="clear" w:color="auto" w:fill="D6F3E8"/>
          </w:tcPr>
          <w:p>
            <w:pPr>
              <w:spacing w:after="0"/>
              <w:rPr>
                <w:sz w:val="19"/>
                <w:szCs w:val="19"/>
                <w:color w:val="auto"/>
              </w:rPr>
            </w:pPr>
          </w:p>
        </w:tc>
        <w:tc>
          <w:tcPr>
            <w:tcW w:w="24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508,575</w:t>
            </w:r>
          </w:p>
        </w:tc>
        <w:tc>
          <w:tcPr>
            <w:tcW w:w="1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40" w:type="dxa"/>
            <w:vAlign w:val="bottom"/>
            <w:shd w:val="clear" w:color="auto" w:fill="D6F3E8"/>
          </w:tcPr>
          <w:p>
            <w:pPr>
              <w:spacing w:after="0"/>
              <w:rPr>
                <w:sz w:val="13"/>
                <w:szCs w:val="13"/>
                <w:color w:val="auto"/>
              </w:rPr>
            </w:pPr>
          </w:p>
        </w:tc>
        <w:tc>
          <w:tcPr>
            <w:tcW w:w="6840" w:type="dxa"/>
            <w:vAlign w:val="bottom"/>
            <w:shd w:val="clear" w:color="auto" w:fill="D6F3E8"/>
          </w:tcPr>
          <w:p>
            <w:pPr>
              <w:spacing w:after="0"/>
              <w:rPr>
                <w:sz w:val="13"/>
                <w:szCs w:val="13"/>
                <w:color w:val="auto"/>
              </w:rPr>
            </w:pPr>
          </w:p>
        </w:tc>
        <w:tc>
          <w:tcPr>
            <w:tcW w:w="180" w:type="dxa"/>
            <w:vAlign w:val="bottom"/>
            <w:shd w:val="clear" w:color="auto" w:fill="D6F3E8"/>
          </w:tcPr>
          <w:p>
            <w:pPr>
              <w:spacing w:after="0"/>
              <w:rPr>
                <w:sz w:val="13"/>
                <w:szCs w:val="13"/>
                <w:color w:val="auto"/>
              </w:rPr>
            </w:pPr>
          </w:p>
        </w:tc>
        <w:tc>
          <w:tcPr>
            <w:tcW w:w="1360" w:type="dxa"/>
            <w:vAlign w:val="bottom"/>
            <w:shd w:val="clear" w:color="auto" w:fill="D6F3E8"/>
          </w:tcPr>
          <w:p>
            <w:pPr>
              <w:spacing w:after="0"/>
              <w:rPr>
                <w:sz w:val="13"/>
                <w:szCs w:val="13"/>
                <w:color w:val="auto"/>
              </w:rPr>
            </w:pPr>
          </w:p>
        </w:tc>
        <w:tc>
          <w:tcPr>
            <w:tcW w:w="220" w:type="dxa"/>
            <w:vAlign w:val="bottom"/>
            <w:shd w:val="clear" w:color="auto" w:fill="D6F3E8"/>
          </w:tcPr>
          <w:p>
            <w:pPr>
              <w:spacing w:after="0"/>
              <w:rPr>
                <w:sz w:val="13"/>
                <w:szCs w:val="13"/>
                <w:color w:val="auto"/>
              </w:rPr>
            </w:pPr>
          </w:p>
        </w:tc>
        <w:tc>
          <w:tcPr>
            <w:tcW w:w="240" w:type="dxa"/>
            <w:vAlign w:val="bottom"/>
            <w:shd w:val="clear" w:color="auto" w:fill="D6F3E8"/>
          </w:tcPr>
          <w:p>
            <w:pPr>
              <w:spacing w:after="0"/>
              <w:rPr>
                <w:sz w:val="13"/>
                <w:szCs w:val="13"/>
                <w:color w:val="auto"/>
              </w:rPr>
            </w:pPr>
          </w:p>
        </w:tc>
        <w:tc>
          <w:tcPr>
            <w:tcW w:w="120" w:type="dxa"/>
            <w:vAlign w:val="bottom"/>
            <w:shd w:val="clear" w:color="auto" w:fill="D6F3E8"/>
          </w:tcPr>
          <w:p>
            <w:pPr>
              <w:spacing w:after="0"/>
              <w:rPr>
                <w:sz w:val="13"/>
                <w:szCs w:val="13"/>
                <w:color w:val="auto"/>
              </w:rPr>
            </w:pPr>
          </w:p>
        </w:tc>
        <w:tc>
          <w:tcPr>
            <w:tcW w:w="1280" w:type="dxa"/>
            <w:vAlign w:val="bottom"/>
            <w:shd w:val="clear" w:color="auto" w:fill="D6F3E8"/>
          </w:tcPr>
          <w:p>
            <w:pPr>
              <w:spacing w:after="0"/>
              <w:rPr>
                <w:sz w:val="13"/>
                <w:szCs w:val="13"/>
                <w:color w:val="auto"/>
              </w:rPr>
            </w:pPr>
          </w:p>
        </w:tc>
        <w:tc>
          <w:tcPr>
            <w:tcW w:w="120" w:type="dxa"/>
            <w:vAlign w:val="bottom"/>
            <w:shd w:val="clear" w:color="auto" w:fill="D6F3E8"/>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57"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gridSpan w:val="2"/>
            <w:shd w:val="clear" w:color="auto" w:fill="D6F3E8"/>
          </w:tcPr>
          <w:p>
            <w:pPr>
              <w:ind w:left="320"/>
              <w:spacing w:after="0"/>
              <w:rPr>
                <w:sz w:val="20"/>
                <w:szCs w:val="20"/>
                <w:color w:val="auto"/>
              </w:rPr>
            </w:pPr>
            <w:r>
              <w:rPr>
                <w:rFonts w:ascii="Arial" w:cs="Arial" w:eastAsia="Arial" w:hAnsi="Arial"/>
                <w:sz w:val="18"/>
                <w:szCs w:val="18"/>
                <w:color w:val="auto"/>
              </w:rPr>
              <w:t>respectively</w:t>
            </w:r>
          </w:p>
        </w:tc>
        <w:tc>
          <w:tcPr>
            <w:tcW w:w="11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r>
      <w:tr>
        <w:trPr>
          <w:trHeight w:val="216"/>
        </w:trPr>
        <w:tc>
          <w:tcPr>
            <w:tcW w:w="82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160" w:type="dxa"/>
            <w:vAlign w:val="bottom"/>
          </w:tcPr>
          <w:p>
            <w:pPr>
              <w:jc w:val="right"/>
              <w:spacing w:after="0"/>
              <w:rPr>
                <w:sz w:val="20"/>
                <w:szCs w:val="20"/>
                <w:color w:val="auto"/>
              </w:rPr>
            </w:pPr>
            <w:r>
              <w:rPr>
                <w:rFonts w:ascii="Arial" w:cs="Arial" w:eastAsia="Arial" w:hAnsi="Arial"/>
                <w:sz w:val="18"/>
                <w:szCs w:val="18"/>
                <w:color w:val="auto"/>
              </w:rPr>
              <w:t>38,150,662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37,242,090</w:t>
            </w:r>
          </w:p>
        </w:tc>
        <w:tc>
          <w:tcPr>
            <w:tcW w:w="120" w:type="dxa"/>
            <w:vAlign w:val="bottom"/>
          </w:tcPr>
          <w:p>
            <w:pPr>
              <w:spacing w:after="0"/>
              <w:rPr>
                <w:sz w:val="18"/>
                <w:szCs w:val="18"/>
                <w:color w:val="auto"/>
              </w:rPr>
            </w:pPr>
          </w:p>
        </w:tc>
      </w:tr>
      <w:tr>
        <w:trPr>
          <w:trHeight w:val="216"/>
        </w:trPr>
        <w:tc>
          <w:tcPr>
            <w:tcW w:w="8280" w:type="dxa"/>
            <w:vAlign w:val="bottom"/>
            <w:gridSpan w:val="2"/>
            <w:shd w:val="clear" w:color="auto" w:fill="D6F3E8"/>
          </w:tcPr>
          <w:p>
            <w:pPr>
              <w:ind w:left="160"/>
              <w:spacing w:after="0"/>
              <w:rPr>
                <w:sz w:val="20"/>
                <w:szCs w:val="20"/>
                <w:color w:val="auto"/>
              </w:rPr>
            </w:pPr>
            <w:r>
              <w:rPr>
                <w:rFonts w:ascii="Arial" w:cs="Arial" w:eastAsia="Arial" w:hAnsi="Arial"/>
                <w:sz w:val="18"/>
                <w:szCs w:val="18"/>
                <w:color w:val="auto"/>
              </w:rPr>
              <w:t>Accumulated other comprehensive gain (loss)</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22,894</w:t>
            </w:r>
          </w:p>
        </w:tc>
        <w:tc>
          <w:tcPr>
            <w:tcW w:w="4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(13,605)</w:t>
            </w:r>
          </w:p>
        </w:tc>
      </w:tr>
      <w:tr>
        <w:trPr>
          <w:trHeight w:val="222"/>
        </w:trPr>
        <w:tc>
          <w:tcPr>
            <w:tcW w:w="828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160" w:type="dxa"/>
            <w:vAlign w:val="bottom"/>
          </w:tcPr>
          <w:p>
            <w:pPr>
              <w:jc w:val="right"/>
              <w:spacing w:after="0"/>
              <w:rPr>
                <w:sz w:val="20"/>
                <w:szCs w:val="20"/>
                <w:color w:val="auto"/>
              </w:rPr>
            </w:pPr>
            <w:r>
              <w:rPr>
                <w:rFonts w:ascii="Arial" w:cs="Arial" w:eastAsia="Arial" w:hAnsi="Arial"/>
                <w:sz w:val="18"/>
                <w:szCs w:val="18"/>
                <w:color w:val="auto"/>
              </w:rPr>
              <w:t>45,649,692</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42,240,583</w:t>
            </w:r>
          </w:p>
        </w:tc>
        <w:tc>
          <w:tcPr>
            <w:tcW w:w="120" w:type="dxa"/>
            <w:vAlign w:val="bottom"/>
          </w:tcPr>
          <w:p>
            <w:pPr>
              <w:spacing w:after="0"/>
              <w:rPr>
                <w:sz w:val="19"/>
                <w:szCs w:val="19"/>
                <w:color w:val="auto"/>
              </w:rPr>
            </w:pPr>
          </w:p>
        </w:tc>
      </w:tr>
      <w:tr>
        <w:trPr>
          <w:trHeight w:val="237"/>
        </w:trPr>
        <w:tc>
          <w:tcPr>
            <w:tcW w:w="828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7900" w:type="dxa"/>
            <w:vAlign w:val="bottom"/>
            <w:shd w:val="clear" w:color="auto" w:fill="D6F3E8"/>
          </w:tcPr>
          <w:p>
            <w:pPr>
              <w:ind w:left="320"/>
              <w:spacing w:after="0"/>
              <w:rPr>
                <w:sz w:val="20"/>
                <w:szCs w:val="20"/>
                <w:color w:val="auto"/>
              </w:rPr>
            </w:pPr>
            <w:r>
              <w:rPr>
                <w:rFonts w:ascii="Arial" w:cs="Arial" w:eastAsia="Arial" w:hAnsi="Arial"/>
                <w:sz w:val="18"/>
                <w:szCs w:val="18"/>
                <w:color w:val="auto"/>
              </w:rPr>
              <w:t>Total shareholders’ equity</w:t>
            </w:r>
          </w:p>
        </w:tc>
        <w:tc>
          <w:tcPr>
            <w:tcW w:w="380" w:type="dxa"/>
            <w:vAlign w:val="bottom"/>
            <w:tcBorders>
              <w:top w:val="single" w:sz="8" w:color="auto"/>
            </w:tcBorders>
            <w:shd w:val="clear" w:color="auto" w:fill="D6F3E8"/>
          </w:tcPr>
          <w:p>
            <w:pPr>
              <w:spacing w:after="0"/>
              <w:rPr>
                <w:sz w:val="18"/>
                <w:szCs w:val="18"/>
                <w:color w:val="auto"/>
              </w:rPr>
            </w:pPr>
          </w:p>
        </w:tc>
        <w:tc>
          <w:tcPr>
            <w:tcW w:w="11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84,333,839</w:t>
            </w:r>
          </w:p>
        </w:tc>
        <w:tc>
          <w:tcPr>
            <w:tcW w:w="460" w:type="dxa"/>
            <w:vAlign w:val="bottom"/>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1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79,977,643</w:t>
            </w:r>
          </w:p>
        </w:tc>
        <w:tc>
          <w:tcPr>
            <w:tcW w:w="120" w:type="dxa"/>
            <w:vAlign w:val="bottom"/>
            <w:shd w:val="clear" w:color="auto" w:fill="D6F3E8"/>
          </w:tcPr>
          <w:p>
            <w:pPr>
              <w:spacing w:after="0"/>
              <w:rPr>
                <w:sz w:val="18"/>
                <w:szCs w:val="18"/>
                <w:color w:val="auto"/>
              </w:rPr>
            </w:pPr>
          </w:p>
        </w:tc>
      </w:tr>
      <w:tr>
        <w:trPr>
          <w:trHeight w:val="243"/>
        </w:trPr>
        <w:tc>
          <w:tcPr>
            <w:tcW w:w="8280" w:type="dxa"/>
            <w:vAlign w:val="bottom"/>
            <w:gridSpan w:val="2"/>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7900" w:type="dxa"/>
            <w:vAlign w:val="bottom"/>
          </w:tcPr>
          <w:p>
            <w:pPr>
              <w:spacing w:after="0"/>
              <w:rPr>
                <w:sz w:val="18"/>
                <w:szCs w:val="18"/>
                <w:color w:val="auto"/>
              </w:rPr>
            </w:pPr>
          </w:p>
        </w:tc>
        <w:tc>
          <w:tcPr>
            <w:tcW w:w="3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109,004,025</w:t>
            </w:r>
          </w:p>
        </w:tc>
        <w:tc>
          <w:tcPr>
            <w:tcW w:w="460" w:type="dxa"/>
            <w:vAlign w:val="bottom"/>
          </w:tcPr>
          <w:p>
            <w:pPr>
              <w:spacing w:after="0"/>
              <w:rPr>
                <w:sz w:val="18"/>
                <w:szCs w:val="18"/>
                <w:color w:val="auto"/>
              </w:rPr>
            </w:pPr>
          </w:p>
        </w:tc>
        <w:tc>
          <w:tcPr>
            <w:tcW w:w="300" w:type="dxa"/>
            <w:vAlign w:val="bottom"/>
            <w:tcBorders>
              <w:top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101,268,594</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150495</wp:posOffset>
            </wp:positionV>
            <wp:extent cx="21526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2650" cy="260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 –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8"/>
              </w:rPr>
              <w:t>THREE MONTHS ENDED</w:t>
            </w:r>
          </w:p>
        </w:tc>
        <w:tc>
          <w:tcPr>
            <w:tcW w:w="280" w:type="dxa"/>
            <w:vAlign w:val="bottom"/>
          </w:tcPr>
          <w:p>
            <w:pPr>
              <w:spacing w:after="0"/>
              <w:rPr>
                <w:sz w:val="14"/>
                <w:szCs w:val="14"/>
                <w:color w:val="auto"/>
              </w:rPr>
            </w:pPr>
          </w:p>
        </w:tc>
        <w:tc>
          <w:tcPr>
            <w:tcW w:w="26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3"/>
              </w:rPr>
              <w:t>SEPTEMBER 30</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3"/>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7"/>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14"/>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7"/>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4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8"/>
              </w:rPr>
              <w:t>(UNAUDITED)</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0" w:type="dxa"/>
            <w:vAlign w:val="bottom"/>
            <w:vMerge w:val="restart"/>
          </w:tcPr>
          <w:p>
            <w:pPr>
              <w:spacing w:after="0"/>
              <w:rPr>
                <w:sz w:val="24"/>
                <w:szCs w:val="24"/>
                <w:color w:val="auto"/>
              </w:rPr>
            </w:pPr>
          </w:p>
        </w:tc>
        <w:tc>
          <w:tcPr>
            <w:tcW w:w="4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13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48,143,856</w:t>
            </w:r>
          </w:p>
        </w:tc>
        <w:tc>
          <w:tcPr>
            <w:tcW w:w="380" w:type="dxa"/>
            <w:vAlign w:val="bottom"/>
            <w:shd w:val="clear" w:color="auto" w:fill="D6F3E8"/>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42,200,162</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96,766,581</w:t>
            </w:r>
          </w:p>
        </w:tc>
        <w:tc>
          <w:tcPr>
            <w:tcW w:w="72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3"/>
              </w:rPr>
              <w:t>83,660,825</w:t>
            </w:r>
          </w:p>
        </w:tc>
        <w:tc>
          <w:tcPr>
            <w:tcW w:w="0" w:type="dxa"/>
            <w:vAlign w:val="bottom"/>
          </w:tcPr>
          <w:p>
            <w:pPr>
              <w:spacing w:after="0"/>
              <w:rPr>
                <w:sz w:val="1"/>
                <w:szCs w:val="1"/>
                <w:color w:val="auto"/>
              </w:rPr>
            </w:pPr>
          </w:p>
        </w:tc>
      </w:tr>
      <w:tr>
        <w:trPr>
          <w:trHeight w:val="363"/>
        </w:trPr>
        <w:tc>
          <w:tcPr>
            <w:tcW w:w="42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36,268,357</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31,023,515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73,060,531</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61,661,093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10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11,875,499</w:t>
            </w:r>
          </w:p>
        </w:tc>
        <w:tc>
          <w:tcPr>
            <w:tcW w:w="38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w w:val="95"/>
              </w:rPr>
              <w:t>11,176,647</w:t>
            </w: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23,706,050</w:t>
            </w:r>
          </w:p>
        </w:tc>
        <w:tc>
          <w:tcPr>
            <w:tcW w:w="3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3"/>
              </w:rPr>
              <w:t>21,999,732</w:t>
            </w:r>
          </w:p>
        </w:tc>
        <w:tc>
          <w:tcPr>
            <w:tcW w:w="0" w:type="dxa"/>
            <w:vAlign w:val="bottom"/>
          </w:tcPr>
          <w:p>
            <w:pPr>
              <w:spacing w:after="0"/>
              <w:rPr>
                <w:sz w:val="1"/>
                <w:szCs w:val="1"/>
                <w:color w:val="auto"/>
              </w:rPr>
            </w:pPr>
          </w:p>
        </w:tc>
      </w:tr>
      <w:tr>
        <w:trPr>
          <w:trHeight w:val="363"/>
        </w:trPr>
        <w:tc>
          <w:tcPr>
            <w:tcW w:w="42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7,498,645</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6,482,276</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14,993,929</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13,119,141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10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4,376,854</w:t>
            </w:r>
          </w:p>
        </w:tc>
        <w:tc>
          <w:tcPr>
            <w:tcW w:w="38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4,694,371</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8,712,121</w:t>
            </w:r>
          </w:p>
        </w:tc>
        <w:tc>
          <w:tcPr>
            <w:tcW w:w="3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8,880,591</w:t>
            </w:r>
          </w:p>
        </w:tc>
        <w:tc>
          <w:tcPr>
            <w:tcW w:w="0" w:type="dxa"/>
            <w:vAlign w:val="bottom"/>
          </w:tcPr>
          <w:p>
            <w:pPr>
              <w:spacing w:after="0"/>
              <w:rPr>
                <w:sz w:val="1"/>
                <w:szCs w:val="1"/>
                <w:color w:val="auto"/>
              </w:rPr>
            </w:pPr>
          </w:p>
        </w:tc>
      </w:tr>
      <w:tr>
        <w:trPr>
          <w:trHeight w:val="363"/>
        </w:trPr>
        <w:tc>
          <w:tcPr>
            <w:tcW w:w="420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312,265</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347,757</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614,568</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649,004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10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4,689,119</w:t>
            </w:r>
          </w:p>
        </w:tc>
        <w:tc>
          <w:tcPr>
            <w:tcW w:w="38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5,042,128</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9,326,689</w:t>
            </w:r>
          </w:p>
        </w:tc>
        <w:tc>
          <w:tcPr>
            <w:tcW w:w="3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9,529,595</w:t>
            </w:r>
          </w:p>
        </w:tc>
        <w:tc>
          <w:tcPr>
            <w:tcW w:w="0" w:type="dxa"/>
            <w:vAlign w:val="bottom"/>
          </w:tcPr>
          <w:p>
            <w:pPr>
              <w:spacing w:after="0"/>
              <w:rPr>
                <w:sz w:val="1"/>
                <w:szCs w:val="1"/>
                <w:color w:val="auto"/>
              </w:rPr>
            </w:pPr>
          </w:p>
        </w:tc>
      </w:tr>
      <w:tr>
        <w:trPr>
          <w:trHeight w:val="363"/>
        </w:trPr>
        <w:tc>
          <w:tcPr>
            <w:tcW w:w="42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1,767,700</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1,896,000</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3,454,200</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3,583,500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2,921,419</w:t>
            </w:r>
          </w:p>
        </w:tc>
        <w:tc>
          <w:tcPr>
            <w:tcW w:w="380" w:type="dxa"/>
            <w:vAlign w:val="bottom"/>
            <w:shd w:val="clear" w:color="auto" w:fill="D6F3E8"/>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3,146,128</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5,872,489</w:t>
            </w:r>
          </w:p>
        </w:tc>
        <w:tc>
          <w:tcPr>
            <w:tcW w:w="72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5,946,095</w:t>
            </w:r>
          </w:p>
        </w:tc>
        <w:tc>
          <w:tcPr>
            <w:tcW w:w="0" w:type="dxa"/>
            <w:vAlign w:val="bottom"/>
          </w:tcPr>
          <w:p>
            <w:pPr>
              <w:spacing w:after="0"/>
              <w:rPr>
                <w:sz w:val="1"/>
                <w:szCs w:val="1"/>
                <w:color w:val="auto"/>
              </w:rPr>
            </w:pPr>
          </w:p>
        </w:tc>
      </w:tr>
      <w:tr>
        <w:trPr>
          <w:trHeight w:val="243"/>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w:t>
            </w:r>
          </w:p>
        </w:tc>
        <w:tc>
          <w:tcPr>
            <w:tcW w:w="1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2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outstanding – basic</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10,211,827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10,171,496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10,198,531</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10,171,496</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8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w:t>
            </w:r>
          </w:p>
        </w:tc>
        <w:tc>
          <w:tcPr>
            <w:tcW w:w="10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D6F3E8"/>
          </w:tcPr>
          <w:p>
            <w:pPr>
              <w:ind w:left="140"/>
              <w:spacing w:after="0"/>
              <w:rPr>
                <w:sz w:val="20"/>
                <w:szCs w:val="20"/>
                <w:color w:val="auto"/>
              </w:rPr>
            </w:pPr>
            <w:r>
              <w:rPr>
                <w:rFonts w:ascii="Arial" w:cs="Arial" w:eastAsia="Arial" w:hAnsi="Arial"/>
                <w:sz w:val="18"/>
                <w:szCs w:val="18"/>
                <w:color w:val="auto"/>
              </w:rPr>
              <w:t>outstanding – diluted</w:t>
            </w:r>
          </w:p>
        </w:tc>
        <w:tc>
          <w:tcPr>
            <w:tcW w:w="1080" w:type="dxa"/>
            <w:vAlign w:val="bottom"/>
            <w:shd w:val="clear" w:color="auto" w:fill="D6F3E8"/>
          </w:tcPr>
          <w:p>
            <w:pPr>
              <w:spacing w:after="0"/>
              <w:rPr>
                <w:sz w:val="19"/>
                <w:szCs w:val="19"/>
                <w:color w:val="auto"/>
              </w:rPr>
            </w:pPr>
          </w:p>
        </w:tc>
        <w:tc>
          <w:tcPr>
            <w:tcW w:w="280" w:type="dxa"/>
            <w:vAlign w:val="bottom"/>
            <w:shd w:val="clear" w:color="auto" w:fill="D6F3E8"/>
          </w:tcPr>
          <w:p>
            <w:pPr>
              <w:spacing w:after="0"/>
              <w:rPr>
                <w:sz w:val="19"/>
                <w:szCs w:val="19"/>
                <w:color w:val="auto"/>
              </w:rPr>
            </w:pPr>
          </w:p>
        </w:tc>
        <w:tc>
          <w:tcPr>
            <w:tcW w:w="134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10,241,865</w:t>
            </w:r>
          </w:p>
        </w:tc>
        <w:tc>
          <w:tcPr>
            <w:tcW w:w="380" w:type="dxa"/>
            <w:vAlign w:val="bottom"/>
            <w:shd w:val="clear" w:color="auto" w:fill="D6F3E8"/>
          </w:tcPr>
          <w:p>
            <w:pPr>
              <w:spacing w:after="0"/>
              <w:rPr>
                <w:sz w:val="19"/>
                <w:szCs w:val="19"/>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10,171,496</w:t>
            </w:r>
          </w:p>
        </w:tc>
        <w:tc>
          <w:tcPr>
            <w:tcW w:w="320" w:type="dxa"/>
            <w:vAlign w:val="bottom"/>
            <w:shd w:val="clear" w:color="auto" w:fill="D6F3E8"/>
          </w:tcPr>
          <w:p>
            <w:pPr>
              <w:spacing w:after="0"/>
              <w:rPr>
                <w:sz w:val="19"/>
                <w:szCs w:val="19"/>
                <w:color w:val="auto"/>
              </w:rPr>
            </w:pPr>
          </w:p>
        </w:tc>
        <w:tc>
          <w:tcPr>
            <w:tcW w:w="280" w:type="dxa"/>
            <w:vAlign w:val="bottom"/>
            <w:shd w:val="clear" w:color="auto" w:fill="D6F3E8"/>
          </w:tcPr>
          <w:p>
            <w:pPr>
              <w:spacing w:after="0"/>
              <w:rPr>
                <w:sz w:val="19"/>
                <w:szCs w:val="19"/>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10,223,228</w:t>
            </w:r>
          </w:p>
        </w:tc>
        <w:tc>
          <w:tcPr>
            <w:tcW w:w="320" w:type="dxa"/>
            <w:vAlign w:val="bottom"/>
            <w:shd w:val="clear" w:color="auto" w:fill="D6F3E8"/>
          </w:tcPr>
          <w:p>
            <w:pPr>
              <w:spacing w:after="0"/>
              <w:rPr>
                <w:sz w:val="19"/>
                <w:szCs w:val="19"/>
                <w:color w:val="auto"/>
              </w:rPr>
            </w:pPr>
          </w:p>
        </w:tc>
        <w:tc>
          <w:tcPr>
            <w:tcW w:w="400" w:type="dxa"/>
            <w:vAlign w:val="bottom"/>
            <w:shd w:val="clear" w:color="auto" w:fill="D6F3E8"/>
          </w:tcPr>
          <w:p>
            <w:pPr>
              <w:spacing w:after="0"/>
              <w:rPr>
                <w:sz w:val="19"/>
                <w:szCs w:val="19"/>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3"/>
              </w:rPr>
              <w:t>10,171,496</w:t>
            </w:r>
          </w:p>
        </w:tc>
        <w:tc>
          <w:tcPr>
            <w:tcW w:w="0" w:type="dxa"/>
            <w:vAlign w:val="bottom"/>
          </w:tcPr>
          <w:p>
            <w:pPr>
              <w:spacing w:after="0"/>
              <w:rPr>
                <w:sz w:val="1"/>
                <w:szCs w:val="1"/>
                <w:color w:val="auto"/>
              </w:rPr>
            </w:pPr>
          </w:p>
        </w:tc>
      </w:tr>
      <w:tr>
        <w:trPr>
          <w:trHeight w:val="243"/>
        </w:trPr>
        <w:tc>
          <w:tcPr>
            <w:tcW w:w="420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200" w:type="dxa"/>
            <w:vAlign w:val="bottom"/>
            <w:gridSpan w:val="2"/>
          </w:tcPr>
          <w:p>
            <w:pPr>
              <w:spacing w:after="0"/>
              <w:rPr>
                <w:sz w:val="20"/>
                <w:szCs w:val="20"/>
                <w:color w:val="auto"/>
              </w:rPr>
            </w:pPr>
            <w:r>
              <w:rPr>
                <w:rFonts w:ascii="Arial" w:cs="Arial" w:eastAsia="Arial" w:hAnsi="Arial"/>
                <w:sz w:val="18"/>
                <w:szCs w:val="18"/>
                <w:color w:val="auto"/>
              </w:rPr>
              <w:t>Earnings per share – basic</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0.29</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0.31</w:t>
            </w:r>
          </w:p>
        </w:tc>
        <w:tc>
          <w:tcPr>
            <w:tcW w:w="3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0.58</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D6F3E8"/>
          </w:tcPr>
          <w:p>
            <w:pPr>
              <w:spacing w:after="0"/>
              <w:rPr>
                <w:sz w:val="20"/>
                <w:szCs w:val="20"/>
                <w:color w:val="auto"/>
              </w:rPr>
            </w:pPr>
            <w:r>
              <w:rPr>
                <w:rFonts w:ascii="Arial" w:cs="Arial" w:eastAsia="Arial" w:hAnsi="Arial"/>
                <w:sz w:val="18"/>
                <w:szCs w:val="18"/>
                <w:color w:val="auto"/>
              </w:rPr>
              <w:t>Earnings per share – diluted</w:t>
            </w:r>
          </w:p>
        </w:tc>
        <w:tc>
          <w:tcPr>
            <w:tcW w:w="13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0.29</w:t>
            </w:r>
          </w:p>
        </w:tc>
        <w:tc>
          <w:tcPr>
            <w:tcW w:w="380" w:type="dxa"/>
            <w:vAlign w:val="bottom"/>
            <w:shd w:val="clear" w:color="auto" w:fill="D6F3E8"/>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0.31</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0.57</w:t>
            </w:r>
          </w:p>
        </w:tc>
        <w:tc>
          <w:tcPr>
            <w:tcW w:w="72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43"/>
        </w:trPr>
        <w:tc>
          <w:tcPr>
            <w:tcW w:w="420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20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0.24</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0.22</w:t>
            </w:r>
          </w:p>
        </w:tc>
        <w:tc>
          <w:tcPr>
            <w:tcW w:w="3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0.24</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155575</wp:posOffset>
            </wp:positionV>
            <wp:extent cx="383349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33495" cy="260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 - -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ectPr>
          <w:pgSz w:w="11900" w:h="16838" w:orient="portrait"/>
          <w:cols w:equalWidth="0" w:num="1">
            <w:col w:w="11420"/>
          </w:cols>
          <w:pgMar w:left="240" w:top="140"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475"/>
              <w:spacing w:after="0"/>
              <w:rPr>
                <w:sz w:val="20"/>
                <w:szCs w:val="20"/>
                <w:color w:val="auto"/>
              </w:rPr>
            </w:pPr>
            <w:r>
              <w:rPr>
                <w:rFonts w:ascii="Arial" w:cs="Arial" w:eastAsia="Arial" w:hAnsi="Arial"/>
                <w:sz w:val="14"/>
                <w:szCs w:val="14"/>
                <w:b w:val="1"/>
                <w:bCs w:val="1"/>
                <w:color w:val="auto"/>
                <w:w w:val="93"/>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4"/>
          </w:tcPr>
          <w:p>
            <w:pPr>
              <w:jc w:val="center"/>
              <w:ind w:left="495"/>
              <w:spacing w:after="0"/>
              <w:rPr>
                <w:sz w:val="20"/>
                <w:szCs w:val="20"/>
                <w:color w:val="auto"/>
              </w:rPr>
            </w:pPr>
            <w:r>
              <w:rPr>
                <w:rFonts w:ascii="Arial" w:cs="Arial" w:eastAsia="Arial" w:hAnsi="Arial"/>
                <w:sz w:val="14"/>
                <w:szCs w:val="14"/>
                <w:b w:val="1"/>
                <w:bCs w:val="1"/>
                <w:color w:val="auto"/>
                <w:w w:val="98"/>
              </w:rPr>
              <w:t>(UNAUDITED)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8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5,872,489</w:t>
            </w:r>
          </w:p>
        </w:tc>
        <w:tc>
          <w:tcPr>
            <w:tcW w:w="1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5,946,095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Reconciliation to cash flows:</w:t>
            </w:r>
          </w:p>
        </w:tc>
        <w:tc>
          <w:tcPr>
            <w:tcW w:w="28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2,497,776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1,878,365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Restricted stock compensation expense</w:t>
            </w:r>
          </w:p>
        </w:tc>
        <w:tc>
          <w:tcPr>
            <w:tcW w:w="28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322,588</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Impairment of investments</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Loss from property disposals</w:t>
            </w:r>
          </w:p>
        </w:tc>
        <w:tc>
          <w:tcPr>
            <w:tcW w:w="28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59,632</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66,446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Changes in operating accounts providing (using) cash:</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460"/>
              <w:spacing w:after="0"/>
              <w:rPr>
                <w:sz w:val="20"/>
                <w:szCs w:val="20"/>
                <w:color w:val="auto"/>
              </w:rPr>
            </w:pPr>
            <w:r>
              <w:rPr>
                <w:rFonts w:ascii="Arial" w:cs="Arial" w:eastAsia="Arial" w:hAnsi="Arial"/>
                <w:sz w:val="18"/>
                <w:szCs w:val="18"/>
                <w:color w:val="auto"/>
              </w:rPr>
              <w:t>Trade receivables</w:t>
            </w:r>
          </w:p>
        </w:tc>
        <w:tc>
          <w:tcPr>
            <w:tcW w:w="28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1,454,984</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(517,716)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(6,216,449)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(4,212,962)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4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2,659,498</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w w:val="97"/>
              </w:rPr>
              <w:t>(1,758,173)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6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(1,240,409)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2,013,176</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493,761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7,423,285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2,208,157</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(2,626,476)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(2,859,147)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Sale and maturities of investments</w:t>
            </w:r>
          </w:p>
        </w:tc>
        <w:tc>
          <w:tcPr>
            <w:tcW w:w="28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4,751,977</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1,588,710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Proceeds from property disposals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59,604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Payments received on notes receivable</w:t>
            </w:r>
          </w:p>
        </w:tc>
        <w:tc>
          <w:tcPr>
            <w:tcW w:w="28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83,396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Acquisition of Trumark</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(5,262,601)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(3,077,496)</w:t>
            </w: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w w:val="97"/>
              </w:rPr>
              <w:t>(1,112,547)</w:t>
            </w:r>
          </w:p>
        </w:tc>
        <w:tc>
          <w:tcPr>
            <w:tcW w:w="0" w:type="dxa"/>
            <w:vAlign w:val="bottom"/>
          </w:tcPr>
          <w:p>
            <w:pPr>
              <w:spacing w:after="0"/>
              <w:rPr>
                <w:sz w:val="1"/>
                <w:szCs w:val="1"/>
                <w:color w:val="auto"/>
              </w:rPr>
            </w:pPr>
          </w:p>
        </w:tc>
      </w:tr>
      <w:tr>
        <w:trPr>
          <w:trHeight w:val="364"/>
        </w:trPr>
        <w:tc>
          <w:tcPr>
            <w:tcW w:w="84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dividends paid</w:t>
            </w:r>
          </w:p>
        </w:tc>
        <w:tc>
          <w:tcPr>
            <w:tcW w:w="28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(2,247,686)</w:t>
            </w: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w w:val="97"/>
              </w:rPr>
              <w:t>(2,034,299)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(2,247,686)</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(2,034,299)</w:t>
            </w:r>
          </w:p>
        </w:tc>
        <w:tc>
          <w:tcPr>
            <w:tcW w:w="0" w:type="dxa"/>
            <w:vAlign w:val="bottom"/>
          </w:tcPr>
          <w:p>
            <w:pPr>
              <w:spacing w:after="0"/>
              <w:rPr>
                <w:sz w:val="1"/>
                <w:szCs w:val="1"/>
                <w:color w:val="auto"/>
              </w:rPr>
            </w:pPr>
          </w:p>
        </w:tc>
      </w:tr>
      <w:tr>
        <w:trPr>
          <w:trHeight w:val="245"/>
        </w:trPr>
        <w:tc>
          <w:tcPr>
            <w:tcW w:w="8460" w:type="dxa"/>
            <w:vAlign w:val="bottom"/>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INCREASE (DECREASE) IN CASH AND CASH EQUIVALENTS</w:t>
            </w:r>
          </w:p>
        </w:tc>
        <w:tc>
          <w:tcPr>
            <w:tcW w:w="28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2,098,103</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(938,689)</w:t>
            </w:r>
          </w:p>
        </w:tc>
        <w:tc>
          <w:tcPr>
            <w:tcW w:w="0" w:type="dxa"/>
            <w:vAlign w:val="bottom"/>
          </w:tcPr>
          <w:p>
            <w:pPr>
              <w:spacing w:after="0"/>
              <w:rPr>
                <w:sz w:val="1"/>
                <w:szCs w:val="1"/>
                <w:color w:val="auto"/>
              </w:rPr>
            </w:pPr>
          </w:p>
        </w:tc>
      </w:tr>
      <w:tr>
        <w:trPr>
          <w:trHeight w:val="363"/>
        </w:trPr>
        <w:tc>
          <w:tcPr>
            <w:tcW w:w="846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11,592,939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6,330,004</w:t>
            </w:r>
          </w:p>
        </w:tc>
        <w:tc>
          <w:tcPr>
            <w:tcW w:w="0" w:type="dxa"/>
            <w:vAlign w:val="bottom"/>
          </w:tcPr>
          <w:p>
            <w:pPr>
              <w:spacing w:after="0"/>
              <w:rPr>
                <w:sz w:val="1"/>
                <w:szCs w:val="1"/>
                <w:color w:val="auto"/>
              </w:rPr>
            </w:pPr>
          </w:p>
        </w:tc>
      </w:tr>
      <w:tr>
        <w:trPr>
          <w:trHeight w:val="245"/>
        </w:trPr>
        <w:tc>
          <w:tcPr>
            <w:tcW w:w="8460" w:type="dxa"/>
            <w:vAlign w:val="bottom"/>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9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13,691,042</w:t>
            </w:r>
          </w:p>
        </w:tc>
        <w:tc>
          <w:tcPr>
            <w:tcW w:w="180" w:type="dxa"/>
            <w:vAlign w:val="bottom"/>
            <w:shd w:val="clear" w:color="auto" w:fill="D6F3E8"/>
          </w:tcPr>
          <w:p>
            <w:pPr>
              <w:spacing w:after="0"/>
              <w:rPr>
                <w:sz w:val="18"/>
                <w:szCs w:val="18"/>
                <w:color w:val="auto"/>
              </w:rPr>
            </w:pPr>
          </w:p>
        </w:tc>
        <w:tc>
          <w:tcPr>
            <w:tcW w:w="54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5,391,315</w:t>
            </w:r>
          </w:p>
        </w:tc>
        <w:tc>
          <w:tcPr>
            <w:tcW w:w="0" w:type="dxa"/>
            <w:vAlign w:val="bottom"/>
          </w:tcPr>
          <w:p>
            <w:pPr>
              <w:spacing w:after="0"/>
              <w:rPr>
                <w:sz w:val="1"/>
                <w:szCs w:val="1"/>
                <w:color w:val="auto"/>
              </w:rPr>
            </w:pPr>
          </w:p>
        </w:tc>
      </w:tr>
      <w:tr>
        <w:trPr>
          <w:trHeight w:val="243"/>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84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paid for income taxes</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1,473,790</w:t>
            </w:r>
          </w:p>
        </w:tc>
        <w:tc>
          <w:tcPr>
            <w:tcW w:w="180" w:type="dxa"/>
            <w:vAlign w:val="bottom"/>
            <w:shd w:val="clear" w:color="auto" w:fill="D6F3E8"/>
          </w:tcPr>
          <w:p>
            <w:pPr>
              <w:spacing w:after="0"/>
              <w:rPr>
                <w:sz w:val="18"/>
                <w:szCs w:val="18"/>
                <w:color w:val="auto"/>
              </w:rPr>
            </w:pPr>
          </w:p>
        </w:tc>
        <w:tc>
          <w:tcPr>
            <w:tcW w:w="54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2,823,000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Noncash investing activities-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460"/>
              <w:spacing w:after="0"/>
              <w:rPr>
                <w:sz w:val="20"/>
                <w:szCs w:val="20"/>
                <w:color w:val="auto"/>
              </w:rPr>
            </w:pPr>
            <w:r>
              <w:rPr>
                <w:rFonts w:ascii="Arial" w:cs="Arial" w:eastAsia="Arial" w:hAnsi="Arial"/>
                <w:sz w:val="18"/>
                <w:szCs w:val="18"/>
                <w:color w:val="auto"/>
              </w:rPr>
              <w:t>Capital expenditures in accounts payable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617,352</w:t>
            </w:r>
          </w:p>
        </w:tc>
        <w:tc>
          <w:tcPr>
            <w:tcW w:w="180" w:type="dxa"/>
            <w:vAlign w:val="bottom"/>
          </w:tcPr>
          <w:p>
            <w:pPr>
              <w:spacing w:after="0"/>
              <w:rPr>
                <w:sz w:val="19"/>
                <w:szCs w:val="19"/>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267,042</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 - -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 UNAUDITED</w:t>
      </w:r>
    </w:p>
    <w:p>
      <w:pPr>
        <w:spacing w:after="0" w:line="232" w:lineRule="exact"/>
        <w:rPr>
          <w:sz w:val="20"/>
          <w:szCs w:val="20"/>
          <w:color w:val="auto"/>
        </w:rPr>
      </w:pPr>
    </w:p>
    <w:p>
      <w:pPr>
        <w:ind w:left="580" w:right="20" w:hanging="572"/>
        <w:spacing w:after="0" w:line="314" w:lineRule="auto"/>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April 1, 2007, previously filed with the Securities and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91" w:lineRule="exact"/>
        <w:rPr>
          <w:rFonts w:ascii="Arial" w:cs="Arial" w:eastAsia="Arial" w:hAnsi="Arial"/>
          <w:sz w:val="15"/>
          <w:szCs w:val="15"/>
          <w:color w:val="auto"/>
        </w:rPr>
      </w:pPr>
    </w:p>
    <w:p>
      <w:pPr>
        <w:ind w:left="580" w:right="400"/>
        <w:spacing w:after="0" w:line="268" w:lineRule="auto"/>
        <w:rPr>
          <w:rFonts w:ascii="Arial" w:cs="Arial" w:eastAsia="Arial" w:hAnsi="Arial"/>
          <w:sz w:val="15"/>
          <w:szCs w:val="15"/>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April 1, 2007 filed with the Commission on June 15, 2007.</w:t>
      </w:r>
    </w:p>
    <w:p>
      <w:pPr>
        <w:spacing w:after="0" w:line="118" w:lineRule="exact"/>
        <w:rPr>
          <w:rFonts w:ascii="Arial" w:cs="Arial" w:eastAsia="Arial" w:hAnsi="Arial"/>
          <w:sz w:val="15"/>
          <w:szCs w:val="15"/>
          <w:color w:val="auto"/>
        </w:rPr>
      </w:pPr>
    </w:p>
    <w:p>
      <w:pPr>
        <w:ind w:left="580" w:right="40"/>
        <w:spacing w:after="0" w:line="318" w:lineRule="auto"/>
        <w:rPr>
          <w:rFonts w:ascii="Arial" w:cs="Arial" w:eastAsia="Arial" w:hAnsi="Arial"/>
          <w:sz w:val="15"/>
          <w:szCs w:val="15"/>
          <w:color w:val="auto"/>
        </w:rPr>
      </w:pPr>
      <w:r>
        <w:rPr>
          <w:rFonts w:ascii="Arial" w:cs="Arial" w:eastAsia="Arial" w:hAnsi="Arial"/>
          <w:sz w:val="15"/>
          <w:szCs w:val="15"/>
          <w:color w:val="auto"/>
        </w:rPr>
        <w:t>In the preparation of the Company’s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The Company records any interest and penalties related to income taxes as income tax expense in the condensed statements of income.</w:t>
      </w:r>
    </w:p>
    <w:p>
      <w:pPr>
        <w:sectPr>
          <w:pgSz w:w="11900" w:h="16838" w:orient="portrait"/>
          <w:cols w:equalWidth="0" w:num="1">
            <w:col w:w="11420"/>
          </w:cols>
          <w:pgMar w:left="240" w:top="114" w:right="239" w:bottom="0" w:gutter="0" w:footer="0" w:header="0"/>
        </w:sectPr>
      </w:pPr>
    </w:p>
    <w:bookmarkStart w:id="4" w:name="page5"/>
    <w:bookmarkEnd w:id="4"/>
    <w:p>
      <w:pPr>
        <w:jc w:val="both"/>
        <w:ind w:left="580" w:right="160"/>
        <w:spacing w:after="0" w:line="259" w:lineRule="auto"/>
        <w:rPr>
          <w:sz w:val="20"/>
          <w:szCs w:val="20"/>
          <w:color w:val="auto"/>
        </w:rPr>
      </w:pPr>
      <w:r>
        <w:rPr>
          <w:rFonts w:ascii="Arial" w:cs="Arial" w:eastAsia="Arial" w:hAnsi="Arial"/>
          <w:sz w:val="18"/>
          <w:szCs w:val="18"/>
          <w:color w:val="auto"/>
        </w:rPr>
        <w:t>The Company is subject to U.S. federal income tax as well as income tax of multiple state jurisdictions. The tax years beginning with 2003 remain open to examination by the Internal Revenue Service. The sufficient state jurisdictions of Minnesota, Iowa, North Dakota, South Dakota, and Wisconsin have tax years beginning with 2003 open to examination.</w:t>
      </w:r>
    </w:p>
    <w:p>
      <w:pPr>
        <w:spacing w:after="0" w:line="127"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results of operations for the periods ended September 30, 2007 are not necessarily indicative of the results that may be expected for the full year.</w:t>
      </w:r>
    </w:p>
    <w:p>
      <w:pPr>
        <w:spacing w:after="0" w:line="180" w:lineRule="exact"/>
        <w:rPr>
          <w:rFonts w:ascii="Arial" w:cs="Arial" w:eastAsia="Arial" w:hAnsi="Arial"/>
          <w:sz w:val="16"/>
          <w:szCs w:val="16"/>
          <w:color w:val="auto"/>
        </w:rPr>
      </w:pPr>
    </w:p>
    <w:p>
      <w:pPr>
        <w:ind w:left="580" w:right="24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$3,110,000 and $3,170,000 at September 30, 2007 and April 1, 2007, respectively. Inventory consists principally of finished goods.</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summary of our intangible assets and goodwill is as follows:</w:t>
      </w: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Amortizable</w:t>
            </w:r>
          </w:p>
        </w:tc>
      </w:tr>
      <w:tr>
        <w:trPr>
          <w:trHeight w:val="149"/>
        </w:trPr>
        <w:tc>
          <w:tcPr>
            <w:tcW w:w="46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Intangible Assets</w:t>
            </w:r>
          </w:p>
        </w:tc>
      </w:tr>
      <w:tr>
        <w:trPr>
          <w:trHeight w:val="174"/>
        </w:trPr>
        <w:tc>
          <w:tcPr>
            <w:tcW w:w="46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April 1, 2007</w:t>
            </w:r>
          </w:p>
        </w:tc>
      </w:tr>
      <w:tr>
        <w:trPr>
          <w:trHeight w:val="230"/>
        </w:trPr>
        <w:tc>
          <w:tcPr>
            <w:tcW w:w="4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42"/>
        </w:trPr>
        <w:tc>
          <w:tcPr>
            <w:tcW w:w="46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13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660" w:type="dxa"/>
            <w:vAlign w:val="bottom"/>
            <w:shd w:val="clear" w:color="auto" w:fill="D6F3E8"/>
          </w:tcPr>
          <w:p>
            <w:pPr>
              <w:spacing w:after="0"/>
              <w:rPr>
                <w:sz w:val="20"/>
                <w:szCs w:val="20"/>
                <w:color w:val="auto"/>
              </w:rPr>
            </w:pPr>
            <w:r>
              <w:rPr>
                <w:rFonts w:ascii="Arial" w:cs="Arial" w:eastAsia="Arial" w:hAnsi="Arial"/>
                <w:sz w:val="18"/>
                <w:szCs w:val="18"/>
                <w:color w:val="auto"/>
              </w:rPr>
              <w:t>Gross</w:t>
            </w:r>
          </w:p>
        </w:tc>
        <w:tc>
          <w:tcPr>
            <w:tcW w:w="27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500" w:type="dxa"/>
            <w:vAlign w:val="bottom"/>
            <w:shd w:val="clear" w:color="auto" w:fill="D6F3E8"/>
          </w:tcPr>
          <w:p>
            <w:pPr>
              <w:spacing w:after="0"/>
              <w:rPr>
                <w:sz w:val="18"/>
                <w:szCs w:val="18"/>
                <w:color w:val="auto"/>
              </w:rPr>
            </w:pPr>
          </w:p>
        </w:tc>
        <w:tc>
          <w:tcPr>
            <w:tcW w:w="320" w:type="dxa"/>
            <w:vAlign w:val="bottom"/>
            <w:gridSpan w:val="2"/>
            <w:shd w:val="clear" w:color="auto" w:fill="D6F3E8"/>
          </w:tcPr>
          <w:p>
            <w:pPr>
              <w:jc w:val="right"/>
              <w:ind w:right="3"/>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3,483,033</w:t>
            </w:r>
          </w:p>
        </w:tc>
        <w:tc>
          <w:tcPr>
            <w:tcW w:w="80" w:type="dxa"/>
            <w:vAlign w:val="bottom"/>
            <w:shd w:val="clear" w:color="auto" w:fill="D6F3E8"/>
          </w:tcPr>
          <w:p>
            <w:pPr>
              <w:spacing w:after="0"/>
              <w:rPr>
                <w:sz w:val="18"/>
                <w:szCs w:val="18"/>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(1,643,308)</w:t>
            </w:r>
          </w:p>
        </w:tc>
      </w:tr>
      <w:tr>
        <w:trPr>
          <w:trHeight w:val="237"/>
        </w:trPr>
        <w:tc>
          <w:tcPr>
            <w:tcW w:w="4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13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660" w:type="dxa"/>
            <w:vAlign w:val="bottom"/>
            <w:shd w:val="clear" w:color="auto" w:fill="D6F3E8"/>
          </w:tcPr>
          <w:p>
            <w:pPr>
              <w:spacing w:after="0"/>
              <w:rPr>
                <w:sz w:val="20"/>
                <w:szCs w:val="20"/>
                <w:color w:val="auto"/>
              </w:rPr>
            </w:pPr>
            <w:r>
              <w:rPr>
                <w:rFonts w:ascii="Arial" w:cs="Arial" w:eastAsia="Arial" w:hAnsi="Arial"/>
                <w:sz w:val="18"/>
                <w:szCs w:val="18"/>
                <w:color w:val="auto"/>
              </w:rPr>
              <w:t>Net</w:t>
            </w:r>
          </w:p>
        </w:tc>
        <w:tc>
          <w:tcPr>
            <w:tcW w:w="27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5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1,839,725</w:t>
            </w:r>
          </w:p>
        </w:tc>
        <w:tc>
          <w:tcPr>
            <w:tcW w:w="80" w:type="dxa"/>
            <w:vAlign w:val="bottom"/>
            <w:shd w:val="clear" w:color="auto" w:fill="D6F3E8"/>
          </w:tcPr>
          <w:p>
            <w:pPr>
              <w:spacing w:after="0"/>
              <w:rPr>
                <w:sz w:val="18"/>
                <w:szCs w:val="18"/>
                <w:color w:val="auto"/>
              </w:rPr>
            </w:pPr>
          </w:p>
        </w:tc>
      </w:tr>
      <w:tr>
        <w:trPr>
          <w:trHeight w:val="243"/>
        </w:trPr>
        <w:tc>
          <w:tcPr>
            <w:tcW w:w="46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r>
      <w:tr>
        <w:trPr>
          <w:trHeight w:val="20"/>
        </w:trPr>
        <w:tc>
          <w:tcPr>
            <w:tcW w:w="4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3"/>
        </w:trPr>
        <w:tc>
          <w:tcPr>
            <w:tcW w:w="46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402"/>
              <w:spacing w:after="0"/>
              <w:rPr>
                <w:sz w:val="20"/>
                <w:szCs w:val="20"/>
                <w:color w:val="auto"/>
              </w:rPr>
            </w:pPr>
            <w:r>
              <w:rPr>
                <w:rFonts w:ascii="Arial" w:cs="Arial" w:eastAsia="Arial" w:hAnsi="Arial"/>
                <w:sz w:val="14"/>
                <w:szCs w:val="14"/>
                <w:b w:val="1"/>
                <w:bCs w:val="1"/>
                <w:color w:val="auto"/>
              </w:rPr>
              <w:t>Unamortizable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Amortizable</w:t>
            </w:r>
          </w:p>
        </w:tc>
      </w:tr>
      <w:tr>
        <w:trPr>
          <w:trHeight w:val="149"/>
        </w:trPr>
        <w:tc>
          <w:tcPr>
            <w:tcW w:w="46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342"/>
              <w:spacing w:after="0" w:line="149" w:lineRule="exact"/>
              <w:rPr>
                <w:sz w:val="20"/>
                <w:szCs w:val="20"/>
                <w:color w:val="auto"/>
              </w:rPr>
            </w:pPr>
            <w:r>
              <w:rPr>
                <w:rFonts w:ascii="Arial" w:cs="Arial" w:eastAsia="Arial" w:hAnsi="Arial"/>
                <w:sz w:val="14"/>
                <w:szCs w:val="14"/>
                <w:b w:val="1"/>
                <w:bCs w:val="1"/>
                <w:color w:val="auto"/>
                <w:w w:val="91"/>
              </w:rPr>
              <w:t>Intangible Assets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Intangible Assets</w:t>
            </w:r>
          </w:p>
        </w:tc>
      </w:tr>
      <w:tr>
        <w:trPr>
          <w:trHeight w:val="174"/>
        </w:trPr>
        <w:tc>
          <w:tcPr>
            <w:tcW w:w="46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4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September 30, 2007</w:t>
            </w:r>
          </w:p>
        </w:tc>
      </w:tr>
      <w:tr>
        <w:trPr>
          <w:trHeight w:val="230"/>
        </w:trPr>
        <w:tc>
          <w:tcPr>
            <w:tcW w:w="4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42"/>
        </w:trPr>
        <w:tc>
          <w:tcPr>
            <w:tcW w:w="4660" w:type="dxa"/>
            <w:vAlign w:val="bottom"/>
          </w:tcPr>
          <w:p>
            <w:pPr>
              <w:spacing w:after="0"/>
              <w:rPr>
                <w:sz w:val="12"/>
                <w:szCs w:val="12"/>
                <w:color w:val="auto"/>
              </w:rPr>
            </w:pPr>
          </w:p>
        </w:tc>
        <w:tc>
          <w:tcPr>
            <w:tcW w:w="2940" w:type="dxa"/>
            <w:vAlign w:val="bottom"/>
            <w:gridSpan w:val="2"/>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13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660" w:type="dxa"/>
            <w:vAlign w:val="bottom"/>
            <w:shd w:val="clear" w:color="auto" w:fill="D6F3E8"/>
          </w:tcPr>
          <w:p>
            <w:pPr>
              <w:spacing w:after="0"/>
              <w:rPr>
                <w:sz w:val="20"/>
                <w:szCs w:val="20"/>
                <w:color w:val="auto"/>
              </w:rPr>
            </w:pPr>
            <w:r>
              <w:rPr>
                <w:rFonts w:ascii="Arial" w:cs="Arial" w:eastAsia="Arial" w:hAnsi="Arial"/>
                <w:sz w:val="18"/>
                <w:szCs w:val="18"/>
                <w:color w:val="auto"/>
              </w:rPr>
              <w:t>Gross</w:t>
            </w:r>
          </w:p>
        </w:tc>
        <w:tc>
          <w:tcPr>
            <w:tcW w:w="2940" w:type="dxa"/>
            <w:vAlign w:val="bottom"/>
            <w:gridSpan w:val="2"/>
            <w:shd w:val="clear" w:color="auto" w:fill="D6F3E8"/>
          </w:tcPr>
          <w:p>
            <w:pPr>
              <w:jc w:val="right"/>
              <w:ind w:right="3"/>
              <w:spacing w:after="0"/>
              <w:rPr>
                <w:sz w:val="20"/>
                <w:szCs w:val="20"/>
                <w:color w:val="auto"/>
              </w:rPr>
            </w:pPr>
            <w:r>
              <w:rPr>
                <w:rFonts w:ascii="Arial" w:cs="Arial" w:eastAsia="Arial" w:hAnsi="Arial"/>
                <w:sz w:val="18"/>
                <w:szCs w:val="18"/>
                <w:color w:val="auto"/>
              </w:rPr>
              <w:t>$</w:t>
            </w:r>
          </w:p>
        </w:tc>
        <w:tc>
          <w:tcPr>
            <w:tcW w:w="1500" w:type="dxa"/>
            <w:vAlign w:val="bottom"/>
            <w:shd w:val="clear" w:color="auto" w:fill="D6F3E8"/>
          </w:tcPr>
          <w:p>
            <w:pPr>
              <w:jc w:val="right"/>
              <w:ind w:right="102"/>
              <w:spacing w:after="0"/>
              <w:rPr>
                <w:sz w:val="20"/>
                <w:szCs w:val="20"/>
                <w:color w:val="auto"/>
              </w:rPr>
            </w:pPr>
            <w:r>
              <w:rPr>
                <w:rFonts w:ascii="Arial" w:cs="Arial" w:eastAsia="Arial" w:hAnsi="Arial"/>
                <w:sz w:val="18"/>
                <w:szCs w:val="18"/>
                <w:color w:val="auto"/>
              </w:rPr>
              <w:t>1,228,000</w:t>
            </w:r>
          </w:p>
        </w:tc>
        <w:tc>
          <w:tcPr>
            <w:tcW w:w="320" w:type="dxa"/>
            <w:vAlign w:val="bottom"/>
            <w:gridSpan w:val="2"/>
            <w:shd w:val="clear" w:color="auto" w:fill="D6F3E8"/>
          </w:tcPr>
          <w:p>
            <w:pPr>
              <w:jc w:val="right"/>
              <w:ind w:right="3"/>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6,214,032</w:t>
            </w:r>
          </w:p>
        </w:tc>
        <w:tc>
          <w:tcPr>
            <w:tcW w:w="80" w:type="dxa"/>
            <w:vAlign w:val="bottom"/>
            <w:shd w:val="clear" w:color="auto" w:fill="D6F3E8"/>
          </w:tcPr>
          <w:p>
            <w:pPr>
              <w:spacing w:after="0"/>
              <w:rPr>
                <w:sz w:val="18"/>
                <w:szCs w:val="18"/>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10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(1,822,784)</w:t>
            </w:r>
          </w:p>
        </w:tc>
      </w:tr>
      <w:tr>
        <w:trPr>
          <w:trHeight w:val="237"/>
        </w:trPr>
        <w:tc>
          <w:tcPr>
            <w:tcW w:w="4660" w:type="dxa"/>
            <w:vAlign w:val="bottom"/>
          </w:tcPr>
          <w:p>
            <w:pPr>
              <w:spacing w:after="0"/>
              <w:rPr>
                <w:sz w:val="20"/>
                <w:szCs w:val="20"/>
                <w:color w:val="auto"/>
              </w:rPr>
            </w:pPr>
          </w:p>
        </w:tc>
        <w:tc>
          <w:tcPr>
            <w:tcW w:w="2940" w:type="dxa"/>
            <w:vAlign w:val="bottom"/>
            <w:gridSpan w:val="2"/>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13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660" w:type="dxa"/>
            <w:vAlign w:val="bottom"/>
            <w:shd w:val="clear" w:color="auto" w:fill="D6F3E8"/>
          </w:tcPr>
          <w:p>
            <w:pPr>
              <w:spacing w:after="0"/>
              <w:rPr>
                <w:sz w:val="20"/>
                <w:szCs w:val="20"/>
                <w:color w:val="auto"/>
              </w:rPr>
            </w:pPr>
            <w:r>
              <w:rPr>
                <w:rFonts w:ascii="Arial" w:cs="Arial" w:eastAsia="Arial" w:hAnsi="Arial"/>
                <w:sz w:val="18"/>
                <w:szCs w:val="18"/>
                <w:color w:val="auto"/>
              </w:rPr>
              <w:t>Net</w:t>
            </w:r>
          </w:p>
        </w:tc>
        <w:tc>
          <w:tcPr>
            <w:tcW w:w="278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D6F3E8"/>
          </w:tcPr>
          <w:p>
            <w:pPr>
              <w:jc w:val="right"/>
              <w:ind w:right="102"/>
              <w:spacing w:after="0"/>
              <w:rPr>
                <w:sz w:val="20"/>
                <w:szCs w:val="20"/>
                <w:color w:val="auto"/>
              </w:rPr>
            </w:pPr>
            <w:r>
              <w:rPr>
                <w:rFonts w:ascii="Arial" w:cs="Arial" w:eastAsia="Arial" w:hAnsi="Arial"/>
                <w:sz w:val="18"/>
                <w:szCs w:val="18"/>
                <w:color w:val="auto"/>
              </w:rPr>
              <w:t>1,228,000</w:t>
            </w:r>
          </w:p>
        </w:tc>
        <w:tc>
          <w:tcPr>
            <w:tcW w:w="320" w:type="dxa"/>
            <w:vAlign w:val="bottom"/>
            <w:tcBorders>
              <w:top w:val="single" w:sz="8" w:color="auto"/>
            </w:tcBorders>
            <w:gridSpan w:val="2"/>
            <w:shd w:val="clear" w:color="auto" w:fill="D6F3E8"/>
          </w:tcPr>
          <w:p>
            <w:pPr>
              <w:jc w:val="right"/>
              <w:ind w:right="3"/>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4,391,248</w:t>
            </w:r>
          </w:p>
        </w:tc>
        <w:tc>
          <w:tcPr>
            <w:tcW w:w="80" w:type="dxa"/>
            <w:vAlign w:val="bottom"/>
            <w:shd w:val="clear" w:color="auto" w:fill="D6F3E8"/>
          </w:tcPr>
          <w:p>
            <w:pPr>
              <w:spacing w:after="0"/>
              <w:rPr>
                <w:sz w:val="18"/>
                <w:szCs w:val="18"/>
                <w:color w:val="auto"/>
              </w:rPr>
            </w:pPr>
          </w:p>
        </w:tc>
      </w:tr>
      <w:tr>
        <w:trPr>
          <w:trHeight w:val="243"/>
        </w:trPr>
        <w:tc>
          <w:tcPr>
            <w:tcW w:w="46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4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Intangible assets consist primarily of customer lists, trademarks, and trade names in current and previous business acquisitions.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change in the carrying amount of goodwill (included in Intangible Assets on the statement of financial condition) for the six months ended</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September 30, 2007 is as follows:</w:t>
      </w:r>
    </w:p>
    <w:p>
      <w:pPr>
        <w:spacing w:after="0" w:line="26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440" w:type="dxa"/>
            <w:vAlign w:val="bottom"/>
            <w:shd w:val="clear" w:color="auto" w:fill="D6F3E8"/>
          </w:tcPr>
          <w:p>
            <w:pPr>
              <w:spacing w:after="0"/>
              <w:rPr>
                <w:sz w:val="20"/>
                <w:szCs w:val="20"/>
                <w:color w:val="auto"/>
              </w:rPr>
            </w:pPr>
            <w:r>
              <w:rPr>
                <w:rFonts w:ascii="Arial" w:cs="Arial" w:eastAsia="Arial" w:hAnsi="Arial"/>
                <w:sz w:val="18"/>
                <w:szCs w:val="18"/>
                <w:color w:val="auto"/>
              </w:rPr>
              <w:t>Balance April 1, 2007</w:t>
            </w:r>
          </w:p>
        </w:tc>
        <w:tc>
          <w:tcPr>
            <w:tcW w:w="34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9440" w:type="dxa"/>
            <w:vAlign w:val="bottom"/>
          </w:tcPr>
          <w:p>
            <w:pPr>
              <w:spacing w:after="0"/>
              <w:rPr>
                <w:sz w:val="20"/>
                <w:szCs w:val="20"/>
                <w:color w:val="auto"/>
              </w:rPr>
            </w:pPr>
            <w:r>
              <w:rPr>
                <w:rFonts w:ascii="Arial" w:cs="Arial" w:eastAsia="Arial" w:hAnsi="Arial"/>
                <w:sz w:val="18"/>
                <w:szCs w:val="18"/>
                <w:color w:val="auto"/>
              </w:rPr>
              <w:t>Goodwill associated with acquisition</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1,520,768</w:t>
            </w:r>
          </w:p>
        </w:tc>
        <w:tc>
          <w:tcPr>
            <w:tcW w:w="120" w:type="dxa"/>
            <w:vAlign w:val="bottom"/>
          </w:tcPr>
          <w:p>
            <w:pPr>
              <w:spacing w:after="0"/>
              <w:rPr>
                <w:sz w:val="19"/>
                <w:szCs w:val="19"/>
                <w:color w:val="auto"/>
              </w:rPr>
            </w:pPr>
          </w:p>
        </w:tc>
      </w:tr>
      <w:tr>
        <w:trPr>
          <w:trHeight w:val="237"/>
        </w:trPr>
        <w:tc>
          <w:tcPr>
            <w:tcW w:w="9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9440" w:type="dxa"/>
            <w:vAlign w:val="bottom"/>
            <w:shd w:val="clear" w:color="auto" w:fill="D6F3E8"/>
          </w:tcPr>
          <w:p>
            <w:pPr>
              <w:spacing w:after="0"/>
              <w:rPr>
                <w:sz w:val="20"/>
                <w:szCs w:val="20"/>
                <w:color w:val="auto"/>
              </w:rPr>
            </w:pPr>
            <w:r>
              <w:rPr>
                <w:rFonts w:ascii="Arial" w:cs="Arial" w:eastAsia="Arial" w:hAnsi="Arial"/>
                <w:sz w:val="18"/>
                <w:szCs w:val="18"/>
                <w:color w:val="auto"/>
              </w:rPr>
              <w:t>Balance September 30, 2007</w:t>
            </w:r>
          </w:p>
        </w:tc>
        <w:tc>
          <w:tcPr>
            <w:tcW w:w="34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1,520,768</w:t>
            </w:r>
          </w:p>
        </w:tc>
        <w:tc>
          <w:tcPr>
            <w:tcW w:w="120" w:type="dxa"/>
            <w:vAlign w:val="bottom"/>
            <w:shd w:val="clear" w:color="auto" w:fill="D6F3E8"/>
          </w:tcPr>
          <w:p>
            <w:pPr>
              <w:spacing w:after="0"/>
              <w:rPr>
                <w:sz w:val="18"/>
                <w:szCs w:val="18"/>
                <w:color w:val="auto"/>
              </w:rPr>
            </w:pPr>
          </w:p>
        </w:tc>
      </w:tr>
      <w:tr>
        <w:trPr>
          <w:trHeight w:val="243"/>
        </w:trPr>
        <w:tc>
          <w:tcPr>
            <w:tcW w:w="9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9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income and its components, net of tax, were as follows:</w:t>
      </w: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68"/>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82"/>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ind w:right="377"/>
              <w:spacing w:after="0"/>
              <w:rPr>
                <w:sz w:val="20"/>
                <w:szCs w:val="20"/>
                <w:color w:val="auto"/>
              </w:rPr>
            </w:pPr>
            <w:r>
              <w:rPr>
                <w:rFonts w:ascii="Arial" w:cs="Arial" w:eastAsia="Arial" w:hAnsi="Arial"/>
                <w:sz w:val="14"/>
                <w:szCs w:val="14"/>
                <w:b w:val="1"/>
                <w:bCs w:val="1"/>
                <w:color w:val="auto"/>
                <w:w w:val="83"/>
              </w:rPr>
              <w:t>2006</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62"/>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377"/>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4"/>
                <w:szCs w:val="14"/>
                <w:color w:val="auto"/>
              </w:rPr>
            </w:pPr>
          </w:p>
        </w:tc>
      </w:tr>
      <w:tr>
        <w:trPr>
          <w:trHeight w:val="123"/>
        </w:trPr>
        <w:tc>
          <w:tcPr>
            <w:tcW w:w="5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gridSpan w:val="2"/>
          </w:tcPr>
          <w:p>
            <w:pPr>
              <w:spacing w:after="0"/>
              <w:rPr>
                <w:sz w:val="10"/>
                <w:szCs w:val="10"/>
                <w:color w:val="auto"/>
              </w:rPr>
            </w:pPr>
          </w:p>
        </w:tc>
      </w:tr>
      <w:tr>
        <w:trPr>
          <w:trHeight w:val="216"/>
        </w:trPr>
        <w:tc>
          <w:tcPr>
            <w:tcW w:w="500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2,921,419</w:t>
            </w:r>
          </w:p>
        </w:tc>
        <w:tc>
          <w:tcPr>
            <w:tcW w:w="780" w:type="dxa"/>
            <w:vAlign w:val="bottom"/>
            <w:gridSpan w:val="2"/>
            <w:shd w:val="clear" w:color="auto" w:fill="D6F3E8"/>
          </w:tcPr>
          <w:p>
            <w:pPr>
              <w:jc w:val="right"/>
              <w:ind w:right="27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w w:val="89"/>
              </w:rPr>
              <w:t>3,146,128</w:t>
            </w: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5,872,489</w:t>
            </w:r>
          </w:p>
        </w:tc>
        <w:tc>
          <w:tcPr>
            <w:tcW w:w="420" w:type="dxa"/>
            <w:vAlign w:val="bottom"/>
            <w:shd w:val="clear" w:color="auto" w:fill="D6F3E8"/>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4"/>
              </w:rPr>
              <w:t>5,946,095</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Available-for-sale investments unrealized gain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57,080</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80,449</w:t>
            </w:r>
          </w:p>
        </w:tc>
        <w:tc>
          <w:tcPr>
            <w:tcW w:w="28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36,499</w:t>
            </w:r>
          </w:p>
        </w:tc>
        <w:tc>
          <w:tcPr>
            <w:tcW w:w="4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79,637</w:t>
            </w:r>
          </w:p>
        </w:tc>
      </w:tr>
      <w:tr>
        <w:trPr>
          <w:trHeight w:val="237"/>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r>
      <w:tr>
        <w:trPr>
          <w:trHeight w:val="210"/>
        </w:trPr>
        <w:tc>
          <w:tcPr>
            <w:tcW w:w="5000" w:type="dxa"/>
            <w:vAlign w:val="bottom"/>
            <w:shd w:val="clear" w:color="auto" w:fill="D6F3E8"/>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2,978,499</w:t>
            </w:r>
          </w:p>
        </w:tc>
        <w:tc>
          <w:tcPr>
            <w:tcW w:w="320" w:type="dxa"/>
            <w:vAlign w:val="bottom"/>
            <w:shd w:val="clear" w:color="auto" w:fill="D6F3E8"/>
          </w:tcPr>
          <w:p>
            <w:pPr>
              <w:spacing w:after="0"/>
              <w:rPr>
                <w:sz w:val="18"/>
                <w:szCs w:val="18"/>
                <w:color w:val="auto"/>
              </w:rPr>
            </w:pPr>
          </w:p>
        </w:tc>
        <w:tc>
          <w:tcPr>
            <w:tcW w:w="460" w:type="dxa"/>
            <w:vAlign w:val="bottom"/>
            <w:tcBorders>
              <w:top w:val="single" w:sz="8" w:color="auto"/>
            </w:tcBorders>
            <w:shd w:val="clear" w:color="auto" w:fill="D6F3E8"/>
          </w:tcPr>
          <w:p>
            <w:pPr>
              <w:jc w:val="right"/>
              <w:ind w:right="27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89"/>
              </w:rPr>
              <w:t>3,226,577</w:t>
            </w:r>
          </w:p>
        </w:tc>
        <w:tc>
          <w:tcPr>
            <w:tcW w:w="320" w:type="dxa"/>
            <w:vAlign w:val="bottom"/>
            <w:shd w:val="clear" w:color="auto" w:fill="D6F3E8"/>
          </w:tcPr>
          <w:p>
            <w:pPr>
              <w:spacing w:after="0"/>
              <w:rPr>
                <w:sz w:val="18"/>
                <w:szCs w:val="18"/>
                <w:color w:val="auto"/>
              </w:rPr>
            </w:pPr>
          </w:p>
        </w:tc>
        <w:tc>
          <w:tcPr>
            <w:tcW w:w="280" w:type="dxa"/>
            <w:vAlign w:val="bottom"/>
            <w:tcBorders>
              <w:top w:val="single" w:sz="8" w:color="auto"/>
            </w:tcBorders>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5,908,988</w:t>
            </w:r>
          </w:p>
        </w:tc>
        <w:tc>
          <w:tcPr>
            <w:tcW w:w="320" w:type="dxa"/>
            <w:vAlign w:val="bottom"/>
            <w:shd w:val="clear" w:color="auto" w:fill="D6F3E8"/>
          </w:tcPr>
          <w:p>
            <w:pPr>
              <w:spacing w:after="0"/>
              <w:rPr>
                <w:sz w:val="18"/>
                <w:szCs w:val="18"/>
                <w:color w:val="auto"/>
              </w:rPr>
            </w:pPr>
          </w:p>
        </w:tc>
        <w:tc>
          <w:tcPr>
            <w:tcW w:w="420" w:type="dxa"/>
            <w:vAlign w:val="bottom"/>
            <w:tcBorders>
              <w:top w:val="single" w:sz="8" w:color="auto"/>
            </w:tcBorders>
            <w:shd w:val="clear" w:color="auto" w:fill="D6F3E8"/>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4"/>
              </w:rPr>
              <w:t>6,025,732</w:t>
            </w:r>
          </w:p>
        </w:tc>
        <w:tc>
          <w:tcPr>
            <w:tcW w:w="100" w:type="dxa"/>
            <w:vAlign w:val="bottom"/>
            <w:shd w:val="clear" w:color="auto" w:fill="D6F3E8"/>
          </w:tcPr>
          <w:p>
            <w:pPr>
              <w:spacing w:after="0"/>
              <w:rPr>
                <w:sz w:val="18"/>
                <w:szCs w:val="18"/>
                <w:color w:val="auto"/>
              </w:rPr>
            </w:pPr>
          </w:p>
        </w:tc>
      </w:tr>
      <w:tr>
        <w:trPr>
          <w:trHeight w:val="243"/>
        </w:trPr>
        <w:tc>
          <w:tcPr>
            <w:tcW w:w="5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right="80" w:hanging="572"/>
        <w:spacing w:after="0" w:line="332"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adopted Financial Accounting Standards Board (FASB) Interpretation (FIN) No. 48, “Accounting for Uncertainty in Income Taxes - an interpretation of FASB Statement No. 109” on April 2, 2007. The adoption of FIN 48 resulted in no impact on our results of operations and financial condition.</w:t>
      </w:r>
    </w:p>
    <w:p>
      <w:pPr>
        <w:spacing w:after="0" w:line="139" w:lineRule="exact"/>
        <w:rPr>
          <w:rFonts w:ascii="Arial" w:cs="Arial" w:eastAsia="Arial" w:hAnsi="Arial"/>
          <w:sz w:val="16"/>
          <w:szCs w:val="16"/>
          <w:color w:val="auto"/>
        </w:rPr>
      </w:pPr>
    </w:p>
    <w:p>
      <w:pPr>
        <w:ind w:left="580" w:right="80"/>
        <w:spacing w:after="0" w:line="306" w:lineRule="auto"/>
        <w:rPr>
          <w:rFonts w:ascii="Arial" w:cs="Arial" w:eastAsia="Arial" w:hAnsi="Arial"/>
          <w:sz w:val="16"/>
          <w:szCs w:val="16"/>
          <w:color w:val="auto"/>
        </w:rPr>
      </w:pPr>
      <w:r>
        <w:rPr>
          <w:rFonts w:ascii="Arial" w:cs="Arial" w:eastAsia="Arial" w:hAnsi="Arial"/>
          <w:sz w:val="16"/>
          <w:szCs w:val="16"/>
          <w:color w:val="auto"/>
        </w:rPr>
        <w:t>In September 2006, the FASB issued Statement of Financial Accounting Standards (SFAS) No. 157, “Fair Value Measurements.” This statement establishes a consistent framework for measuring fair value and expands disclosures on fair value measurements. SFAS 157 is effective for the Company starting in fiscal 2009. We have not determined the impact, if any, the adoption of this statement will have on our financial statements.</w:t>
      </w:r>
    </w:p>
    <w:p>
      <w:pPr>
        <w:spacing w:after="0" w:line="93" w:lineRule="exact"/>
        <w:rPr>
          <w:rFonts w:ascii="Arial" w:cs="Arial" w:eastAsia="Arial" w:hAnsi="Arial"/>
          <w:sz w:val="16"/>
          <w:szCs w:val="16"/>
          <w:color w:val="auto"/>
        </w:rPr>
      </w:pPr>
    </w:p>
    <w:p>
      <w:pPr>
        <w:ind w:left="580" w:right="40"/>
        <w:spacing w:after="0" w:line="256" w:lineRule="auto"/>
        <w:rPr>
          <w:rFonts w:ascii="Arial" w:cs="Arial" w:eastAsia="Arial" w:hAnsi="Arial"/>
          <w:sz w:val="16"/>
          <w:szCs w:val="16"/>
          <w:color w:val="auto"/>
        </w:rPr>
      </w:pPr>
      <w:r>
        <w:rPr>
          <w:rFonts w:ascii="Arial" w:cs="Arial" w:eastAsia="Arial" w:hAnsi="Arial"/>
          <w:sz w:val="18"/>
          <w:szCs w:val="18"/>
          <w:color w:val="auto"/>
        </w:rPr>
        <w:t>In February 2007, the FASB issued SFAS No. 159, “The Fair Value Option for Financial Assets and Financial Liabilities.” SFAS 159 permits entities to choose to measure many financial instruments and certain other items at fair value that are not currently required to be measured at fair value. SFAS 159 is effective for fiscal years beginning after November 15, 2007. We are currently evaluating the impact of adopting SFAS 159 on our results of operations and financial condition.</w:t>
      </w:r>
    </w:p>
    <w:p>
      <w:pPr>
        <w:spacing w:after="0" w:line="129" w:lineRule="exact"/>
        <w:rPr>
          <w:rFonts w:ascii="Arial" w:cs="Arial" w:eastAsia="Arial" w:hAnsi="Arial"/>
          <w:sz w:val="16"/>
          <w:szCs w:val="16"/>
          <w:color w:val="auto"/>
        </w:rPr>
      </w:pPr>
    </w:p>
    <w:p>
      <w:pPr>
        <w:jc w:val="both"/>
        <w:ind w:left="580" w:right="280"/>
        <w:spacing w:after="0" w:line="335" w:lineRule="auto"/>
        <w:rPr>
          <w:rFonts w:ascii="Arial" w:cs="Arial" w:eastAsia="Arial" w:hAnsi="Arial"/>
          <w:sz w:val="16"/>
          <w:szCs w:val="16"/>
          <w:color w:val="auto"/>
        </w:rPr>
      </w:pPr>
      <w:r>
        <w:rPr>
          <w:rFonts w:ascii="Arial" w:cs="Arial" w:eastAsia="Arial" w:hAnsi="Arial"/>
          <w:sz w:val="15"/>
          <w:szCs w:val="15"/>
          <w:color w:val="auto"/>
        </w:rPr>
        <w:t>In June 2007, the FASB ratified the Emerging Issues Task Force (EITF) Issue No. 06-11, “Accounting for Income Tax Benefits of Dividends on Share Based Payment Awards.” EITF 06-11 requires companies to recognize the income tax benefit realized from dividends or dividend equivalents that are charged to retained earnings and paid to employees for nonvested equity-classified employee share-based awards as an increase to additional paid-in</w:t>
      </w:r>
    </w:p>
    <w:p>
      <w:pPr>
        <w:sectPr>
          <w:pgSz w:w="11900" w:h="16838" w:orient="portrait"/>
          <w:cols w:equalWidth="0" w:num="1">
            <w:col w:w="11420"/>
          </w:cols>
          <w:pgMar w:left="240" w:top="131" w:right="239" w:bottom="0" w:gutter="0" w:footer="0" w:header="0"/>
        </w:sectPr>
      </w:pPr>
    </w:p>
    <w:bookmarkStart w:id="5" w:name="page6"/>
    <w:bookmarkEnd w:id="5"/>
    <w:p>
      <w:pPr>
        <w:spacing w:after="0" w:line="62" w:lineRule="exact"/>
        <w:rPr>
          <w:sz w:val="20"/>
          <w:szCs w:val="20"/>
          <w:color w:val="auto"/>
        </w:rPr>
      </w:pPr>
    </w:p>
    <w:p>
      <w:pPr>
        <w:ind w:left="580" w:right="260"/>
        <w:spacing w:after="0" w:line="268" w:lineRule="auto"/>
        <w:rPr>
          <w:sz w:val="20"/>
          <w:szCs w:val="20"/>
          <w:color w:val="auto"/>
        </w:rPr>
      </w:pPr>
      <w:r>
        <w:rPr>
          <w:rFonts w:ascii="Arial" w:cs="Arial" w:eastAsia="Arial" w:hAnsi="Arial"/>
          <w:sz w:val="18"/>
          <w:szCs w:val="18"/>
          <w:color w:val="auto"/>
        </w:rPr>
        <w:t>capital. EITF 06-11 is effective for fiscal years beginning after September 15, 2007. We are currently evaluating the impact of adopting EITF 06-11 on our results of operations and financial condition.</w:t>
      </w:r>
    </w:p>
    <w:p>
      <w:pPr>
        <w:spacing w:after="0" w:line="118" w:lineRule="exact"/>
        <w:rPr>
          <w:sz w:val="20"/>
          <w:szCs w:val="20"/>
          <w:color w:val="auto"/>
        </w:rPr>
      </w:pPr>
    </w:p>
    <w:p>
      <w:pPr>
        <w:ind w:left="580" w:right="40"/>
        <w:spacing w:after="0" w:line="294" w:lineRule="auto"/>
        <w:rPr>
          <w:sz w:val="20"/>
          <w:szCs w:val="20"/>
          <w:color w:val="auto"/>
        </w:rPr>
      </w:pPr>
      <w:r>
        <w:rPr>
          <w:rFonts w:ascii="Arial" w:cs="Arial" w:eastAsia="Arial" w:hAnsi="Arial"/>
          <w:sz w:val="16"/>
          <w:szCs w:val="16"/>
          <w:color w:val="auto"/>
        </w:rPr>
        <w:t>In June 2007, the FASB ratified EITF Issue No. 07-03, “Accounting for Nonrefundable Advance Payments for Goods and Services Received for Use in Future Research and Development Activities.” EITF 07-03 requires companies to defer nonrefundable advance payments for goods and services and to expense that advance payment as the goods are delivered or services are rendered. If the company does not expect to have the goods delivered or services performed, the advance should be expensed. EITF 07-03 is effective for fiscal years beginning after December 15, 2007. We are currently evaluating the impact of adopting EITF 07-03 on our results of operations and financial condition.</w:t>
      </w:r>
    </w:p>
    <w:p>
      <w:pPr>
        <w:spacing w:after="0" w:line="102" w:lineRule="exact"/>
        <w:rPr>
          <w:sz w:val="20"/>
          <w:szCs w:val="20"/>
          <w:color w:val="auto"/>
        </w:rPr>
      </w:pPr>
    </w:p>
    <w:p>
      <w:pPr>
        <w:ind w:left="580" w:right="240" w:hanging="572"/>
        <w:spacing w:after="0" w:line="259"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involved in various legal actions arising from the normal course of business from time to time. Management is of the opinion that any judgment or settlement resulting from pending or threatened litigation would not have a material adverse effect on the financial position, results of operations or cash flows of the Company.</w:t>
      </w:r>
    </w:p>
    <w:p>
      <w:pPr>
        <w:spacing w:after="0" w:line="126" w:lineRule="exact"/>
        <w:rPr>
          <w:rFonts w:ascii="Arial" w:cs="Arial" w:eastAsia="Arial" w:hAnsi="Arial"/>
          <w:sz w:val="18"/>
          <w:szCs w:val="18"/>
          <w:color w:val="auto"/>
        </w:rPr>
      </w:pPr>
    </w:p>
    <w:p>
      <w:pPr>
        <w:ind w:left="580" w:right="40"/>
        <w:spacing w:after="0" w:line="286" w:lineRule="auto"/>
        <w:rPr>
          <w:rFonts w:ascii="Arial" w:cs="Arial" w:eastAsia="Arial" w:hAnsi="Arial"/>
          <w:sz w:val="18"/>
          <w:szCs w:val="18"/>
          <w:color w:val="auto"/>
        </w:rPr>
      </w:pPr>
      <w:r>
        <w:rPr>
          <w:rFonts w:ascii="Arial" w:cs="Arial" w:eastAsia="Arial" w:hAnsi="Arial"/>
          <w:sz w:val="16"/>
          <w:szCs w:val="16"/>
          <w:color w:val="auto"/>
        </w:rPr>
        <w:t>The Company has two leases of land, and at the end of the lease term (currently 2018 if the leases are not renewed), the Company has a specified amount of time to remove the property and buildings. At the end of the specified amount of time, anything that remains on the land becomes the property of the lessor, and the lessor has the option to either maintain the property or remove the property at the Company’s expense. The Company has not been able to reasonably estimate the fair value of the asset retirement obligations, primarily due to the combination of the following factors: the leases do not expire in the near future; the Company has a history of extending the leases with the lessor and currently intends to do so at expiration of this lease period; the lessor does not have a history of terminating leases with its tenants; and because it is more likely than not that the buildings will have value at the end of the lease life and therefore, may not be removed by either the lessee or the lessor. Therefore, in accordance with SFAS No. 143, “Accounting for Asset Retirement Obligations,” and FIN 47, “Accounting for Conditional Asset Retirement Obligations- an interpretation of FASB Statement No. 143,” the Company has not recorded an asset retirement obligation as of September 30, 2007. The Company will continue to monitor the factors surrounding the requirement to record an asset retirement obligation and will recognize the fair value of a liability in the period in which it is incurred and a reasonable estimate can be made.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80" w:right="20" w:hanging="572"/>
        <w:spacing w:after="0" w:line="256"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December 15, 2006, the Company issued 45,257 shares of restricted stock to certain employees of the Company. The restricted stock awards are recorded as compensation cost over the requisite vesting period, which is one year of service, based on the market value on the date of grant. The grant date fair value on December 15, 2006 was $14.09. As of September 30, 2007, there was approximately $133,000 of total unrecognized compensation cost related to nonvested share-based compensation for this award.</w:t>
      </w:r>
    </w:p>
    <w:p>
      <w:pPr>
        <w:spacing w:after="0" w:line="129" w:lineRule="exact"/>
        <w:rPr>
          <w:rFonts w:ascii="Arial" w:cs="Arial" w:eastAsia="Arial" w:hAnsi="Arial"/>
          <w:sz w:val="18"/>
          <w:szCs w:val="18"/>
          <w:color w:val="auto"/>
        </w:rPr>
      </w:pPr>
    </w:p>
    <w:p>
      <w:pPr>
        <w:ind w:left="580" w:right="20"/>
        <w:spacing w:after="0" w:line="298" w:lineRule="auto"/>
        <w:rPr>
          <w:rFonts w:ascii="Arial" w:cs="Arial" w:eastAsia="Arial" w:hAnsi="Arial"/>
          <w:sz w:val="18"/>
          <w:szCs w:val="18"/>
          <w:color w:val="auto"/>
        </w:rPr>
      </w:pPr>
      <w:r>
        <w:rPr>
          <w:rFonts w:ascii="Arial" w:cs="Arial" w:eastAsia="Arial" w:hAnsi="Arial"/>
          <w:sz w:val="16"/>
          <w:szCs w:val="16"/>
          <w:color w:val="auto"/>
        </w:rPr>
        <w:t>On September 18, 2007, the Company issued 7,000 shares of restricted stock to the Board of Directors as part of their annual retainer for their Board services. The restricted stock awards are expensed over the requisite vesting period, which is one year of service, based on the market value on the date of grant. The grant date fair value on September 18, 2007 was $14.48. As of September 30, 2007, there was approximately $98,000 of total unrecognized compensation cost related to nonvested share-based compensation for this award.</w:t>
      </w:r>
    </w:p>
    <w:p>
      <w:pPr>
        <w:spacing w:after="0" w:line="99" w:lineRule="exact"/>
        <w:rPr>
          <w:rFonts w:ascii="Arial" w:cs="Arial" w:eastAsia="Arial" w:hAnsi="Arial"/>
          <w:sz w:val="18"/>
          <w:szCs w:val="18"/>
          <w:color w:val="auto"/>
        </w:rPr>
      </w:pPr>
    </w:p>
    <w:p>
      <w:pPr>
        <w:ind w:left="580" w:right="340" w:hanging="572"/>
        <w:spacing w:after="0" w:line="298"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May 15, 2007, the Company signed an asset purchase agreement with Trumark, Inc., Trumark Ltd., Profloc Inc. (collectively Trumark) and the shareholders of each entity, under which the Company agreed to acquire substantially all of the assets of the entities and assume certain operating liabilities for approximately $6,000,000 in cash and stock consideration. On May 31, 2007, the acquisition was completed. The acquired business is a producer of antimicrobial products for the food industry. The acquired business is included in the Company’s Industrial operating segment.</w:t>
      </w:r>
    </w:p>
    <w:p>
      <w:pPr>
        <w:spacing w:after="0" w:line="99" w:lineRule="exact"/>
        <w:rPr>
          <w:rFonts w:ascii="Arial" w:cs="Arial" w:eastAsia="Arial" w:hAnsi="Arial"/>
          <w:sz w:val="16"/>
          <w:szCs w:val="16"/>
          <w:color w:val="auto"/>
        </w:rPr>
      </w:pPr>
    </w:p>
    <w:p>
      <w:pPr>
        <w:ind w:left="580" w:right="100"/>
        <w:spacing w:after="0" w:line="256" w:lineRule="auto"/>
        <w:rPr>
          <w:rFonts w:ascii="Arial" w:cs="Arial" w:eastAsia="Arial" w:hAnsi="Arial"/>
          <w:sz w:val="16"/>
          <w:szCs w:val="16"/>
          <w:color w:val="auto"/>
        </w:rPr>
      </w:pPr>
      <w:r>
        <w:rPr>
          <w:rFonts w:ascii="Arial" w:cs="Arial" w:eastAsia="Arial" w:hAnsi="Arial"/>
          <w:sz w:val="18"/>
          <w:szCs w:val="18"/>
          <w:color w:val="auto"/>
        </w:rPr>
        <w:t>The assets acquired consist of assets used by Trumark to operate its business, including intellectual property, manufacturing equipment and inventory. The purchase price consisted of cash and shares of the Company’s stock. The Company funded the cash portion of the transaction with existing cash and issued new shares of common stock. The Company is continuing to identify and quantify assets acquired and liabilities assumed to complete the allocation of the purchase price.</w:t>
      </w:r>
    </w:p>
    <w:p>
      <w:pPr>
        <w:spacing w:after="0" w:line="129" w:lineRule="exact"/>
        <w:rPr>
          <w:rFonts w:ascii="Arial" w:cs="Arial" w:eastAsia="Arial" w:hAnsi="Arial"/>
          <w:sz w:val="16"/>
          <w:szCs w:val="16"/>
          <w:color w:val="auto"/>
        </w:rPr>
      </w:pPr>
    </w:p>
    <w:p>
      <w:pPr>
        <w:ind w:left="580" w:right="360"/>
        <w:spacing w:after="0" w:line="268" w:lineRule="auto"/>
        <w:rPr>
          <w:rFonts w:ascii="Arial" w:cs="Arial" w:eastAsia="Arial" w:hAnsi="Arial"/>
          <w:sz w:val="16"/>
          <w:szCs w:val="16"/>
          <w:color w:val="auto"/>
        </w:rPr>
      </w:pPr>
      <w:r>
        <w:rPr>
          <w:rFonts w:ascii="Arial" w:cs="Arial" w:eastAsia="Arial" w:hAnsi="Arial"/>
          <w:sz w:val="18"/>
          <w:szCs w:val="18"/>
          <w:color w:val="auto"/>
        </w:rPr>
        <w:t>The operations of Trumark are included in the Company’s statement of income beginning on June 1, 2007. The proforma effect of this acquisition on prior period sales, operating income, and earnings per share was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80" w:right="100" w:hanging="572"/>
        <w:spacing w:after="0" w:line="290"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three reportable segments: Industrial, Water Treatment and Pharmaceutical. Reportable segments are defined by product and type of customer. Segments are responsible for the sales, marketing and development of their products and services. 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The segments do not have separate accounting, administration, customer service or purchasing functions. There are no intersegment sales and no operating segments have been aggregated. Sales are primarily within the United States and all assets are located within the United States.</w:t>
      </w:r>
    </w:p>
    <w:p>
      <w:pPr>
        <w:spacing w:after="0" w:line="209" w:lineRule="exact"/>
        <w:rPr>
          <w:sz w:val="20"/>
          <w:szCs w:val="20"/>
          <w:color w:val="auto"/>
        </w:rPr>
      </w:pPr>
    </w:p>
    <w:p>
      <w:pPr>
        <w:spacing w:after="0"/>
        <w:tabs>
          <w:tab w:leader="none" w:pos="5200" w:val="left"/>
          <w:tab w:leader="none" w:pos="6720" w:val="left"/>
          <w:tab w:leader="none" w:pos="8540" w:val="left"/>
          <w:tab w:leader="none" w:pos="10540" w:val="left"/>
        </w:tabs>
        <w:rPr>
          <w:sz w:val="20"/>
          <w:szCs w:val="20"/>
          <w:color w:val="auto"/>
        </w:rPr>
      </w:pPr>
      <w:r>
        <w:rPr>
          <w:rFonts w:ascii="Arial" w:cs="Arial" w:eastAsia="Arial" w:hAnsi="Arial"/>
          <w:sz w:val="14"/>
          <w:szCs w:val="14"/>
          <w:b w:val="1"/>
          <w:bCs w:val="1"/>
          <w:color w:val="auto"/>
        </w:rPr>
        <w:t>Reportable Segments</w:t>
      </w:r>
      <w:r>
        <w:rPr>
          <w:sz w:val="20"/>
          <w:szCs w:val="20"/>
          <w:color w:val="auto"/>
        </w:rPr>
        <w:tab/>
      </w:r>
      <w:r>
        <w:rPr>
          <w:rFonts w:ascii="Arial" w:cs="Arial" w:eastAsia="Arial" w:hAnsi="Arial"/>
          <w:sz w:val="14"/>
          <w:szCs w:val="14"/>
          <w:b w:val="1"/>
          <w:bCs w:val="1"/>
          <w:color w:val="auto"/>
        </w:rPr>
        <w:t>Industrial</w:t>
      </w:r>
      <w:r>
        <w:rPr>
          <w:sz w:val="20"/>
          <w:szCs w:val="20"/>
          <w:color w:val="auto"/>
        </w:rPr>
        <w:tab/>
      </w:r>
      <w:r>
        <w:rPr>
          <w:rFonts w:ascii="Arial" w:cs="Arial" w:eastAsia="Arial" w:hAnsi="Arial"/>
          <w:sz w:val="14"/>
          <w:szCs w:val="14"/>
          <w:b w:val="1"/>
          <w:bCs w:val="1"/>
          <w:color w:val="auto"/>
        </w:rPr>
        <w:t>Water Treatment</w:t>
      </w:r>
      <w:r>
        <w:rPr>
          <w:sz w:val="20"/>
          <w:szCs w:val="20"/>
          <w:color w:val="auto"/>
        </w:rPr>
        <w:tab/>
      </w:r>
      <w:r>
        <w:rPr>
          <w:rFonts w:ascii="Arial" w:cs="Arial" w:eastAsia="Arial" w:hAnsi="Arial"/>
          <w:sz w:val="14"/>
          <w:szCs w:val="14"/>
          <w:b w:val="1"/>
          <w:bCs w:val="1"/>
          <w:color w:val="auto"/>
        </w:rPr>
        <w:t>Pharmaceutical</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69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shd w:val="clear" w:color="auto" w:fill="D6F3E8"/>
          </w:tcPr>
          <w:p>
            <w:pPr>
              <w:spacing w:after="0"/>
              <w:rPr>
                <w:sz w:val="20"/>
                <w:szCs w:val="20"/>
                <w:color w:val="auto"/>
              </w:rPr>
            </w:pPr>
            <w:r>
              <w:rPr>
                <w:rFonts w:ascii="Arial" w:cs="Arial" w:eastAsia="Arial" w:hAnsi="Arial"/>
                <w:sz w:val="18"/>
                <w:szCs w:val="18"/>
                <w:color w:val="auto"/>
              </w:rPr>
              <w:t>Three Months Ended September 30, 2007:</w:t>
            </w:r>
          </w:p>
        </w:tc>
        <w:tc>
          <w:tcPr>
            <w:tcW w:w="120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11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r>
      <w:tr>
        <w:trPr>
          <w:trHeight w:val="216"/>
        </w:trPr>
        <w:tc>
          <w:tcPr>
            <w:tcW w:w="3960" w:type="dxa"/>
            <w:vAlign w:val="bottom"/>
          </w:tcPr>
          <w:p>
            <w:pPr>
              <w:ind w:left="160"/>
              <w:spacing w:after="0"/>
              <w:rPr>
                <w:sz w:val="20"/>
                <w:szCs w:val="20"/>
                <w:color w:val="auto"/>
              </w:rPr>
            </w:pPr>
            <w:r>
              <w:rPr>
                <w:rFonts w:ascii="Arial" w:cs="Arial" w:eastAsia="Arial" w:hAnsi="Arial"/>
                <w:sz w:val="18"/>
                <w:szCs w:val="18"/>
                <w:color w:val="auto"/>
              </w:rPr>
              <w:t>Sales</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w w:val="99"/>
              </w:rPr>
              <w:t>28,435,618</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17,446,735</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2,261,503</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48,143,856</w:t>
            </w:r>
          </w:p>
        </w:tc>
      </w:tr>
      <w:tr>
        <w:trPr>
          <w:trHeight w:val="216"/>
        </w:trPr>
        <w:tc>
          <w:tcPr>
            <w:tcW w:w="39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Gross margin</w:t>
            </w:r>
          </w:p>
        </w:tc>
        <w:tc>
          <w:tcPr>
            <w:tcW w:w="1200" w:type="dxa"/>
            <w:vAlign w:val="bottom"/>
            <w:shd w:val="clear" w:color="auto" w:fill="D6F3E8"/>
          </w:tcPr>
          <w:p>
            <w:pPr>
              <w:spacing w:after="0"/>
              <w:rPr>
                <w:sz w:val="18"/>
                <w:szCs w:val="18"/>
                <w:color w:val="auto"/>
              </w:rPr>
            </w:pPr>
          </w:p>
        </w:tc>
        <w:tc>
          <w:tcPr>
            <w:tcW w:w="116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5,007,679</w:t>
            </w:r>
          </w:p>
        </w:tc>
        <w:tc>
          <w:tcPr>
            <w:tcW w:w="56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6,088,817</w:t>
            </w:r>
          </w:p>
        </w:tc>
        <w:tc>
          <w:tcPr>
            <w:tcW w:w="56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779,003</w:t>
            </w:r>
          </w:p>
        </w:tc>
        <w:tc>
          <w:tcPr>
            <w:tcW w:w="46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11,875,499</w:t>
            </w:r>
          </w:p>
        </w:tc>
      </w:tr>
      <w:tr>
        <w:trPr>
          <w:trHeight w:val="222"/>
        </w:trPr>
        <w:tc>
          <w:tcPr>
            <w:tcW w:w="396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621,605</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3,647,828</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107,421</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4,376,854</w:t>
            </w:r>
          </w:p>
        </w:tc>
      </w:tr>
      <w:tr>
        <w:trPr>
          <w:trHeight w:val="142"/>
        </w:trPr>
        <w:tc>
          <w:tcPr>
            <w:tcW w:w="3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84"/>
        </w:trPr>
        <w:tc>
          <w:tcPr>
            <w:tcW w:w="3960" w:type="dxa"/>
            <w:vAlign w:val="bottom"/>
            <w:shd w:val="clear" w:color="auto" w:fill="D6F3E8"/>
          </w:tcPr>
          <w:p>
            <w:pPr>
              <w:spacing w:after="0"/>
              <w:rPr>
                <w:sz w:val="7"/>
                <w:szCs w:val="7"/>
                <w:color w:val="auto"/>
              </w:rPr>
            </w:pPr>
          </w:p>
        </w:tc>
        <w:tc>
          <w:tcPr>
            <w:tcW w:w="1200" w:type="dxa"/>
            <w:vAlign w:val="bottom"/>
            <w:shd w:val="clear" w:color="auto" w:fill="D6F3E8"/>
          </w:tcPr>
          <w:p>
            <w:pPr>
              <w:spacing w:after="0"/>
              <w:rPr>
                <w:sz w:val="7"/>
                <w:szCs w:val="7"/>
                <w:color w:val="auto"/>
              </w:rPr>
            </w:pPr>
          </w:p>
        </w:tc>
        <w:tc>
          <w:tcPr>
            <w:tcW w:w="1160" w:type="dxa"/>
            <w:vAlign w:val="bottom"/>
            <w:shd w:val="clear" w:color="auto" w:fill="D6F3E8"/>
          </w:tcPr>
          <w:p>
            <w:pPr>
              <w:spacing w:after="0"/>
              <w:rPr>
                <w:sz w:val="7"/>
                <w:szCs w:val="7"/>
                <w:color w:val="auto"/>
              </w:rPr>
            </w:pPr>
          </w:p>
        </w:tc>
        <w:tc>
          <w:tcPr>
            <w:tcW w:w="560" w:type="dxa"/>
            <w:vAlign w:val="bottom"/>
            <w:shd w:val="clear" w:color="auto" w:fill="D6F3E8"/>
          </w:tcPr>
          <w:p>
            <w:pPr>
              <w:spacing w:after="0"/>
              <w:rPr>
                <w:sz w:val="7"/>
                <w:szCs w:val="7"/>
                <w:color w:val="auto"/>
              </w:rPr>
            </w:pPr>
          </w:p>
        </w:tc>
        <w:tc>
          <w:tcPr>
            <w:tcW w:w="1280" w:type="dxa"/>
            <w:vAlign w:val="bottom"/>
            <w:shd w:val="clear" w:color="auto" w:fill="D6F3E8"/>
          </w:tcPr>
          <w:p>
            <w:pPr>
              <w:spacing w:after="0"/>
              <w:rPr>
                <w:sz w:val="7"/>
                <w:szCs w:val="7"/>
                <w:color w:val="auto"/>
              </w:rPr>
            </w:pPr>
          </w:p>
        </w:tc>
        <w:tc>
          <w:tcPr>
            <w:tcW w:w="560" w:type="dxa"/>
            <w:vAlign w:val="bottom"/>
            <w:shd w:val="clear" w:color="auto" w:fill="D6F3E8"/>
          </w:tcPr>
          <w:p>
            <w:pPr>
              <w:spacing w:after="0"/>
              <w:rPr>
                <w:sz w:val="7"/>
                <w:szCs w:val="7"/>
                <w:color w:val="auto"/>
              </w:rPr>
            </w:pPr>
          </w:p>
        </w:tc>
        <w:tc>
          <w:tcPr>
            <w:tcW w:w="1180" w:type="dxa"/>
            <w:vAlign w:val="bottom"/>
            <w:shd w:val="clear" w:color="auto" w:fill="D6F3E8"/>
          </w:tcPr>
          <w:p>
            <w:pPr>
              <w:spacing w:after="0"/>
              <w:rPr>
                <w:sz w:val="7"/>
                <w:szCs w:val="7"/>
                <w:color w:val="auto"/>
              </w:rPr>
            </w:pPr>
          </w:p>
        </w:tc>
        <w:tc>
          <w:tcPr>
            <w:tcW w:w="460" w:type="dxa"/>
            <w:vAlign w:val="bottom"/>
            <w:shd w:val="clear" w:color="auto" w:fill="D6F3E8"/>
          </w:tcPr>
          <w:p>
            <w:pPr>
              <w:spacing w:after="0"/>
              <w:rPr>
                <w:sz w:val="7"/>
                <w:szCs w:val="7"/>
                <w:color w:val="auto"/>
              </w:rPr>
            </w:pPr>
          </w:p>
        </w:tc>
        <w:tc>
          <w:tcPr>
            <w:tcW w:w="1060" w:type="dxa"/>
            <w:vAlign w:val="bottom"/>
            <w:shd w:val="clear" w:color="auto" w:fill="D6F3E8"/>
          </w:tcPr>
          <w:p>
            <w:pPr>
              <w:spacing w:after="0"/>
              <w:rPr>
                <w:sz w:val="7"/>
                <w:szCs w:val="7"/>
                <w:color w:val="auto"/>
              </w:rPr>
            </w:pPr>
          </w:p>
        </w:tc>
      </w:tr>
    </w:tbl>
    <w:p>
      <w:pPr>
        <w:sectPr>
          <w:pgSz w:w="11900" w:h="16900" w:orient="portrait"/>
          <w:cols w:equalWidth="0" w:num="1">
            <w:col w:w="11420"/>
          </w:cols>
          <w:pgMar w:left="240" w:top="131" w:right="239" w:bottom="0" w:gutter="0" w:footer="0" w:header="0"/>
        </w:sectPr>
      </w:pPr>
    </w:p>
    <w:bookmarkStart w:id="6" w:name="page7"/>
    <w:bookmarkEnd w:id="6"/>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shd w:val="clear" w:color="auto" w:fill="D6F3E8"/>
          </w:tcPr>
          <w:p>
            <w:pPr>
              <w:spacing w:after="0"/>
              <w:rPr>
                <w:sz w:val="20"/>
                <w:szCs w:val="20"/>
                <w:color w:val="auto"/>
              </w:rPr>
            </w:pPr>
            <w:r>
              <w:rPr>
                <w:rFonts w:ascii="Arial" w:cs="Arial" w:eastAsia="Arial" w:hAnsi="Arial"/>
                <w:sz w:val="18"/>
                <w:szCs w:val="18"/>
                <w:color w:val="auto"/>
              </w:rPr>
              <w:t>Three Months Ended September 30, 2006:</w:t>
            </w:r>
          </w:p>
        </w:tc>
        <w:tc>
          <w:tcPr>
            <w:tcW w:w="120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11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Sales</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w w:val="99"/>
              </w:rPr>
              <w:t>23,027,848</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16,718,530</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2,453,784</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42,200,162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Gross margin</w:t>
            </w:r>
          </w:p>
        </w:tc>
        <w:tc>
          <w:tcPr>
            <w:tcW w:w="1200" w:type="dxa"/>
            <w:vAlign w:val="bottom"/>
            <w:shd w:val="clear" w:color="auto" w:fill="D6F3E8"/>
          </w:tcPr>
          <w:p>
            <w:pPr>
              <w:spacing w:after="0"/>
              <w:rPr>
                <w:sz w:val="18"/>
                <w:szCs w:val="18"/>
                <w:color w:val="auto"/>
              </w:rPr>
            </w:pPr>
          </w:p>
        </w:tc>
        <w:tc>
          <w:tcPr>
            <w:tcW w:w="116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4,981,466</w:t>
            </w:r>
          </w:p>
        </w:tc>
        <w:tc>
          <w:tcPr>
            <w:tcW w:w="56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5,417,211</w:t>
            </w:r>
          </w:p>
        </w:tc>
        <w:tc>
          <w:tcPr>
            <w:tcW w:w="56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777,970</w:t>
            </w:r>
          </w:p>
        </w:tc>
        <w:tc>
          <w:tcPr>
            <w:tcW w:w="46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11,176,647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1,193,901</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3,376,603</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123,867</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4,694,371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D6F3E8"/>
          </w:tcPr>
          <w:p>
            <w:pPr>
              <w:spacing w:after="0"/>
              <w:rPr>
                <w:sz w:val="20"/>
                <w:szCs w:val="20"/>
                <w:color w:val="auto"/>
              </w:rPr>
            </w:pPr>
            <w:r>
              <w:rPr>
                <w:rFonts w:ascii="Arial" w:cs="Arial" w:eastAsia="Arial" w:hAnsi="Arial"/>
                <w:sz w:val="18"/>
                <w:szCs w:val="18"/>
                <w:color w:val="auto"/>
              </w:rPr>
              <w:t>Six Months Ended September 30, 2007:</w:t>
            </w:r>
          </w:p>
        </w:tc>
        <w:tc>
          <w:tcPr>
            <w:tcW w:w="120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11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Sales</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w w:val="99"/>
              </w:rPr>
              <w:t>57,720,243</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34,369,784</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4,676,554</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96,766,581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Gross margin</w:t>
            </w:r>
          </w:p>
        </w:tc>
        <w:tc>
          <w:tcPr>
            <w:tcW w:w="1200" w:type="dxa"/>
            <w:vAlign w:val="bottom"/>
            <w:shd w:val="clear" w:color="auto" w:fill="D6F3E8"/>
          </w:tcPr>
          <w:p>
            <w:pPr>
              <w:spacing w:after="0"/>
              <w:rPr>
                <w:sz w:val="18"/>
                <w:szCs w:val="18"/>
                <w:color w:val="auto"/>
              </w:rPr>
            </w:pPr>
          </w:p>
        </w:tc>
        <w:tc>
          <w:tcPr>
            <w:tcW w:w="116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w w:val="99"/>
              </w:rPr>
              <w:t>10,507,532</w:t>
            </w:r>
          </w:p>
        </w:tc>
        <w:tc>
          <w:tcPr>
            <w:tcW w:w="56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11,641,779</w:t>
            </w:r>
          </w:p>
        </w:tc>
        <w:tc>
          <w:tcPr>
            <w:tcW w:w="56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1,556,739</w:t>
            </w:r>
          </w:p>
        </w:tc>
        <w:tc>
          <w:tcPr>
            <w:tcW w:w="46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23,706,050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1,585,144</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6,860,940</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266,037</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8,712,121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D6F3E8"/>
          </w:tcPr>
          <w:p>
            <w:pPr>
              <w:spacing w:after="0"/>
              <w:rPr>
                <w:sz w:val="20"/>
                <w:szCs w:val="20"/>
                <w:color w:val="auto"/>
              </w:rPr>
            </w:pPr>
            <w:r>
              <w:rPr>
                <w:rFonts w:ascii="Arial" w:cs="Arial" w:eastAsia="Arial" w:hAnsi="Arial"/>
                <w:sz w:val="18"/>
                <w:szCs w:val="18"/>
                <w:color w:val="auto"/>
              </w:rPr>
              <w:t>Six Months Ended September 30, 2006:</w:t>
            </w:r>
          </w:p>
        </w:tc>
        <w:tc>
          <w:tcPr>
            <w:tcW w:w="120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11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Sales</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w w:val="99"/>
              </w:rPr>
              <w:t>46,427,190</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32,387,247</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4,846,388</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83,660,825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Gross margin</w:t>
            </w:r>
          </w:p>
        </w:tc>
        <w:tc>
          <w:tcPr>
            <w:tcW w:w="1200" w:type="dxa"/>
            <w:vAlign w:val="bottom"/>
            <w:shd w:val="clear" w:color="auto" w:fill="D6F3E8"/>
          </w:tcPr>
          <w:p>
            <w:pPr>
              <w:spacing w:after="0"/>
              <w:rPr>
                <w:sz w:val="18"/>
                <w:szCs w:val="18"/>
                <w:color w:val="auto"/>
              </w:rPr>
            </w:pPr>
          </w:p>
        </w:tc>
        <w:tc>
          <w:tcPr>
            <w:tcW w:w="116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w w:val="99"/>
              </w:rPr>
              <w:t>10,084,770</w:t>
            </w:r>
          </w:p>
        </w:tc>
        <w:tc>
          <w:tcPr>
            <w:tcW w:w="56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10,415,231</w:t>
            </w:r>
          </w:p>
        </w:tc>
        <w:tc>
          <w:tcPr>
            <w:tcW w:w="56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1,499,731</w:t>
            </w:r>
          </w:p>
        </w:tc>
        <w:tc>
          <w:tcPr>
            <w:tcW w:w="46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21,999,732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2,482,655</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6,248,803</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149,133</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8,880,591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right="940" w:hanging="1147"/>
        <w:spacing w:after="0" w:line="251" w:lineRule="auto"/>
        <w:tabs>
          <w:tab w:leader="none" w:pos="114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22"/>
          <w:szCs w:val="22"/>
          <w:color w:val="auto"/>
        </w:rPr>
        <w:t>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contained in this Quarterly Report on Form 10-Q for the period ended September 30, 2007 contains statements that we believe to be “forward-looking statements” within the meaning of the Private Securities Litigation Reform Act of 1995, and within the meaning of Section 27A of the Securities Act of 1933, as amended, and Section 21E of the Securities Exchange Act of 1934, as amended.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in Item 1A “Risk Factors” and other factors disclosed throughout this Quarterly Report on Form 10-Q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factors that might affect actual results and should not consider these factors to be a complete statement of all potential risks and uncertainties. We assume no obligation and disclaim any duty to update the forward-looking statements in this Quarterly Report on Form 10-Q or any other public statement.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 (in thousands, except percentages):</w:t>
      </w:r>
    </w:p>
    <w:p>
      <w:pPr>
        <w:sectPr>
          <w:pgSz w:w="11900" w:h="16843" w:orient="portrait"/>
          <w:cols w:equalWidth="0" w:num="1">
            <w:col w:w="11420"/>
          </w:cols>
          <w:pgMar w:left="240" w:top="140" w:right="239" w:bottom="0" w:gutter="0" w:footer="0" w:header="0"/>
        </w:sectPr>
      </w:pPr>
    </w:p>
    <w:p>
      <w:pPr>
        <w:spacing w:after="0" w:line="234" w:lineRule="exact"/>
        <w:rPr>
          <w:sz w:val="20"/>
          <w:szCs w:val="20"/>
          <w:color w:val="auto"/>
        </w:rPr>
      </w:pPr>
    </w:p>
    <w:p>
      <w:pPr>
        <w:jc w:val="center"/>
        <w:ind w:left="7060"/>
        <w:spacing w:after="0"/>
        <w:rPr>
          <w:sz w:val="20"/>
          <w:szCs w:val="20"/>
          <w:color w:val="auto"/>
        </w:rPr>
      </w:pPr>
      <w:r>
        <w:rPr>
          <w:rFonts w:ascii="Arial" w:cs="Arial" w:eastAsia="Arial" w:hAnsi="Arial"/>
          <w:sz w:val="12"/>
          <w:szCs w:val="12"/>
          <w:b w:val="1"/>
          <w:bCs w:val="1"/>
          <w:color w:val="auto"/>
        </w:rPr>
        <w:t>THREE MONTHS ENDED</w:t>
      </w:r>
    </w:p>
    <w:p>
      <w:pPr>
        <w:spacing w:after="0" w:line="24"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146050</wp:posOffset>
            </wp:positionV>
            <wp:extent cx="1260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both"/>
        <w:ind w:right="360" w:hanging="12"/>
        <w:spacing w:after="0" w:line="321" w:lineRule="auto"/>
        <w:rPr>
          <w:sz w:val="20"/>
          <w:szCs w:val="20"/>
          <w:color w:val="auto"/>
        </w:rPr>
      </w:pPr>
      <w:r>
        <w:rPr>
          <w:rFonts w:ascii="Arial" w:cs="Arial" w:eastAsia="Arial" w:hAnsi="Arial"/>
          <w:sz w:val="12"/>
          <w:szCs w:val="12"/>
          <w:b w:val="1"/>
          <w:bCs w:val="1"/>
          <w:color w:val="auto"/>
        </w:rPr>
        <w:t>SIX MONTHS ENDED 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116840</wp:posOffset>
            </wp:positionV>
            <wp:extent cx="11233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ectPr>
          <w:pgSz w:w="11900" w:h="16843" w:orient="portrait"/>
          <w:cols w:equalWidth="0" w:num="2">
            <w:col w:w="8980" w:space="720"/>
            <w:col w:w="1720"/>
          </w:cols>
          <w:pgMar w:left="240" w:top="140" w:right="239" w:bottom="0" w:gutter="0" w:footer="0" w:header="0"/>
          <w:type w:val="continuous"/>
        </w:sectPr>
      </w:pP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48,144</w:t>
            </w:r>
          </w:p>
        </w:tc>
        <w:tc>
          <w:tcPr>
            <w:tcW w:w="1480" w:type="dxa"/>
            <w:vAlign w:val="bottom"/>
            <w:gridSpan w:val="3"/>
            <w:shd w:val="clear" w:color="auto" w:fill="D6F3E8"/>
          </w:tcPr>
          <w:p>
            <w:pPr>
              <w:jc w:val="right"/>
              <w:ind w:right="3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96,767</w:t>
            </w: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36,268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73,061</w:t>
            </w:r>
          </w:p>
        </w:tc>
        <w:tc>
          <w:tcPr>
            <w:tcW w:w="720" w:type="dxa"/>
            <w:vAlign w:val="bottom"/>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D6F3E8"/>
          </w:tcPr>
          <w:p>
            <w:pPr>
              <w:spacing w:after="0"/>
              <w:rPr>
                <w:sz w:val="18"/>
                <w:szCs w:val="18"/>
                <w:color w:val="auto"/>
              </w:rPr>
            </w:pPr>
          </w:p>
        </w:tc>
        <w:tc>
          <w:tcPr>
            <w:tcW w:w="8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11,875</w:t>
            </w:r>
          </w:p>
        </w:tc>
        <w:tc>
          <w:tcPr>
            <w:tcW w:w="20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24.7</w:t>
            </w:r>
          </w:p>
        </w:tc>
        <w:tc>
          <w:tcPr>
            <w:tcW w:w="4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23,706</w:t>
            </w:r>
          </w:p>
        </w:tc>
        <w:tc>
          <w:tcPr>
            <w:tcW w:w="22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14,993</w:t>
            </w:r>
          </w:p>
        </w:tc>
        <w:tc>
          <w:tcPr>
            <w:tcW w:w="72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4,377</w:t>
            </w:r>
          </w:p>
        </w:tc>
        <w:tc>
          <w:tcPr>
            <w:tcW w:w="200" w:type="dxa"/>
            <w:vAlign w:val="bottom"/>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9.1</w:t>
            </w:r>
          </w:p>
        </w:tc>
        <w:tc>
          <w:tcPr>
            <w:tcW w:w="46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8,712</w:t>
            </w:r>
          </w:p>
        </w:tc>
        <w:tc>
          <w:tcPr>
            <w:tcW w:w="220" w:type="dxa"/>
            <w:vAlign w:val="bottom"/>
            <w:shd w:val="clear" w:color="auto" w:fill="D6F3E8"/>
          </w:tcPr>
          <w:p>
            <w:pPr>
              <w:spacing w:after="0"/>
              <w:rPr>
                <w:sz w:val="18"/>
                <w:szCs w:val="18"/>
                <w:color w:val="auto"/>
              </w:rPr>
            </w:pPr>
          </w:p>
        </w:tc>
        <w:tc>
          <w:tcPr>
            <w:tcW w:w="7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Investment income</w:t>
            </w: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615</w:t>
            </w: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4,689</w:t>
            </w:r>
          </w:p>
        </w:tc>
        <w:tc>
          <w:tcPr>
            <w:tcW w:w="200" w:type="dxa"/>
            <w:vAlign w:val="bottom"/>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9.7</w:t>
            </w:r>
          </w:p>
        </w:tc>
        <w:tc>
          <w:tcPr>
            <w:tcW w:w="46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9,327</w:t>
            </w:r>
          </w:p>
        </w:tc>
        <w:tc>
          <w:tcPr>
            <w:tcW w:w="220" w:type="dxa"/>
            <w:vAlign w:val="bottom"/>
            <w:shd w:val="clear" w:color="auto" w:fill="D6F3E8"/>
          </w:tcPr>
          <w:p>
            <w:pPr>
              <w:spacing w:after="0"/>
              <w:rPr>
                <w:sz w:val="18"/>
                <w:szCs w:val="18"/>
                <w:color w:val="auto"/>
              </w:rPr>
            </w:pPr>
          </w:p>
        </w:tc>
        <w:tc>
          <w:tcPr>
            <w:tcW w:w="7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3,454</w:t>
            </w: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2,921</w:t>
            </w:r>
          </w:p>
        </w:tc>
        <w:tc>
          <w:tcPr>
            <w:tcW w:w="20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5,872</w:t>
            </w:r>
          </w:p>
        </w:tc>
        <w:tc>
          <w:tcPr>
            <w:tcW w:w="22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 w:type="dxa"/>
            <w:vAlign w:val="bottom"/>
            <w:gridSpan w:val="2"/>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7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 2006</w:t>
            </w:r>
          </w:p>
        </w:tc>
        <w:tc>
          <w:tcPr>
            <w:tcW w:w="160" w:type="dxa"/>
            <w:vAlign w:val="bottom"/>
          </w:tcPr>
          <w:p>
            <w:pPr>
              <w:spacing w:after="0"/>
              <w:rPr>
                <w:sz w:val="15"/>
                <w:szCs w:val="15"/>
                <w:color w:val="auto"/>
              </w:rPr>
            </w:pPr>
          </w:p>
        </w:tc>
        <w:tc>
          <w:tcPr>
            <w:tcW w:w="17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4"/>
              </w:rPr>
              <w:t>SEPTEMBER 30, 2006</w:t>
            </w:r>
          </w:p>
        </w:tc>
        <w:tc>
          <w:tcPr>
            <w:tcW w:w="0" w:type="dxa"/>
            <w:vAlign w:val="bottom"/>
          </w:tcPr>
          <w:p>
            <w:pPr>
              <w:spacing w:after="0"/>
              <w:rPr>
                <w:sz w:val="1"/>
                <w:szCs w:val="1"/>
                <w:color w:val="auto"/>
              </w:rPr>
            </w:pPr>
          </w:p>
        </w:tc>
      </w:tr>
      <w:tr>
        <w:trPr>
          <w:trHeight w:val="230"/>
        </w:trPr>
        <w:tc>
          <w:tcPr>
            <w:tcW w:w="704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148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42,200</w:t>
            </w:r>
          </w:p>
        </w:tc>
        <w:tc>
          <w:tcPr>
            <w:tcW w:w="1480" w:type="dxa"/>
            <w:vAlign w:val="bottom"/>
            <w:gridSpan w:val="3"/>
            <w:shd w:val="clear" w:color="auto" w:fill="D6F3E8"/>
          </w:tcPr>
          <w:p>
            <w:pPr>
              <w:jc w:val="right"/>
              <w:ind w:right="3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83,661</w:t>
            </w: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31,024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61,661</w:t>
            </w:r>
          </w:p>
        </w:tc>
        <w:tc>
          <w:tcPr>
            <w:tcW w:w="720" w:type="dxa"/>
            <w:vAlign w:val="bottom"/>
          </w:tcPr>
          <w:p>
            <w:pPr>
              <w:jc w:val="right"/>
              <w:spacing w:after="0"/>
              <w:rPr>
                <w:sz w:val="20"/>
                <w:szCs w:val="20"/>
                <w:color w:val="auto"/>
              </w:rPr>
            </w:pPr>
            <w:r>
              <w:rPr>
                <w:rFonts w:ascii="Arial" w:cs="Arial" w:eastAsia="Arial" w:hAnsi="Arial"/>
                <w:sz w:val="18"/>
                <w:szCs w:val="18"/>
                <w:color w:val="auto"/>
              </w:rPr>
              <w:t>73.7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12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11,177</w:t>
            </w:r>
          </w:p>
        </w:tc>
        <w:tc>
          <w:tcPr>
            <w:tcW w:w="200" w:type="dxa"/>
            <w:vAlign w:val="bottom"/>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26.5</w:t>
            </w:r>
          </w:p>
        </w:tc>
        <w:tc>
          <w:tcPr>
            <w:tcW w:w="46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22,000</w:t>
            </w:r>
          </w:p>
        </w:tc>
        <w:tc>
          <w:tcPr>
            <w:tcW w:w="220" w:type="dxa"/>
            <w:vAlign w:val="bottom"/>
            <w:shd w:val="clear" w:color="auto" w:fill="D6F3E8"/>
          </w:tcPr>
          <w:p>
            <w:pPr>
              <w:spacing w:after="0"/>
              <w:rPr>
                <w:sz w:val="18"/>
                <w:szCs w:val="18"/>
                <w:color w:val="auto"/>
              </w:rPr>
            </w:pPr>
          </w:p>
        </w:tc>
        <w:tc>
          <w:tcPr>
            <w:tcW w:w="7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6,482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13,119</w:t>
            </w: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4,694</w:t>
            </w:r>
          </w:p>
        </w:tc>
        <w:tc>
          <w:tcPr>
            <w:tcW w:w="200" w:type="dxa"/>
            <w:vAlign w:val="bottom"/>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11.1</w:t>
            </w:r>
          </w:p>
        </w:tc>
        <w:tc>
          <w:tcPr>
            <w:tcW w:w="46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8,881</w:t>
            </w:r>
          </w:p>
        </w:tc>
        <w:tc>
          <w:tcPr>
            <w:tcW w:w="220" w:type="dxa"/>
            <w:vAlign w:val="bottom"/>
            <w:shd w:val="clear" w:color="auto" w:fill="D6F3E8"/>
          </w:tcPr>
          <w:p>
            <w:pPr>
              <w:spacing w:after="0"/>
              <w:rPr>
                <w:sz w:val="18"/>
                <w:szCs w:val="18"/>
                <w:color w:val="auto"/>
              </w:rPr>
            </w:pPr>
          </w:p>
        </w:tc>
        <w:tc>
          <w:tcPr>
            <w:tcW w:w="7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Investment income</w:t>
            </w: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8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5,042</w:t>
            </w:r>
          </w:p>
        </w:tc>
        <w:tc>
          <w:tcPr>
            <w:tcW w:w="200" w:type="dxa"/>
            <w:vAlign w:val="bottom"/>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11.9</w:t>
            </w:r>
          </w:p>
        </w:tc>
        <w:tc>
          <w:tcPr>
            <w:tcW w:w="46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9,530</w:t>
            </w:r>
          </w:p>
        </w:tc>
        <w:tc>
          <w:tcPr>
            <w:tcW w:w="220" w:type="dxa"/>
            <w:vAlign w:val="bottom"/>
            <w:shd w:val="clear" w:color="auto" w:fill="D6F3E8"/>
          </w:tcPr>
          <w:p>
            <w:pPr>
              <w:spacing w:after="0"/>
              <w:rPr>
                <w:sz w:val="18"/>
                <w:szCs w:val="18"/>
                <w:color w:val="auto"/>
              </w:rPr>
            </w:pPr>
          </w:p>
        </w:tc>
        <w:tc>
          <w:tcPr>
            <w:tcW w:w="7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40" w:right="239"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1,896</w:t>
            </w:r>
          </w:p>
        </w:tc>
        <w:tc>
          <w:tcPr>
            <w:tcW w:w="1040" w:type="dxa"/>
            <w:vAlign w:val="bottom"/>
            <w:gridSpan w:val="2"/>
          </w:tcPr>
          <w:p>
            <w:pPr>
              <w:ind w:left="820"/>
              <w:spacing w:after="0"/>
              <w:rPr>
                <w:sz w:val="20"/>
                <w:szCs w:val="20"/>
                <w:color w:val="auto"/>
              </w:rPr>
            </w:pPr>
            <w:r>
              <w:rPr>
                <w:rFonts w:ascii="Arial" w:cs="Arial" w:eastAsia="Arial" w:hAnsi="Arial"/>
                <w:sz w:val="18"/>
                <w:szCs w:val="18"/>
                <w:color w:val="auto"/>
                <w:w w:val="79"/>
              </w:rPr>
              <w:t>4.5</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3,584</w:t>
            </w:r>
          </w:p>
        </w:tc>
        <w:tc>
          <w:tcPr>
            <w:tcW w:w="720" w:type="dxa"/>
            <w:vAlign w:val="bottom"/>
          </w:tcPr>
          <w:p>
            <w:pPr>
              <w:ind w:left="500"/>
              <w:spacing w:after="0"/>
              <w:rPr>
                <w:sz w:val="20"/>
                <w:szCs w:val="20"/>
                <w:color w:val="auto"/>
              </w:rPr>
            </w:pPr>
            <w:r>
              <w:rPr>
                <w:rFonts w:ascii="Arial" w:cs="Arial" w:eastAsia="Arial" w:hAnsi="Arial"/>
                <w:sz w:val="18"/>
                <w:szCs w:val="18"/>
                <w:color w:val="auto"/>
                <w:w w:val="79"/>
              </w:rPr>
              <w:t>4.3</w:t>
            </w:r>
          </w:p>
        </w:tc>
        <w:tc>
          <w:tcPr>
            <w:tcW w:w="160" w:type="dxa"/>
            <w:vAlign w:val="bottom"/>
          </w:tcPr>
          <w:p>
            <w:pPr>
              <w:spacing w:after="0"/>
              <w:rPr>
                <w:sz w:val="19"/>
                <w:szCs w:val="19"/>
                <w:color w:val="auto"/>
              </w:rPr>
            </w:pPr>
          </w:p>
        </w:tc>
      </w:tr>
      <w:tr>
        <w:trPr>
          <w:trHeight w:val="245"/>
        </w:trPr>
        <w:tc>
          <w:tcPr>
            <w:tcW w:w="70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10"/>
        </w:trPr>
        <w:tc>
          <w:tcPr>
            <w:tcW w:w="704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3,146</w:t>
            </w:r>
          </w:p>
        </w:tc>
        <w:tc>
          <w:tcPr>
            <w:tcW w:w="22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ind w:left="60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5,946</w:t>
            </w:r>
          </w:p>
        </w:tc>
        <w:tc>
          <w:tcPr>
            <w:tcW w:w="220" w:type="dxa"/>
            <w:vAlign w:val="bottom"/>
            <w:shd w:val="clear" w:color="auto" w:fill="D6F3E8"/>
          </w:tcPr>
          <w:p>
            <w:pPr>
              <w:spacing w:after="0"/>
              <w:rPr>
                <w:sz w:val="18"/>
                <w:szCs w:val="18"/>
                <w:color w:val="auto"/>
              </w:rPr>
            </w:pPr>
          </w:p>
        </w:tc>
        <w:tc>
          <w:tcPr>
            <w:tcW w:w="880" w:type="dxa"/>
            <w:vAlign w:val="bottom"/>
            <w:gridSpan w:val="2"/>
            <w:shd w:val="clear" w:color="auto" w:fill="D6F3E8"/>
          </w:tcPr>
          <w:p>
            <w:pPr>
              <w:ind w:left="500"/>
              <w:spacing w:after="0"/>
              <w:rPr>
                <w:sz w:val="20"/>
                <w:szCs w:val="20"/>
                <w:color w:val="auto"/>
              </w:rPr>
            </w:pPr>
            <w:r>
              <w:rPr>
                <w:rFonts w:ascii="Arial" w:cs="Arial" w:eastAsia="Arial" w:hAnsi="Arial"/>
                <w:sz w:val="18"/>
                <w:szCs w:val="18"/>
                <w:color w:val="auto"/>
                <w:w w:val="87"/>
              </w:rPr>
              <w:t>7.1%</w:t>
            </w:r>
          </w:p>
        </w:tc>
      </w:tr>
      <w:tr>
        <w:trPr>
          <w:trHeight w:val="243"/>
        </w:trPr>
        <w:tc>
          <w:tcPr>
            <w:tcW w:w="70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Sales increased $5,943,694, or 14.1%, in the three months ended September 30, 2007, and increased $13,105,756, or 15.7%, in the six months ended September 30, 2007 as compared to the same periods a year ago. Sales of bulk chemicals, including caustic soda, were approximately 35% and 33% of sales for the three and six months ended September 30, 2007, respectively, compared to approximately 36% and 35% in the comparable periods a year ago. Industrial segment sales increased by $5,407,770 in the three months ended September 30, 2007 and increased by $11,293,053 in the six-month period ended September 30, 2007 as compared to the comparable periods in fiscal 2007. The Industrial segment’s sales increase was related to the Trumark acquisition, which was completed on May 31, 2007, increased sales within existing product lines primarily related to higher volume, lower margin products and price increases commensurate with rising material costs. Caustic soda volumes sold increased slightly as compared to the prior year periods. Water Treatment segment sales increased by $728,205 in the three months ended September 30, 2007 and increased $1,982,537 in the six-month period ended September 30, 2007, as compared to the same periods in fiscal 2007. These increases resulted from volume increases related to favorable weather conditions during the first quarter of fiscal 2008 and successful expansion of existing product lines to new and existing customers. Pharmaceutical sales decreased by 7.8% to $2,261,503 for the three months ended September 30, 2007 and decreased by 3.5% to $4,676,554 for the six months ended September 30, 2007 as compared to the same periods in fiscal 2007. The Pharmaceutical segment was still under restrictions for the ability to sell certain products by the Minneapolis District Office of the Food and Drug Administration (the “FDA”) as of September 30, 2007. The FDA matter is described in more detail below.</w:t>
      </w:r>
    </w:p>
    <w:p>
      <w:pPr>
        <w:spacing w:after="0" w:line="175"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In September 2006, the Company received a warning letter from the FDA. The Company responded to this letter and subsequently received a letter from the FDA in November 2006 requesting that the Company cease shipments of certain products until it resolved certain issues with the FDA with respect to the validation of packaging configurations and expiration dating for those products. The Company has been working to resolve this matter as promptly as possible and subsequent to September 30, 2007, received clearance from the FDA to sell the majority of the products initially affected. The Company currently has approximately $8,000 of Pharmaceutical products in inventory that it is not permitted to sell as a result of this matter. Although sales within the Pharmaceutical segment were negatively impacted in the second half of fiscal 2007 and the first half of fiscal 2008, the Company has not had a material impact to its results of operations or cash flows.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5"/>
          <w:szCs w:val="15"/>
          <w:color w:val="auto"/>
        </w:rPr>
        <w:t>Gross margin, as a percentage of sales, for the three and six months ended September 30, 2007 was 24.7% and 24.5%, respectively, compared to 26.5% and 26.3%, respectively, for the comparable periods of fiscal 2007. For the Industrial segment, gross margin, as a percentage of sales, was 17.6% and 21.6% for the three months ended September 30, 2007 and September 30, 2006, respectively, and 18.2% for the six months ended September 30, 2007 compared to 21.7% for the comparable period in fiscal 2007. The decreases are primarily due to a majority of the sales increases relating to higher volume, lower margin products.</w:t>
      </w:r>
    </w:p>
    <w:p>
      <w:pPr>
        <w:spacing w:after="0" w:line="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Additionally, due to the LIFO method of valuing inventory, the prior year margin was positively impacted by changes in the cost of caustic soda and changes in inventory levels. The Company attempts to maintain relatively constant dollar margins as product costs increase or decrease. By attempting to maintain relatively stable dollar margins, the gross margin percentage will decrease when the product costs are increasing and will increase when product costs are decreasing. Many of the Company’s products are commodity based and therefore are subject to fluctuations, which is expected to continue in future periods. Gross margin, as a percentage of sales, for the Water Treatment segment was 34.9% for the three months ended September 30, 2007 compared to 32.4% in the comparable period of fiscal 2007 and 33.9% for the six-month period ended September 30, 2007 compared to 32.2% for the comparable period of fiscal 2007. The improvement during the six months ended September 30, 2007 was primarily attributable to an increase in sales volumes and to a lesser extent, changes in product mix. Gross margin, as a percentage of sales, for the Pharmaceutical segment was 34.4% for the three months ended September 30, 2007 compared to 31.7% in the comparable period of fiscal 2007 and was 33.3% for the six months ended September 30, 2007 compared to 30.9% for the same period a year ago. The increases are primarily related to a decrease in operating expenses due to a decrease in personnel.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as a percentage of sales, for the three and six months ended September 30, 2007 were 15.6% ($7,498,645) and</w:t>
      </w:r>
    </w:p>
    <w:p>
      <w:pPr>
        <w:spacing w:after="0" w:line="3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15.5% ($14,993,929), respectively, compared to 15.4% ($6,482,276) and 15.7% ($13,119,141) for the comparable periods a year ago. A significant portion of the $1,874,788 increase for the six months ended September 30, 2007 was due to system enhancements and costs associated with the Company’s implementation of an Enterprise Resource Planning (ERP) system, including consultants and contractors, additional employees and depreciation expense. Consulting and contractor fees were approximately $463,000 and $1,000,000 during the three and six months ended September 30, 2007, respectively, which are expected to continue during fiscal 2008 and gradually decrease in fiscal 2009. Additionally, the acquisition of Trumark added additional fixed costs, and approximately $300,000 of non-recurring expenses were incurred during the six months ended September 30, 2007.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of $614,568 for the six months ended September 30, 2007 was comparable to $649,004 earned during the same period a year ago.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effective income tax rate was 37.7% and 37.0% for the three and six months ended September 30, 2007, respectively, compared to 37.6% for the three and six months ended September 30, 2006.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the six-month period ended September 30, 2007, cash provided by operations was $7,423,285 compared to $2,208,157 for the same period one year ago. The increase in cash provided by operating activities was due primarily to fluctuations in working capital balances, including the timing of inventory purchases and income tax payments. Historically, the Company’s cash requirements increase during the period from April through September as caustic soda inventory levels increase as the majority of barges are received during this period. Cash used in investing activities increased by $1,964,949 for the six months ended September 30, 2007 compared to the same period one year ago, primarily due to the acquisition of Trumark. Capital expenditures during the six months ended September 30, 2007 consisted primarily of facility improvement projects. Capital expenditures for the remainder of this fiscal year are expected to be relatively comparable with the three previous years and are expected to relate primarily to facilities improvement projects.</w:t>
      </w:r>
    </w:p>
    <w:p>
      <w:pPr>
        <w:sectPr>
          <w:pgSz w:w="11900" w:h="16838" w:orient="portrait"/>
          <w:cols w:equalWidth="0" w:num="1">
            <w:col w:w="11420"/>
          </w:cols>
          <w:pgMar w:left="240" w:top="131" w:right="239" w:bottom="36"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36"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Cash, cash equivalents and investments available-for-sale decreased by $2,620,106 from April 1, 2007 to $25,334,261 as of September 30, 2007 due primarily to dividends paid of $2,247,686 and the acquisition of Trumark during the six-month period ended September 30, 2007. Cash equivalents consist of money market accounts and certificates of deposit with an original maturity of three months or less. Investments available-for-sale consist of investment contracts with high-rated, stable insurance companies; marketable securities consisting of corporate and municipal bonds; U.S. Government agency securities and a mutual fund carried at fair value. The Company’s investment objectives in order of importance are the preservation of principal, maintenance of liquidity and rate of return. The fixed income portfolio consists primarily of investment grade securities to minimize credit risk, and they generally mature within 10 years. The Company invests in a mutual fund with characteristics similar to its fixed income portfolio to enhance its investment portfolio diversification. The Company monitors the maturities of its investments to ensure that funding is available for anticipated cash needs. At September 30, 2007, $1,185,259 of available-for-sale investments were classified as non-current assets as they were determined to be temporarily impaired with an aggregate carrying value exceeding market value by approximately $36,000 and have maturity dates of one year or longer. These investments were not determined to be other-than-temporarily impaired as the Company has the intent and ability to hold these investments for a period of time sufficient to allow a recovery of fair value. Expected future cash flows from operations, cash equivalents and investments included within current assets are expected to fund the Company’s short-term working capital needs.</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At September 30, 2007, the Company had an investment portfolio of fixed income securities of $4,410,294, a mutual fund of $7,602,976, and $13,691,042 classified as cash and cash equivalents and variable rate securities.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 like all mutual funds, may increase or decrease due to market volatility. The mutual fund held by the Company as of September 30, 2007 is a short-term bond fund that invests primarily in investment grade securities.</w:t>
      </w:r>
    </w:p>
    <w:p>
      <w:pPr>
        <w:spacing w:after="0" w:line="17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at September 30, 2007 puts it in a position to obtain debt financing on favorable terms, although there can be no assurance of this.</w:t>
      </w:r>
    </w:p>
    <w:p>
      <w:pPr>
        <w:spacing w:after="0" w:line="16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significant accounting policies followed by the Company are set forth in Note 1 to the Company’s financial statements in the Company’s Annual Report on Form 10-K for the fiscal year ended April 1, 2007. The accounting policies used in preparing the Company’s interim fiscal 2008 financial statements are the same as those described in the Company’s Annual Report.</w:t>
      </w:r>
    </w:p>
    <w:p>
      <w:pPr>
        <w:spacing w:after="0" w:line="1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Estimates - </w:t>
      </w:r>
      <w:r>
        <w:rPr>
          <w:rFonts w:ascii="Arial" w:cs="Arial" w:eastAsia="Arial" w:hAnsi="Arial"/>
          <w:sz w:val="18"/>
          <w:szCs w:val="18"/>
          <w:color w:val="auto"/>
        </w:rPr>
        <w:t>In preparing the financial statements, the Company follows accounting principles generally accepted in the United States. The preparation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considers the following policies to involve the most judgment in the preparation of the Company’s financial statements.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title passes to our customers, which occurs primarily when product has been shipped, if there is</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that the customer has agreed to purchase the products, performance has occurred, the price and terms of sale are fixed, and collection of the receivable is reasonably assured.</w:t>
      </w:r>
    </w:p>
    <w:p>
      <w:pPr>
        <w:spacing w:after="0" w:line="19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Statement of Financial Accounting Standard (SFAS) No. 115, “Accounting for Certain Investments in Debt and Equity Securities,”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Commission (SEC) Staff Accounting Bulletin (SAB) 59, “Accounting for Noncurrent Marketable Equity Securities,” and FASB Staff Position (FSP) FAS No. 115-1 and FAS No. 124-1, “The Meaning of Other-Than-Temporary Impairment and Its Application to Certain Investments” provide guidance on determining when an investment is other-than-temporarily impaired. Investments are reviewed quarterly for indicators of other-than-temporary impairment. This determination requires significant judgment. In making this judgment, we evaluate, among other factors, the duration and extent to which the fair value of an investment is less than its cost; the general market conditions, including factors such as industry and sector performance, rating agency actions, and our intent and ability to hold the investment. Investments with an indicator are further evaluated to determine the likelihood of a significant adverse effect on the fair value and amount of the impairment as necessary. If market, industry and/or investee conditions deteriorate, we may incur future impairments.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 - Accounts receivable are reduced by an allowance for amounts that may become uncollectible in the future. Substantially all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allowance for doubtful accounts on a quarterly basis. There can be no assurance that our estimates will match actual amounts ultimately written off.</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On a quarterly basis, management assesses the inventory quantities on hand to estimated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usage and sales and, if necessary, writes down the value of inventory deemed obsolete or excess to market. Though management considers these reserves adequate and proper, changes in sales volumes due to unexpected economic or competitive conditions are among the factors that could materially affect the adequacy of this reserve.</w:t>
      </w:r>
    </w:p>
    <w:p>
      <w:pPr>
        <w:spacing w:after="0" w:line="19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 xml:space="preserve">LIFO Reserve – </w:t>
      </w:r>
      <w:r>
        <w:rPr>
          <w:rFonts w:ascii="Arial" w:cs="Arial" w:eastAsia="Arial" w:hAnsi="Arial"/>
          <w:sz w:val="16"/>
          <w:szCs w:val="16"/>
          <w:color w:val="auto"/>
        </w:rPr>
        <w:t>Inventories are primarily valued with cost being determined using the last-in, first-out (LIFO) method. We may incur significant fluctuations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our gross margins due primarily to changes in the cost of a single, large-volume component of inventory. The price of this inventory component may vary depending on the balance between supply and demand. Management reviews the LIFO reserve on a quarterly basis.</w:t>
      </w:r>
    </w:p>
    <w:p>
      <w:pPr>
        <w:sectPr>
          <w:pgSz w:w="11900" w:h="16838" w:orient="portrait"/>
          <w:cols w:equalWidth="0" w:num="1">
            <w:col w:w="11420"/>
          </w:cols>
          <w:pgMar w:left="240" w:top="131" w:right="239" w:bottom="56" w:gutter="0" w:footer="0" w:header="0"/>
        </w:sectPr>
      </w:pPr>
    </w:p>
    <w:bookmarkStart w:id="9" w:name="page10"/>
    <w:bookmarkEnd w:id="9"/>
    <w:p>
      <w:pPr>
        <w:spacing w:after="0" w:line="253" w:lineRule="auto"/>
        <w:rPr>
          <w:sz w:val="20"/>
          <w:szCs w:val="20"/>
          <w:color w:val="auto"/>
        </w:rPr>
      </w:pPr>
      <w:r>
        <w:rPr>
          <w:rFonts w:ascii="Arial" w:cs="Arial" w:eastAsia="Arial" w:hAnsi="Arial"/>
          <w:sz w:val="18"/>
          <w:szCs w:val="18"/>
          <w:i w:val="1"/>
          <w:iCs w:val="1"/>
          <w:color w:val="auto"/>
        </w:rPr>
        <w:t xml:space="preserve">Impairment of Long-Lived Assets – </w:t>
      </w:r>
      <w:r>
        <w:rPr>
          <w:rFonts w:ascii="Arial" w:cs="Arial" w:eastAsia="Arial" w:hAnsi="Arial"/>
          <w:sz w:val="18"/>
          <w:szCs w:val="18"/>
          <w:color w:val="auto"/>
        </w:rPr>
        <w:t>We evaluate the carrying value of long-lived assets, including intangible assets subject to amortization and property, plant,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when events and changes in circumstances warrant such a review, such as prolonged industry downturn or significant reductions in projected future cash flows. The carrying value of long-lived assets is considered impaired when the projected future undiscounted cash flows from such assets are less than their carrying value. In that event, a loss is recognized equal to the amount by which the carrying value exceeds the fair value of the long-lived assets. Significant judgments and assumptions are required in the forecast of future operating results used in the preparation of the estimated future cash flows. We periodically review the appropriateness of the estimated useful lives of our long-lived assets. Changes in these estimates could have a material effect on the assessment of long-lived assets.</w:t>
      </w:r>
    </w:p>
    <w:p>
      <w:pPr>
        <w:spacing w:after="0" w:line="20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Self Insurance </w:t>
      </w:r>
      <w:r>
        <w:rPr>
          <w:rFonts w:ascii="Arial" w:cs="Arial" w:eastAsia="Arial" w:hAnsi="Arial"/>
          <w:sz w:val="16"/>
          <w:szCs w:val="16"/>
          <w:color w:val="auto"/>
        </w:rPr>
        <w:t>– The Company purchases insurance for employee medical benefits. Third party insurance is carried for what is believed to be the major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exposures that would exceed the Company’s self-insured retentions. The Company has established a liability for potential uninsured claims. The Company considers factors such as known outstanding claims, historical experience, and other relevant factors in setting the liability. These reserves are monitored and adjusted when warranted by changing circumstances. Though management considers these balances adequate, a substantial change in the number and/or severity of claims could result in materially different amounts for this item.</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the preparation of the Company’s financial statements, management calculates income taxes. This includes estimating the current tax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assessing temporary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The Company routinely monitors the potential impact of such situations and believes that it is properly reserved. Valuations related to amounts owed and tax rates could be impacted by changes to tax codes, changes in statutory tax rates, the Company’s future taxable income levels and the results of tax audits.</w:t>
      </w:r>
    </w:p>
    <w:p>
      <w:pPr>
        <w:spacing w:after="0" w:line="173"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1"/>
          <w:szCs w:val="21"/>
          <w:color w:val="auto"/>
        </w:rPr>
        <w:t>QUANTITATIVE AND QUALITATIVE DISCLOSURES ABOUT MARKET RISK</w:t>
      </w:r>
    </w:p>
    <w:p>
      <w:pPr>
        <w:spacing w:after="0" w:line="21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At September 30, 2007, the Company had an investment portfolio of fixed income securities of $4,410,294, a mutual fund of $7,602,976, and cash and cash equivalents of $13,691,042.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during the holding period. The value of the mutual fund, like all mutual funds, may increase or decrease due to market volatility. The Company adjusts the carrying value of its investments down if an impairment occurs that is other than temporary.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is subject to the risk inherent in the cyclical nature of commodity chemical prices. However, the Company does not currently purchase forward contracts or otherwise engage in hedging activities with respect to the purchase of commodity chemicals. We generally attempt to pass changes in material prices to our customers, however, there are no assurances that we will be able to pass on the increases in the future.</w:t>
      </w:r>
    </w:p>
    <w:p>
      <w:pPr>
        <w:spacing w:after="0" w:line="161"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September 30, 2007 pursuant to Rule 13a-15(b) of the Securities Exchange Act of 1934 (the “Exchange Act”). Based upon their evaluation, our Chief Executive Officer and our Chief Financial Officer concluded that our disclosure controls and procedures were effective as of the end of the quarter ended September 30, 2007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3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During the quarter, there was no change in the Company’s internal control over financial reporting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226"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1A.</w:t>
      </w:r>
      <w:r>
        <w:rPr>
          <w:sz w:val="20"/>
          <w:szCs w:val="20"/>
          <w:color w:val="auto"/>
        </w:rPr>
        <w:tab/>
      </w:r>
      <w:r>
        <w:rPr>
          <w:rFonts w:ascii="Arial" w:cs="Arial" w:eastAsia="Arial" w:hAnsi="Arial"/>
          <w:sz w:val="19"/>
          <w:szCs w:val="19"/>
          <w:color w:val="auto"/>
        </w:rPr>
        <w:t>RISK FACTORS</w:t>
      </w:r>
    </w:p>
    <w:p>
      <w:pPr>
        <w:sectPr>
          <w:pgSz w:w="11900" w:h="16838" w:orient="portrait"/>
          <w:cols w:equalWidth="0" w:num="1">
            <w:col w:w="11400"/>
          </w:cols>
          <w:pgMar w:left="240" w:top="131" w:right="259" w:bottom="0" w:gutter="0" w:footer="0" w:header="0"/>
        </w:sectPr>
      </w:pP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have been no material changes to the Company’s risk factors from those disclosed in the Company’s Annual Report on Form 10-K for the fiscal year ended April 1, 2007.</w:t>
      </w:r>
    </w:p>
    <w:p>
      <w:pPr>
        <w:sectPr>
          <w:pgSz w:w="11900" w:h="16838" w:orient="portrait"/>
          <w:cols w:equalWidth="0" w:num="1">
            <w:col w:w="11400"/>
          </w:cols>
          <w:pgMar w:left="240" w:top="131" w:right="259" w:bottom="0" w:gutter="0" w:footer="0" w:header="0"/>
          <w:type w:val="continuous"/>
        </w:sectPr>
      </w:pPr>
    </w:p>
    <w:bookmarkStart w:id="10" w:name="page11"/>
    <w:bookmarkEnd w:id="10"/>
    <w:p>
      <w:pPr>
        <w:spacing w:after="0"/>
        <w:tabs>
          <w:tab w:leader="none" w:pos="114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SUBMISSION OF MATTERS TO A VOTE OF SECURITY HOLDERS</w:t>
      </w: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annual meeting of the shareholders of the Company was held on August 7, 2007. Proxies for the annual meeting were solicited pursuant to Regulation 14A of the Exchange Act. There was no solicitation in opposition to the Board of Director nominees listed in the proxy statement and all of the nominees for director were elected with the following votes:</w:t>
      </w:r>
    </w:p>
    <w:p>
      <w:pPr>
        <w:spacing w:after="0" w:line="19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Arial" w:cs="Arial" w:eastAsia="Arial" w:hAnsi="Arial"/>
                <w:sz w:val="14"/>
                <w:szCs w:val="14"/>
                <w:b w:val="1"/>
                <w:bCs w:val="1"/>
                <w:color w:val="auto"/>
              </w:rPr>
              <w:t>Broker</w:t>
            </w:r>
          </w:p>
        </w:tc>
        <w:tc>
          <w:tcPr>
            <w:tcW w:w="120" w:type="dxa"/>
            <w:vAlign w:val="bottom"/>
          </w:tcPr>
          <w:p>
            <w:pPr>
              <w:spacing w:after="0"/>
              <w:rPr>
                <w:sz w:val="14"/>
                <w:szCs w:val="14"/>
                <w:color w:val="auto"/>
              </w:rPr>
            </w:pPr>
          </w:p>
        </w:tc>
      </w:tr>
      <w:tr>
        <w:trPr>
          <w:trHeight w:val="174"/>
        </w:trPr>
        <w:tc>
          <w:tcPr>
            <w:tcW w:w="4840" w:type="dxa"/>
            <w:vAlign w:val="bottom"/>
          </w:tcPr>
          <w:p>
            <w:pPr>
              <w:spacing w:after="0"/>
              <w:rPr>
                <w:sz w:val="15"/>
                <w:szCs w:val="15"/>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For</w:t>
            </w:r>
          </w:p>
        </w:tc>
        <w:tc>
          <w:tcPr>
            <w:tcW w:w="30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Withheld</w:t>
            </w:r>
          </w:p>
        </w:tc>
        <w:tc>
          <w:tcPr>
            <w:tcW w:w="1040" w:type="dxa"/>
            <w:vAlign w:val="bottom"/>
          </w:tcPr>
          <w:p>
            <w:pPr>
              <w:jc w:val="right"/>
              <w:ind w:right="214"/>
              <w:spacing w:after="0"/>
              <w:rPr>
                <w:sz w:val="20"/>
                <w:szCs w:val="20"/>
                <w:color w:val="auto"/>
              </w:rPr>
            </w:pPr>
            <w:r>
              <w:rPr>
                <w:rFonts w:ascii="Arial" w:cs="Arial" w:eastAsia="Arial" w:hAnsi="Arial"/>
                <w:sz w:val="14"/>
                <w:szCs w:val="14"/>
                <w:b w:val="1"/>
                <w:bCs w:val="1"/>
                <w:color w:val="auto"/>
              </w:rPr>
              <w:t>Abstain</w:t>
            </w:r>
          </w:p>
        </w:tc>
        <w:tc>
          <w:tcPr>
            <w:tcW w:w="300" w:type="dxa"/>
            <w:vAlign w:val="bottom"/>
          </w:tcPr>
          <w:p>
            <w:pPr>
              <w:spacing w:after="0"/>
              <w:rPr>
                <w:sz w:val="15"/>
                <w:szCs w:val="15"/>
                <w:color w:val="auto"/>
              </w:rPr>
            </w:pPr>
          </w:p>
        </w:tc>
        <w:tc>
          <w:tcPr>
            <w:tcW w:w="1060" w:type="dxa"/>
            <w:vAlign w:val="bottom"/>
          </w:tcPr>
          <w:p>
            <w:pPr>
              <w:jc w:val="right"/>
              <w:ind w:right="166"/>
              <w:spacing w:after="0"/>
              <w:rPr>
                <w:sz w:val="20"/>
                <w:szCs w:val="20"/>
                <w:color w:val="auto"/>
              </w:rPr>
            </w:pPr>
            <w:r>
              <w:rPr>
                <w:rFonts w:ascii="Arial" w:cs="Arial" w:eastAsia="Arial" w:hAnsi="Arial"/>
                <w:sz w:val="14"/>
                <w:szCs w:val="14"/>
                <w:b w:val="1"/>
                <w:bCs w:val="1"/>
                <w:color w:val="auto"/>
              </w:rPr>
              <w:t>Non-votes</w:t>
            </w:r>
          </w:p>
        </w:tc>
        <w:tc>
          <w:tcPr>
            <w:tcW w:w="120" w:type="dxa"/>
            <w:vAlign w:val="bottom"/>
          </w:tcPr>
          <w:p>
            <w:pPr>
              <w:spacing w:after="0"/>
              <w:rPr>
                <w:sz w:val="15"/>
                <w:szCs w:val="15"/>
                <w:color w:val="auto"/>
              </w:rPr>
            </w:pPr>
          </w:p>
        </w:tc>
      </w:tr>
      <w:tr>
        <w:trPr>
          <w:trHeight w:val="230"/>
        </w:trPr>
        <w:tc>
          <w:tcPr>
            <w:tcW w:w="48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840" w:type="dxa"/>
            <w:vAlign w:val="bottom"/>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8,646,696</w:t>
            </w:r>
          </w:p>
        </w:tc>
        <w:tc>
          <w:tcPr>
            <w:tcW w:w="30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29,268</w:t>
            </w:r>
          </w:p>
        </w:tc>
        <w:tc>
          <w:tcPr>
            <w:tcW w:w="320" w:type="dxa"/>
            <w:vAlign w:val="bottom"/>
            <w:shd w:val="clear" w:color="auto" w:fill="D6F3E8"/>
          </w:tcPr>
          <w:p>
            <w:pPr>
              <w:spacing w:after="0"/>
              <w:rPr>
                <w:sz w:val="18"/>
                <w:szCs w:val="18"/>
                <w:color w:val="auto"/>
              </w:rPr>
            </w:pPr>
          </w:p>
        </w:tc>
        <w:tc>
          <w:tcPr>
            <w:tcW w:w="1040" w:type="dxa"/>
            <w:vAlign w:val="bottom"/>
            <w:shd w:val="clear" w:color="auto" w:fill="D6F3E8"/>
          </w:tcPr>
          <w:p>
            <w:pPr>
              <w:jc w:val="right"/>
              <w:ind w:right="334"/>
              <w:spacing w:after="0"/>
              <w:rPr>
                <w:sz w:val="20"/>
                <w:szCs w:val="20"/>
                <w:color w:val="auto"/>
              </w:rPr>
            </w:pPr>
            <w:r>
              <w:rPr>
                <w:rFonts w:ascii="Arial" w:cs="Arial" w:eastAsia="Arial" w:hAnsi="Arial"/>
                <w:sz w:val="18"/>
                <w:szCs w:val="18"/>
                <w:color w:val="auto"/>
              </w:rPr>
              <w:t>0</w:t>
            </w:r>
          </w:p>
        </w:tc>
        <w:tc>
          <w:tcPr>
            <w:tcW w:w="300" w:type="dxa"/>
            <w:vAlign w:val="bottom"/>
            <w:shd w:val="clear" w:color="auto" w:fill="D6F3E8"/>
          </w:tcPr>
          <w:p>
            <w:pPr>
              <w:spacing w:after="0"/>
              <w:rPr>
                <w:sz w:val="18"/>
                <w:szCs w:val="18"/>
                <w:color w:val="auto"/>
              </w:rPr>
            </w:pPr>
          </w:p>
        </w:tc>
        <w:tc>
          <w:tcPr>
            <w:tcW w:w="1060" w:type="dxa"/>
            <w:vAlign w:val="bottom"/>
            <w:shd w:val="clear" w:color="auto" w:fill="D6F3E8"/>
          </w:tcPr>
          <w:p>
            <w:pPr>
              <w:jc w:val="right"/>
              <w:ind w:right="366"/>
              <w:spacing w:after="0"/>
              <w:rPr>
                <w:sz w:val="20"/>
                <w:szCs w:val="20"/>
                <w:color w:val="auto"/>
              </w:rPr>
            </w:pPr>
            <w:r>
              <w:rPr>
                <w:rFonts w:ascii="Arial" w:cs="Arial" w:eastAsia="Arial" w:hAnsi="Arial"/>
                <w:sz w:val="18"/>
                <w:szCs w:val="18"/>
                <w:color w:val="auto"/>
              </w:rPr>
              <w:t>0</w:t>
            </w:r>
          </w:p>
        </w:tc>
        <w:tc>
          <w:tcPr>
            <w:tcW w:w="120" w:type="dxa"/>
            <w:vAlign w:val="bottom"/>
            <w:shd w:val="clear" w:color="auto" w:fill="D6F3E8"/>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Howard M. Hawkins</w:t>
            </w:r>
          </w:p>
        </w:tc>
        <w:tc>
          <w:tcPr>
            <w:tcW w:w="1020" w:type="dxa"/>
            <w:vAlign w:val="bottom"/>
          </w:tcPr>
          <w:p>
            <w:pPr>
              <w:jc w:val="right"/>
              <w:spacing w:after="0"/>
              <w:rPr>
                <w:sz w:val="20"/>
                <w:szCs w:val="20"/>
                <w:color w:val="auto"/>
              </w:rPr>
            </w:pPr>
            <w:r>
              <w:rPr>
                <w:rFonts w:ascii="Arial" w:cs="Arial" w:eastAsia="Arial" w:hAnsi="Arial"/>
                <w:sz w:val="18"/>
                <w:szCs w:val="18"/>
                <w:color w:val="auto"/>
              </w:rPr>
              <w:t>8,645,766</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30,198</w:t>
            </w:r>
          </w:p>
        </w:tc>
        <w:tc>
          <w:tcPr>
            <w:tcW w:w="1040" w:type="dxa"/>
            <w:vAlign w:val="bottom"/>
          </w:tcPr>
          <w:p>
            <w:pPr>
              <w:jc w:val="right"/>
              <w:ind w:right="334"/>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366"/>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4840" w:type="dxa"/>
            <w:vAlign w:val="bottom"/>
            <w:shd w:val="clear" w:color="auto" w:fill="D6F3E8"/>
          </w:tcPr>
          <w:p>
            <w:pPr>
              <w:spacing w:after="0"/>
              <w:rPr>
                <w:sz w:val="20"/>
                <w:szCs w:val="20"/>
                <w:color w:val="auto"/>
              </w:rPr>
            </w:pPr>
            <w:r>
              <w:rPr>
                <w:rFonts w:ascii="Arial" w:cs="Arial" w:eastAsia="Arial" w:hAnsi="Arial"/>
                <w:sz w:val="18"/>
                <w:szCs w:val="18"/>
                <w:color w:val="auto"/>
              </w:rPr>
              <w:t>John S. McKeon</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7,572,070</w:t>
            </w:r>
          </w:p>
        </w:tc>
        <w:tc>
          <w:tcPr>
            <w:tcW w:w="1660" w:type="dxa"/>
            <w:vAlign w:val="bottom"/>
            <w:gridSpan w:val="3"/>
            <w:shd w:val="clear" w:color="auto" w:fill="D6F3E8"/>
          </w:tcPr>
          <w:p>
            <w:pPr>
              <w:jc w:val="right"/>
              <w:ind w:right="320"/>
              <w:spacing w:after="0"/>
              <w:rPr>
                <w:sz w:val="20"/>
                <w:szCs w:val="20"/>
                <w:color w:val="auto"/>
              </w:rPr>
            </w:pPr>
            <w:r>
              <w:rPr>
                <w:rFonts w:ascii="Arial" w:cs="Arial" w:eastAsia="Arial" w:hAnsi="Arial"/>
                <w:sz w:val="18"/>
                <w:szCs w:val="18"/>
                <w:color w:val="auto"/>
              </w:rPr>
              <w:t>1,103,894</w:t>
            </w:r>
          </w:p>
        </w:tc>
        <w:tc>
          <w:tcPr>
            <w:tcW w:w="1040" w:type="dxa"/>
            <w:vAlign w:val="bottom"/>
            <w:shd w:val="clear" w:color="auto" w:fill="D6F3E8"/>
          </w:tcPr>
          <w:p>
            <w:pPr>
              <w:jc w:val="right"/>
              <w:ind w:right="334"/>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D6F3E8"/>
          </w:tcPr>
          <w:p>
            <w:pPr>
              <w:jc w:val="right"/>
              <w:ind w:right="366"/>
              <w:spacing w:after="0"/>
              <w:rPr>
                <w:sz w:val="20"/>
                <w:szCs w:val="20"/>
                <w:color w:val="auto"/>
              </w:rPr>
            </w:pPr>
            <w:r>
              <w:rPr>
                <w:rFonts w:ascii="Arial" w:cs="Arial" w:eastAsia="Arial" w:hAnsi="Arial"/>
                <w:sz w:val="18"/>
                <w:szCs w:val="18"/>
                <w:color w:val="auto"/>
              </w:rPr>
              <w:t>0</w:t>
            </w:r>
          </w:p>
        </w:tc>
        <w:tc>
          <w:tcPr>
            <w:tcW w:w="120" w:type="dxa"/>
            <w:vAlign w:val="bottom"/>
            <w:shd w:val="clear" w:color="auto" w:fill="D6F3E8"/>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Duane M. Jergenson</w:t>
            </w:r>
          </w:p>
        </w:tc>
        <w:tc>
          <w:tcPr>
            <w:tcW w:w="1020" w:type="dxa"/>
            <w:vAlign w:val="bottom"/>
          </w:tcPr>
          <w:p>
            <w:pPr>
              <w:jc w:val="right"/>
              <w:spacing w:after="0"/>
              <w:rPr>
                <w:sz w:val="20"/>
                <w:szCs w:val="20"/>
                <w:color w:val="auto"/>
              </w:rPr>
            </w:pPr>
            <w:r>
              <w:rPr>
                <w:rFonts w:ascii="Arial" w:cs="Arial" w:eastAsia="Arial" w:hAnsi="Arial"/>
                <w:sz w:val="18"/>
                <w:szCs w:val="18"/>
                <w:color w:val="auto"/>
              </w:rPr>
              <w:t>8,656,346</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19,618</w:t>
            </w:r>
          </w:p>
        </w:tc>
        <w:tc>
          <w:tcPr>
            <w:tcW w:w="1040" w:type="dxa"/>
            <w:vAlign w:val="bottom"/>
          </w:tcPr>
          <w:p>
            <w:pPr>
              <w:jc w:val="right"/>
              <w:ind w:right="334"/>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366"/>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4840" w:type="dxa"/>
            <w:vAlign w:val="bottom"/>
            <w:shd w:val="clear" w:color="auto" w:fill="D6F3E8"/>
          </w:tcPr>
          <w:p>
            <w:pPr>
              <w:spacing w:after="0"/>
              <w:rPr>
                <w:sz w:val="20"/>
                <w:szCs w:val="20"/>
                <w:color w:val="auto"/>
              </w:rPr>
            </w:pPr>
            <w:r>
              <w:rPr>
                <w:rFonts w:ascii="Arial" w:cs="Arial" w:eastAsia="Arial" w:hAnsi="Arial"/>
                <w:sz w:val="18"/>
                <w:szCs w:val="18"/>
                <w:color w:val="auto"/>
              </w:rPr>
              <w:t>G. Robert Gey</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8,656,696</w:t>
            </w:r>
          </w:p>
        </w:tc>
        <w:tc>
          <w:tcPr>
            <w:tcW w:w="1660" w:type="dxa"/>
            <w:vAlign w:val="bottom"/>
            <w:gridSpan w:val="3"/>
            <w:shd w:val="clear" w:color="auto" w:fill="D6F3E8"/>
          </w:tcPr>
          <w:p>
            <w:pPr>
              <w:jc w:val="right"/>
              <w:ind w:right="320"/>
              <w:spacing w:after="0"/>
              <w:rPr>
                <w:sz w:val="20"/>
                <w:szCs w:val="20"/>
                <w:color w:val="auto"/>
              </w:rPr>
            </w:pPr>
            <w:r>
              <w:rPr>
                <w:rFonts w:ascii="Arial" w:cs="Arial" w:eastAsia="Arial" w:hAnsi="Arial"/>
                <w:sz w:val="18"/>
                <w:szCs w:val="18"/>
                <w:color w:val="auto"/>
              </w:rPr>
              <w:t>19,268</w:t>
            </w:r>
          </w:p>
        </w:tc>
        <w:tc>
          <w:tcPr>
            <w:tcW w:w="1040" w:type="dxa"/>
            <w:vAlign w:val="bottom"/>
            <w:shd w:val="clear" w:color="auto" w:fill="D6F3E8"/>
          </w:tcPr>
          <w:p>
            <w:pPr>
              <w:jc w:val="right"/>
              <w:ind w:right="334"/>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D6F3E8"/>
          </w:tcPr>
          <w:p>
            <w:pPr>
              <w:jc w:val="right"/>
              <w:ind w:right="366"/>
              <w:spacing w:after="0"/>
              <w:rPr>
                <w:sz w:val="20"/>
                <w:szCs w:val="20"/>
                <w:color w:val="auto"/>
              </w:rPr>
            </w:pPr>
            <w:r>
              <w:rPr>
                <w:rFonts w:ascii="Arial" w:cs="Arial" w:eastAsia="Arial" w:hAnsi="Arial"/>
                <w:sz w:val="18"/>
                <w:szCs w:val="18"/>
                <w:color w:val="auto"/>
              </w:rPr>
              <w:t>0</w:t>
            </w:r>
          </w:p>
        </w:tc>
        <w:tc>
          <w:tcPr>
            <w:tcW w:w="120" w:type="dxa"/>
            <w:vAlign w:val="bottom"/>
            <w:shd w:val="clear" w:color="auto" w:fill="D6F3E8"/>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Daryl I. Skaar</w:t>
            </w:r>
          </w:p>
        </w:tc>
        <w:tc>
          <w:tcPr>
            <w:tcW w:w="1020" w:type="dxa"/>
            <w:vAlign w:val="bottom"/>
          </w:tcPr>
          <w:p>
            <w:pPr>
              <w:jc w:val="right"/>
              <w:spacing w:after="0"/>
              <w:rPr>
                <w:sz w:val="20"/>
                <w:szCs w:val="20"/>
                <w:color w:val="auto"/>
              </w:rPr>
            </w:pPr>
            <w:r>
              <w:rPr>
                <w:rFonts w:ascii="Arial" w:cs="Arial" w:eastAsia="Arial" w:hAnsi="Arial"/>
                <w:sz w:val="18"/>
                <w:szCs w:val="18"/>
                <w:color w:val="auto"/>
              </w:rPr>
              <w:t>8,649,567</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26,397</w:t>
            </w:r>
          </w:p>
        </w:tc>
        <w:tc>
          <w:tcPr>
            <w:tcW w:w="1040" w:type="dxa"/>
            <w:vAlign w:val="bottom"/>
          </w:tcPr>
          <w:p>
            <w:pPr>
              <w:jc w:val="right"/>
              <w:ind w:right="334"/>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366"/>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4840" w:type="dxa"/>
            <w:vAlign w:val="bottom"/>
            <w:shd w:val="clear" w:color="auto" w:fill="D6F3E8"/>
          </w:tcPr>
          <w:p>
            <w:pPr>
              <w:spacing w:after="0"/>
              <w:rPr>
                <w:sz w:val="20"/>
                <w:szCs w:val="20"/>
                <w:color w:val="auto"/>
              </w:rPr>
            </w:pPr>
            <w:r>
              <w:rPr>
                <w:rFonts w:ascii="Arial" w:cs="Arial" w:eastAsia="Arial" w:hAnsi="Arial"/>
                <w:sz w:val="18"/>
                <w:szCs w:val="18"/>
                <w:color w:val="auto"/>
              </w:rPr>
              <w:t>Eapen Chacko</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8,655,596</w:t>
            </w:r>
          </w:p>
        </w:tc>
        <w:tc>
          <w:tcPr>
            <w:tcW w:w="1660" w:type="dxa"/>
            <w:vAlign w:val="bottom"/>
            <w:gridSpan w:val="3"/>
            <w:shd w:val="clear" w:color="auto" w:fill="D6F3E8"/>
          </w:tcPr>
          <w:p>
            <w:pPr>
              <w:jc w:val="right"/>
              <w:ind w:right="320"/>
              <w:spacing w:after="0"/>
              <w:rPr>
                <w:sz w:val="20"/>
                <w:szCs w:val="20"/>
                <w:color w:val="auto"/>
              </w:rPr>
            </w:pPr>
            <w:r>
              <w:rPr>
                <w:rFonts w:ascii="Arial" w:cs="Arial" w:eastAsia="Arial" w:hAnsi="Arial"/>
                <w:sz w:val="18"/>
                <w:szCs w:val="18"/>
                <w:color w:val="auto"/>
              </w:rPr>
              <w:t>20,368</w:t>
            </w:r>
          </w:p>
        </w:tc>
        <w:tc>
          <w:tcPr>
            <w:tcW w:w="1040" w:type="dxa"/>
            <w:vAlign w:val="bottom"/>
            <w:shd w:val="clear" w:color="auto" w:fill="D6F3E8"/>
          </w:tcPr>
          <w:p>
            <w:pPr>
              <w:jc w:val="right"/>
              <w:ind w:right="334"/>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D6F3E8"/>
          </w:tcPr>
          <w:p>
            <w:pPr>
              <w:jc w:val="right"/>
              <w:ind w:right="366"/>
              <w:spacing w:after="0"/>
              <w:rPr>
                <w:sz w:val="20"/>
                <w:szCs w:val="20"/>
                <w:color w:val="auto"/>
              </w:rPr>
            </w:pPr>
            <w:r>
              <w:rPr>
                <w:rFonts w:ascii="Arial" w:cs="Arial" w:eastAsia="Arial" w:hAnsi="Arial"/>
                <w:sz w:val="18"/>
                <w:szCs w:val="18"/>
                <w:color w:val="auto"/>
              </w:rPr>
              <w:t>0</w:t>
            </w:r>
          </w:p>
        </w:tc>
        <w:tc>
          <w:tcPr>
            <w:tcW w:w="120" w:type="dxa"/>
            <w:vAlign w:val="bottom"/>
            <w:shd w:val="clear" w:color="auto" w:fill="D6F3E8"/>
          </w:tcPr>
          <w:p>
            <w:pPr>
              <w:spacing w:after="0"/>
              <w:rPr>
                <w:sz w:val="18"/>
                <w:szCs w:val="18"/>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James A. Faulconbridge</w:t>
            </w:r>
          </w:p>
        </w:tc>
        <w:tc>
          <w:tcPr>
            <w:tcW w:w="1020" w:type="dxa"/>
            <w:vAlign w:val="bottom"/>
          </w:tcPr>
          <w:p>
            <w:pPr>
              <w:jc w:val="right"/>
              <w:spacing w:after="0"/>
              <w:rPr>
                <w:sz w:val="20"/>
                <w:szCs w:val="20"/>
                <w:color w:val="auto"/>
              </w:rPr>
            </w:pPr>
            <w:r>
              <w:rPr>
                <w:rFonts w:ascii="Arial" w:cs="Arial" w:eastAsia="Arial" w:hAnsi="Arial"/>
                <w:sz w:val="18"/>
                <w:szCs w:val="18"/>
                <w:color w:val="auto"/>
              </w:rPr>
              <w:t>8,655,246</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20,718</w:t>
            </w:r>
          </w:p>
        </w:tc>
        <w:tc>
          <w:tcPr>
            <w:tcW w:w="1040" w:type="dxa"/>
            <w:vAlign w:val="bottom"/>
          </w:tcPr>
          <w:p>
            <w:pPr>
              <w:jc w:val="right"/>
              <w:ind w:right="334"/>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366"/>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20" w:type="dxa"/>
            <w:vAlign w:val="bottom"/>
            <w:gridSpan w:val="2"/>
          </w:tcPr>
          <w:p>
            <w:pPr>
              <w:spacing w:after="0"/>
              <w:rPr>
                <w:sz w:val="20"/>
                <w:szCs w:val="20"/>
                <w:color w:val="auto"/>
              </w:rPr>
            </w:pPr>
            <w:r>
              <w:rPr>
                <w:rFonts w:ascii="Arial" w:cs="Arial" w:eastAsia="Arial" w:hAnsi="Arial"/>
                <w:sz w:val="22"/>
                <w:szCs w:val="22"/>
                <w:color w:val="auto"/>
              </w:rPr>
              <w:t>ITEM 6.</w:t>
            </w:r>
          </w:p>
        </w:tc>
        <w:tc>
          <w:tcPr>
            <w:tcW w:w="7340" w:type="dxa"/>
            <w:vAlign w:val="bottom"/>
            <w:gridSpan w:val="4"/>
          </w:tcPr>
          <w:p>
            <w:pPr>
              <w:ind w:left="340"/>
              <w:spacing w:after="0"/>
              <w:rPr>
                <w:sz w:val="20"/>
                <w:szCs w:val="20"/>
                <w:color w:val="auto"/>
              </w:rPr>
            </w:pPr>
            <w:r>
              <w:rPr>
                <w:rFonts w:ascii="Arial" w:cs="Arial" w:eastAsia="Arial" w:hAnsi="Arial"/>
                <w:sz w:val="22"/>
                <w:szCs w:val="22"/>
                <w:color w:val="auto"/>
              </w:rPr>
              <w:t>EXHIBITS</w:t>
            </w: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Exhibit Index</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80" w:type="dxa"/>
            <w:vAlign w:val="bottom"/>
          </w:tcPr>
          <w:p>
            <w:pPr>
              <w:spacing w:after="0"/>
              <w:rPr>
                <w:sz w:val="24"/>
                <w:szCs w:val="24"/>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Exhibit</w:t>
            </w:r>
          </w:p>
        </w:tc>
        <w:tc>
          <w:tcPr>
            <w:tcW w:w="694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Method of Filing</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140" w:type="dxa"/>
            <w:vAlign w:val="bottom"/>
            <w:vMerge w:val="restart"/>
          </w:tcPr>
          <w:p>
            <w:pPr>
              <w:ind w:left="280"/>
              <w:spacing w:after="0"/>
              <w:rPr>
                <w:sz w:val="20"/>
                <w:szCs w:val="20"/>
                <w:color w:val="auto"/>
              </w:rPr>
            </w:pPr>
            <w:r>
              <w:rPr>
                <w:rFonts w:ascii="Arial" w:cs="Arial" w:eastAsia="Arial" w:hAnsi="Arial"/>
                <w:sz w:val="18"/>
                <w:szCs w:val="18"/>
                <w:color w:val="auto"/>
                <w:w w:val="88"/>
              </w:rPr>
              <w:t>Amended and Second Restated Articles</w:t>
            </w:r>
          </w:p>
        </w:tc>
        <w:tc>
          <w:tcPr>
            <w:tcW w:w="6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3140" w:type="dxa"/>
            <w:vAlign w:val="bottom"/>
            <w:vMerge w:val="continue"/>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of Incorporation as amended through February</w:t>
            </w:r>
          </w:p>
        </w:tc>
        <w:tc>
          <w:tcPr>
            <w:tcW w:w="2240" w:type="dxa"/>
            <w:vAlign w:val="bottom"/>
            <w:gridSpan w:val="3"/>
          </w:tcPr>
          <w:p>
            <w:pPr>
              <w:jc w:val="center"/>
              <w:ind w:left="272"/>
              <w:spacing w:after="0" w:line="201" w:lineRule="exact"/>
              <w:rPr>
                <w:sz w:val="20"/>
                <w:szCs w:val="20"/>
                <w:color w:val="auto"/>
              </w:rPr>
            </w:pPr>
            <w:r>
              <w:rPr>
                <w:rFonts w:ascii="Arial" w:cs="Arial" w:eastAsia="Arial" w:hAnsi="Arial"/>
                <w:sz w:val="18"/>
                <w:szCs w:val="18"/>
                <w:color w:val="auto"/>
                <w:w w:val="88"/>
              </w:rPr>
              <w:t>Incorporated by Reference</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40" w:type="dxa"/>
            <w:vAlign w:val="bottom"/>
          </w:tcPr>
          <w:p>
            <w:pPr>
              <w:ind w:left="280"/>
              <w:spacing w:after="0"/>
              <w:rPr>
                <w:sz w:val="20"/>
                <w:szCs w:val="20"/>
                <w:color w:val="auto"/>
              </w:rPr>
            </w:pPr>
            <w:r>
              <w:rPr>
                <w:rFonts w:ascii="Arial" w:cs="Arial" w:eastAsia="Arial" w:hAnsi="Arial"/>
                <w:sz w:val="18"/>
                <w:szCs w:val="18"/>
                <w:color w:val="auto"/>
              </w:rPr>
              <w:t>27, 2001. (1)</w:t>
            </w:r>
          </w:p>
        </w:tc>
        <w:tc>
          <w:tcPr>
            <w:tcW w:w="6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6940" w:type="dxa"/>
            <w:vAlign w:val="bottom"/>
            <w:gridSpan w:val="3"/>
          </w:tcPr>
          <w:p>
            <w:pPr>
              <w:ind w:left="280"/>
              <w:spacing w:after="0"/>
              <w:rPr>
                <w:sz w:val="20"/>
                <w:szCs w:val="20"/>
                <w:color w:val="auto"/>
              </w:rPr>
            </w:pPr>
            <w:r>
              <w:rPr>
                <w:rFonts w:ascii="Arial" w:cs="Arial" w:eastAsia="Arial" w:hAnsi="Arial"/>
                <w:sz w:val="18"/>
                <w:szCs w:val="18"/>
                <w:color w:val="auto"/>
                <w:w w:val="93"/>
              </w:rPr>
              <w:t>Second Amended and Superseding By-Laws as amended through February 15, 1995. (2)</w:t>
            </w:r>
          </w:p>
        </w:tc>
        <w:tc>
          <w:tcPr>
            <w:tcW w:w="224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Incorporated by Reference</w:t>
            </w: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6940" w:type="dxa"/>
            <w:vAlign w:val="bottom"/>
            <w:gridSpan w:val="3"/>
          </w:tcPr>
          <w:p>
            <w:pPr>
              <w:ind w:left="280"/>
              <w:spacing w:after="0"/>
              <w:rPr>
                <w:sz w:val="20"/>
                <w:szCs w:val="20"/>
                <w:color w:val="auto"/>
              </w:rPr>
            </w:pPr>
            <w:r>
              <w:rPr>
                <w:rFonts w:ascii="Arial" w:cs="Arial" w:eastAsia="Arial" w:hAnsi="Arial"/>
                <w:sz w:val="18"/>
                <w:szCs w:val="18"/>
                <w:color w:val="auto"/>
              </w:rPr>
              <w:t>Summary of Non-Employee Director Compensation</w:t>
            </w:r>
          </w:p>
        </w:tc>
        <w:tc>
          <w:tcPr>
            <w:tcW w:w="22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31.1</w:t>
            </w:r>
          </w:p>
        </w:tc>
        <w:tc>
          <w:tcPr>
            <w:tcW w:w="6940" w:type="dxa"/>
            <w:vAlign w:val="bottom"/>
            <w:gridSpan w:val="3"/>
          </w:tcPr>
          <w:p>
            <w:pPr>
              <w:ind w:left="280"/>
              <w:spacing w:after="0"/>
              <w:rPr>
                <w:sz w:val="20"/>
                <w:szCs w:val="20"/>
                <w:color w:val="auto"/>
              </w:rPr>
            </w:pPr>
            <w:r>
              <w:rPr>
                <w:rFonts w:ascii="Arial" w:cs="Arial" w:eastAsia="Arial" w:hAnsi="Arial"/>
                <w:sz w:val="18"/>
                <w:szCs w:val="18"/>
                <w:color w:val="auto"/>
                <w:w w:val="95"/>
              </w:rPr>
              <w:t>Certification by Chief Executive Officer pursuant to Rule 13a-14(a) of the Exchange Act.</w:t>
            </w:r>
          </w:p>
        </w:tc>
        <w:tc>
          <w:tcPr>
            <w:tcW w:w="22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31.2</w:t>
            </w:r>
          </w:p>
        </w:tc>
        <w:tc>
          <w:tcPr>
            <w:tcW w:w="6940" w:type="dxa"/>
            <w:vAlign w:val="bottom"/>
            <w:gridSpan w:val="3"/>
          </w:tcPr>
          <w:p>
            <w:pPr>
              <w:ind w:left="280"/>
              <w:spacing w:after="0"/>
              <w:rPr>
                <w:sz w:val="20"/>
                <w:szCs w:val="20"/>
                <w:color w:val="auto"/>
              </w:rPr>
            </w:pPr>
            <w:r>
              <w:rPr>
                <w:rFonts w:ascii="Arial" w:cs="Arial" w:eastAsia="Arial" w:hAnsi="Arial"/>
                <w:sz w:val="18"/>
                <w:szCs w:val="18"/>
                <w:color w:val="auto"/>
                <w:w w:val="95"/>
              </w:rPr>
              <w:t>Certification by Chief Financial Officer pursuant to Rule 13a-14(a) of the Exchange Act.</w:t>
            </w:r>
          </w:p>
        </w:tc>
        <w:tc>
          <w:tcPr>
            <w:tcW w:w="22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32.1</w:t>
            </w:r>
          </w:p>
        </w:tc>
        <w:tc>
          <w:tcPr>
            <w:tcW w:w="6940" w:type="dxa"/>
            <w:vAlign w:val="bottom"/>
            <w:gridSpan w:val="3"/>
          </w:tcPr>
          <w:p>
            <w:pPr>
              <w:ind w:left="280"/>
              <w:spacing w:after="0"/>
              <w:rPr>
                <w:sz w:val="20"/>
                <w:szCs w:val="20"/>
                <w:color w:val="auto"/>
              </w:rPr>
            </w:pPr>
            <w:r>
              <w:rPr>
                <w:rFonts w:ascii="Arial" w:cs="Arial" w:eastAsia="Arial" w:hAnsi="Arial"/>
                <w:sz w:val="18"/>
                <w:szCs w:val="18"/>
                <w:color w:val="auto"/>
              </w:rPr>
              <w:t>Section 1350 Certification by Chief Executive Officer.</w:t>
            </w:r>
          </w:p>
        </w:tc>
        <w:tc>
          <w:tcPr>
            <w:tcW w:w="22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32.2</w:t>
            </w:r>
          </w:p>
        </w:tc>
        <w:tc>
          <w:tcPr>
            <w:tcW w:w="6940" w:type="dxa"/>
            <w:vAlign w:val="bottom"/>
            <w:gridSpan w:val="3"/>
          </w:tcPr>
          <w:p>
            <w:pPr>
              <w:ind w:left="280"/>
              <w:spacing w:after="0"/>
              <w:rPr>
                <w:sz w:val="20"/>
                <w:szCs w:val="20"/>
                <w:color w:val="auto"/>
              </w:rPr>
            </w:pPr>
            <w:r>
              <w:rPr>
                <w:rFonts w:ascii="Arial" w:cs="Arial" w:eastAsia="Arial" w:hAnsi="Arial"/>
                <w:sz w:val="18"/>
                <w:szCs w:val="18"/>
                <w:color w:val="auto"/>
              </w:rPr>
              <w:t>Section 1350 Certification by Chief Financial Officer.</w:t>
            </w:r>
          </w:p>
        </w:tc>
        <w:tc>
          <w:tcPr>
            <w:tcW w:w="22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920" w:hanging="331"/>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157" w:lineRule="exact"/>
        <w:rPr>
          <w:rFonts w:ascii="Arial" w:cs="Arial" w:eastAsia="Arial" w:hAnsi="Arial"/>
          <w:sz w:val="18"/>
          <w:szCs w:val="18"/>
          <w:color w:val="auto"/>
        </w:rPr>
      </w:pPr>
    </w:p>
    <w:p>
      <w:pPr>
        <w:ind w:left="920" w:hanging="331"/>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HAWKINS, INC.</w:t>
      </w:r>
    </w:p>
    <w:p>
      <w:pPr>
        <w:spacing w:after="0" w:line="158" w:lineRule="exact"/>
        <w:rPr>
          <w:sz w:val="20"/>
          <w:szCs w:val="20"/>
          <w:color w:val="auto"/>
        </w:rPr>
      </w:pPr>
    </w:p>
    <w:p>
      <w:pPr>
        <w:ind w:left="490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165735</wp:posOffset>
            </wp:positionV>
            <wp:extent cx="3858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394" w:lineRule="exact"/>
        <w:rPr>
          <w:sz w:val="20"/>
          <w:szCs w:val="20"/>
          <w:color w:val="auto"/>
        </w:rPr>
      </w:pPr>
    </w:p>
    <w:p>
      <w:pPr>
        <w:jc w:val="center"/>
        <w:ind w:left="5340"/>
        <w:spacing w:after="0"/>
        <w:rPr>
          <w:sz w:val="20"/>
          <w:szCs w:val="20"/>
          <w:color w:val="auto"/>
        </w:rPr>
      </w:pPr>
      <w:r>
        <w:rPr>
          <w:rFonts w:ascii="Arial" w:cs="Arial" w:eastAsia="Arial" w:hAnsi="Arial"/>
          <w:sz w:val="18"/>
          <w:szCs w:val="18"/>
          <w:color w:val="auto"/>
        </w:rPr>
        <w:t>Marvin E. Dee</w:t>
      </w:r>
    </w:p>
    <w:p>
      <w:pPr>
        <w:spacing w:after="0" w:line="158" w:lineRule="exact"/>
        <w:rPr>
          <w:sz w:val="20"/>
          <w:szCs w:val="20"/>
          <w:color w:val="auto"/>
        </w:rPr>
      </w:pPr>
    </w:p>
    <w:p>
      <w:pPr>
        <w:jc w:val="center"/>
        <w:ind w:left="5340"/>
        <w:spacing w:after="0"/>
        <w:rPr>
          <w:sz w:val="20"/>
          <w:szCs w:val="20"/>
          <w:color w:val="auto"/>
        </w:rPr>
      </w:pPr>
      <w:r>
        <w:rPr>
          <w:rFonts w:ascii="Arial" w:cs="Arial" w:eastAsia="Arial" w:hAnsi="Arial"/>
          <w:sz w:val="18"/>
          <w:szCs w:val="18"/>
          <w:color w:val="auto"/>
        </w:rPr>
        <w:t>Vice President, Chief Financial Officer, Secretary and Treasurer</w:t>
      </w:r>
    </w:p>
    <w:p>
      <w:pPr>
        <w:spacing w:after="0" w:line="15" w:lineRule="exact"/>
        <w:rPr>
          <w:sz w:val="20"/>
          <w:szCs w:val="20"/>
          <w:color w:val="auto"/>
        </w:rPr>
      </w:pPr>
    </w:p>
    <w:p>
      <w:pPr>
        <w:jc w:val="center"/>
        <w:ind w:left="534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18" w:right="259" w:bottom="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Exhibit Index</w:t>
      </w:r>
    </w:p>
    <w:p>
      <w:pPr>
        <w:sectPr>
          <w:pgSz w:w="11900" w:h="16838" w:orient="portrait"/>
          <w:cols w:equalWidth="0" w:num="1">
            <w:col w:w="11400"/>
          </w:cols>
          <w:pgMar w:left="240" w:top="118" w:right="25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85"/>
              </w:rPr>
              <w:t>Description</w:t>
            </w:r>
          </w:p>
        </w:tc>
        <w:tc>
          <w:tcPr>
            <w:tcW w:w="3520" w:type="dxa"/>
            <w:vAlign w:val="bottom"/>
          </w:tcPr>
          <w:p>
            <w:pPr>
              <w:spacing w:after="0"/>
              <w:rPr>
                <w:sz w:val="14"/>
                <w:szCs w:val="14"/>
                <w:color w:val="auto"/>
              </w:rPr>
            </w:pPr>
          </w:p>
        </w:tc>
        <w:tc>
          <w:tcPr>
            <w:tcW w:w="2480" w:type="dxa"/>
            <w:vAlign w:val="bottom"/>
            <w:gridSpan w:val="3"/>
          </w:tcPr>
          <w:p>
            <w:pPr>
              <w:jc w:val="center"/>
              <w:ind w:left="535"/>
              <w:spacing w:after="0"/>
              <w:rPr>
                <w:sz w:val="20"/>
                <w:szCs w:val="20"/>
                <w:color w:val="auto"/>
              </w:rPr>
            </w:pPr>
            <w:r>
              <w:rPr>
                <w:rFonts w:ascii="Arial" w:cs="Arial" w:eastAsia="Arial" w:hAnsi="Arial"/>
                <w:sz w:val="14"/>
                <w:szCs w:val="14"/>
                <w:b w:val="1"/>
                <w:bCs w:val="1"/>
                <w:color w:val="auto"/>
                <w:w w:val="90"/>
              </w:rPr>
              <w:t>Method of Filing</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auto"/>
              </w:rPr>
              <w:t>amended through February 27, 2001. (1)</w:t>
            </w:r>
          </w:p>
        </w:tc>
        <w:tc>
          <w:tcPr>
            <w:tcW w:w="10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vMerge w:val="continue"/>
          </w:tcPr>
          <w:p>
            <w:pPr>
              <w:spacing w:after="0"/>
              <w:rPr>
                <w:sz w:val="18"/>
                <w:szCs w:val="18"/>
                <w:color w:val="auto"/>
              </w:rPr>
            </w:pP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w w:val="87"/>
              </w:rPr>
              <w:t>Amended and Second Restated Articles of Incorporation as</w:t>
            </w:r>
          </w:p>
        </w:tc>
        <w:tc>
          <w:tcPr>
            <w:tcW w:w="3520" w:type="dxa"/>
            <w:vAlign w:val="bottom"/>
            <w:vMerge w:val="continue"/>
          </w:tcPr>
          <w:p>
            <w:pPr>
              <w:spacing w:after="0"/>
              <w:rPr>
                <w:sz w:val="18"/>
                <w:szCs w:val="18"/>
                <w:color w:val="auto"/>
              </w:rPr>
            </w:pPr>
          </w:p>
        </w:tc>
        <w:tc>
          <w:tcPr>
            <w:tcW w:w="2480" w:type="dxa"/>
            <w:vAlign w:val="bottom"/>
            <w:gridSpan w:val="3"/>
          </w:tcPr>
          <w:p>
            <w:pPr>
              <w:jc w:val="center"/>
              <w:ind w:left="535"/>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356"/>
        </w:trPr>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480" w:type="dxa"/>
            <w:vAlign w:val="bottom"/>
            <w:gridSpan w:val="3"/>
          </w:tcPr>
          <w:p>
            <w:pPr>
              <w:jc w:val="center"/>
              <w:ind w:left="535"/>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365"/>
        </w:trPr>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Summary of Non-Employee Director Compensation</w:t>
            </w:r>
          </w:p>
        </w:tc>
        <w:tc>
          <w:tcPr>
            <w:tcW w:w="2480" w:type="dxa"/>
            <w:vAlign w:val="bottom"/>
            <w:gridSpan w:val="3"/>
          </w:tcPr>
          <w:p>
            <w:pPr>
              <w:jc w:val="center"/>
              <w:ind w:left="535"/>
              <w:spacing w:after="0"/>
              <w:rPr>
                <w:sz w:val="20"/>
                <w:szCs w:val="20"/>
                <w:color w:val="auto"/>
              </w:rPr>
            </w:pPr>
            <w:r>
              <w:rPr>
                <w:rFonts w:ascii="Arial" w:cs="Arial" w:eastAsia="Arial" w:hAnsi="Arial"/>
                <w:sz w:val="18"/>
                <w:szCs w:val="18"/>
                <w:color w:val="auto"/>
                <w:w w:val="91"/>
              </w:rPr>
              <w:t>Filed Electronically</w:t>
            </w:r>
          </w:p>
        </w:tc>
        <w:tc>
          <w:tcPr>
            <w:tcW w:w="0" w:type="dxa"/>
            <w:vAlign w:val="bottom"/>
          </w:tcPr>
          <w:p>
            <w:pPr>
              <w:spacing w:after="0"/>
              <w:rPr>
                <w:sz w:val="1"/>
                <w:szCs w:val="1"/>
                <w:color w:val="auto"/>
              </w:rPr>
            </w:pPr>
          </w:p>
        </w:tc>
      </w:tr>
      <w:tr>
        <w:trPr>
          <w:trHeight w:val="365"/>
        </w:trPr>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31.1</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480" w:type="dxa"/>
            <w:vAlign w:val="bottom"/>
            <w:gridSpan w:val="3"/>
          </w:tcPr>
          <w:p>
            <w:pPr>
              <w:jc w:val="center"/>
              <w:ind w:left="535"/>
              <w:spacing w:after="0"/>
              <w:rPr>
                <w:sz w:val="20"/>
                <w:szCs w:val="20"/>
                <w:color w:val="auto"/>
              </w:rPr>
            </w:pPr>
            <w:r>
              <w:rPr>
                <w:rFonts w:ascii="Arial" w:cs="Arial" w:eastAsia="Arial" w:hAnsi="Arial"/>
                <w:sz w:val="18"/>
                <w:szCs w:val="18"/>
                <w:color w:val="auto"/>
                <w:w w:val="91"/>
              </w:rPr>
              <w:t>Filed Electronically</w:t>
            </w:r>
          </w:p>
        </w:tc>
        <w:tc>
          <w:tcPr>
            <w:tcW w:w="0" w:type="dxa"/>
            <w:vAlign w:val="bottom"/>
          </w:tcPr>
          <w:p>
            <w:pPr>
              <w:spacing w:after="0"/>
              <w:rPr>
                <w:sz w:val="1"/>
                <w:szCs w:val="1"/>
                <w:color w:val="auto"/>
              </w:rPr>
            </w:pPr>
          </w:p>
        </w:tc>
      </w:tr>
      <w:tr>
        <w:trPr>
          <w:trHeight w:val="365"/>
        </w:trPr>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31.2</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480" w:type="dxa"/>
            <w:vAlign w:val="bottom"/>
            <w:gridSpan w:val="3"/>
          </w:tcPr>
          <w:p>
            <w:pPr>
              <w:jc w:val="center"/>
              <w:ind w:left="535"/>
              <w:spacing w:after="0"/>
              <w:rPr>
                <w:sz w:val="20"/>
                <w:szCs w:val="20"/>
                <w:color w:val="auto"/>
              </w:rPr>
            </w:pPr>
            <w:r>
              <w:rPr>
                <w:rFonts w:ascii="Arial" w:cs="Arial" w:eastAsia="Arial" w:hAnsi="Arial"/>
                <w:sz w:val="18"/>
                <w:szCs w:val="18"/>
                <w:color w:val="auto"/>
                <w:w w:val="91"/>
              </w:rPr>
              <w:t>Filed Electronically</w:t>
            </w:r>
          </w:p>
        </w:tc>
        <w:tc>
          <w:tcPr>
            <w:tcW w:w="0" w:type="dxa"/>
            <w:vAlign w:val="bottom"/>
          </w:tcPr>
          <w:p>
            <w:pPr>
              <w:spacing w:after="0"/>
              <w:rPr>
                <w:sz w:val="1"/>
                <w:szCs w:val="1"/>
                <w:color w:val="auto"/>
              </w:rPr>
            </w:pPr>
          </w:p>
        </w:tc>
      </w:tr>
      <w:tr>
        <w:trPr>
          <w:trHeight w:val="365"/>
        </w:trPr>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32.1</w:t>
            </w:r>
          </w:p>
        </w:tc>
        <w:tc>
          <w:tcPr>
            <w:tcW w:w="1120" w:type="dxa"/>
            <w:vAlign w:val="bottom"/>
          </w:tcPr>
          <w:p>
            <w:pPr>
              <w:ind w:left="180"/>
              <w:spacing w:after="0"/>
              <w:rPr>
                <w:sz w:val="20"/>
                <w:szCs w:val="20"/>
                <w:color w:val="auto"/>
              </w:rPr>
            </w:pPr>
            <w:r>
              <w:rPr>
                <w:rFonts w:ascii="Arial" w:cs="Arial" w:eastAsia="Arial" w:hAnsi="Arial"/>
                <w:sz w:val="18"/>
                <w:szCs w:val="18"/>
                <w:color w:val="auto"/>
                <w:w w:val="87"/>
              </w:rPr>
              <w:t>Section 1350</w:t>
            </w:r>
          </w:p>
        </w:tc>
        <w:tc>
          <w:tcPr>
            <w:tcW w:w="674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480" w:type="dxa"/>
            <w:vAlign w:val="bottom"/>
            <w:gridSpan w:val="3"/>
          </w:tcPr>
          <w:p>
            <w:pPr>
              <w:jc w:val="center"/>
              <w:ind w:left="535"/>
              <w:spacing w:after="0"/>
              <w:rPr>
                <w:sz w:val="20"/>
                <w:szCs w:val="20"/>
                <w:color w:val="auto"/>
              </w:rPr>
            </w:pPr>
            <w:r>
              <w:rPr>
                <w:rFonts w:ascii="Arial" w:cs="Arial" w:eastAsia="Arial" w:hAnsi="Arial"/>
                <w:sz w:val="18"/>
                <w:szCs w:val="18"/>
                <w:color w:val="auto"/>
                <w:w w:val="91"/>
              </w:rPr>
              <w:t>Filed Electronically</w:t>
            </w:r>
          </w:p>
        </w:tc>
        <w:tc>
          <w:tcPr>
            <w:tcW w:w="0" w:type="dxa"/>
            <w:vAlign w:val="bottom"/>
          </w:tcPr>
          <w:p>
            <w:pPr>
              <w:spacing w:after="0"/>
              <w:rPr>
                <w:sz w:val="1"/>
                <w:szCs w:val="1"/>
                <w:color w:val="auto"/>
              </w:rPr>
            </w:pPr>
          </w:p>
        </w:tc>
      </w:tr>
      <w:tr>
        <w:trPr>
          <w:trHeight w:val="365"/>
        </w:trPr>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32.2</w:t>
            </w:r>
          </w:p>
        </w:tc>
        <w:tc>
          <w:tcPr>
            <w:tcW w:w="1120" w:type="dxa"/>
            <w:vAlign w:val="bottom"/>
          </w:tcPr>
          <w:p>
            <w:pPr>
              <w:ind w:left="180"/>
              <w:spacing w:after="0"/>
              <w:rPr>
                <w:sz w:val="20"/>
                <w:szCs w:val="20"/>
                <w:color w:val="auto"/>
              </w:rPr>
            </w:pPr>
            <w:r>
              <w:rPr>
                <w:rFonts w:ascii="Arial" w:cs="Arial" w:eastAsia="Arial" w:hAnsi="Arial"/>
                <w:sz w:val="18"/>
                <w:szCs w:val="18"/>
                <w:color w:val="auto"/>
                <w:w w:val="87"/>
              </w:rPr>
              <w:t>Section 1350</w:t>
            </w:r>
          </w:p>
        </w:tc>
        <w:tc>
          <w:tcPr>
            <w:tcW w:w="674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480" w:type="dxa"/>
            <w:vAlign w:val="bottom"/>
            <w:gridSpan w:val="3"/>
          </w:tcPr>
          <w:p>
            <w:pPr>
              <w:jc w:val="center"/>
              <w:ind w:left="535"/>
              <w:spacing w:after="0"/>
              <w:rPr>
                <w:sz w:val="20"/>
                <w:szCs w:val="20"/>
                <w:color w:val="auto"/>
              </w:rPr>
            </w:pPr>
            <w:r>
              <w:rPr>
                <w:rFonts w:ascii="Arial" w:cs="Arial" w:eastAsia="Arial" w:hAnsi="Arial"/>
                <w:sz w:val="18"/>
                <w:szCs w:val="18"/>
                <w:color w:val="auto"/>
                <w:w w:val="91"/>
              </w:rPr>
              <w:t>Filed Electronically</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157"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00"/>
          </w:cols>
          <w:pgMar w:left="240" w:top="289" w:right="559" w:bottom="1440" w:gutter="0" w:footer="0" w:header="0"/>
        </w:sectPr>
      </w:pPr>
    </w:p>
    <w:bookmarkStart w:id="12" w:name="page13"/>
    <w:bookmarkEnd w:id="12"/>
    <w:p>
      <w:pPr>
        <w:ind w:left="10060"/>
        <w:spacing w:after="0"/>
        <w:rPr>
          <w:sz w:val="20"/>
          <w:szCs w:val="20"/>
          <w:color w:val="auto"/>
        </w:rPr>
      </w:pPr>
      <w:r>
        <w:rPr>
          <w:rFonts w:ascii="Arial" w:cs="Arial" w:eastAsia="Arial" w:hAnsi="Arial"/>
          <w:sz w:val="22"/>
          <w:szCs w:val="22"/>
          <w:b w:val="1"/>
          <w:bCs w:val="1"/>
          <w:color w:val="auto"/>
        </w:rPr>
        <w:t>EXHIBIT 10.1</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22"/>
          <w:szCs w:val="22"/>
          <w:u w:val="single" w:color="auto"/>
          <w:color w:val="auto"/>
        </w:rPr>
        <w:t>Summary of Non-Employee Director Compensation</w:t>
      </w:r>
    </w:p>
    <w:p>
      <w:pPr>
        <w:spacing w:after="0" w:line="2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September 18, 2007, the Compensation Committee of the Hawkins, Inc. (the “Company”) Board of Directors approved changes in the non-employee directors’ compensation. The changes provide that the cash portion of the annual retainer increases from $15,000 to $20,000 and each non-employee director will receive an annual restricted grant of 1,000 shares of the Company’s Common Stock (“Common Stock”) on the date of the Company’s annual meeting of shareholders. Previously $6,000 of the $15,000 cash retainer was used to purchase Common Stock through the Company’s Employee Stock Purchase Plan and the Company credited an additional $4,500 to each non-employee director’s account to fund the purchase of additional shares of Common Stock. The new annual Common Stock grants will vest on the first anniversary of their issuance, subject to acceleration in the event of a director’s death or disability. The changes were made effective for the current fiscal year.</w:t>
      </w:r>
    </w:p>
    <w:p>
      <w:pPr>
        <w:spacing w:after="0" w:line="172"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The additional annual retainer paid to the Board chair remains at $10,000 and each non-employee director will continue to receive a meeting fee of $1,000 for each Board and committee meeting attended. The additional annual retainer paid to the chairs of the Audit Committee and the Compensation Committee increases from $2,500 to $5,000 and the chair of the Governance and Nominating Committee Chair will now receive an additional annual retainer of $2,500.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These changes are intended to keep the directors’ compensation competitive.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compensation payable to non-employee directors before and after this increase: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1300" w:type="dxa"/>
            <w:vAlign w:val="bottom"/>
          </w:tcPr>
          <w:p>
            <w:pPr>
              <w:jc w:val="right"/>
              <w:ind w:right="115"/>
              <w:spacing w:after="0"/>
              <w:rPr>
                <w:sz w:val="20"/>
                <w:szCs w:val="20"/>
                <w:color w:val="auto"/>
              </w:rPr>
            </w:pPr>
            <w:r>
              <w:rPr>
                <w:rFonts w:ascii="Arial" w:cs="Arial" w:eastAsia="Arial" w:hAnsi="Arial"/>
                <w:sz w:val="14"/>
                <w:szCs w:val="14"/>
                <w:b w:val="1"/>
                <w:bCs w:val="1"/>
                <w:color w:val="auto"/>
              </w:rPr>
              <w:t>Before Increase</w:t>
            </w:r>
          </w:p>
        </w:tc>
        <w:tc>
          <w:tcPr>
            <w:tcW w:w="340" w:type="dxa"/>
            <w:vAlign w:val="bottom"/>
          </w:tcPr>
          <w:p>
            <w:pPr>
              <w:spacing w:after="0"/>
              <w:rPr>
                <w:sz w:val="15"/>
                <w:szCs w:val="15"/>
                <w:color w:val="auto"/>
              </w:rPr>
            </w:pPr>
          </w:p>
        </w:tc>
        <w:tc>
          <w:tcPr>
            <w:tcW w:w="1320" w:type="dxa"/>
            <w:vAlign w:val="bottom"/>
          </w:tcPr>
          <w:p>
            <w:pPr>
              <w:jc w:val="right"/>
              <w:ind w:right="159"/>
              <w:spacing w:after="0"/>
              <w:rPr>
                <w:sz w:val="20"/>
                <w:szCs w:val="20"/>
                <w:color w:val="auto"/>
              </w:rPr>
            </w:pPr>
            <w:r>
              <w:rPr>
                <w:rFonts w:ascii="Arial" w:cs="Arial" w:eastAsia="Arial" w:hAnsi="Arial"/>
                <w:sz w:val="14"/>
                <w:szCs w:val="14"/>
                <w:b w:val="1"/>
                <w:bCs w:val="1"/>
                <w:color w:val="auto"/>
              </w:rPr>
              <w:t>After Increase</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D6F3E8"/>
          </w:tcPr>
          <w:p>
            <w:pPr>
              <w:spacing w:after="0"/>
              <w:rPr>
                <w:sz w:val="20"/>
                <w:szCs w:val="20"/>
                <w:color w:val="auto"/>
              </w:rPr>
            </w:pPr>
            <w:r>
              <w:rPr>
                <w:rFonts w:ascii="Arial" w:cs="Arial" w:eastAsia="Arial" w:hAnsi="Arial"/>
                <w:sz w:val="18"/>
                <w:szCs w:val="18"/>
                <w:color w:val="auto"/>
              </w:rPr>
              <w:t>Portion of the Annual Retainer Payable in Cash</w:t>
            </w:r>
          </w:p>
        </w:tc>
        <w:tc>
          <w:tcPr>
            <w:tcW w:w="1300" w:type="dxa"/>
            <w:vAlign w:val="bottom"/>
            <w:shd w:val="clear" w:color="auto" w:fill="D6F3E8"/>
          </w:tcPr>
          <w:p>
            <w:pPr>
              <w:jc w:val="right"/>
              <w:ind w:right="275"/>
              <w:spacing w:after="0"/>
              <w:rPr>
                <w:sz w:val="20"/>
                <w:szCs w:val="20"/>
                <w:color w:val="auto"/>
              </w:rPr>
            </w:pPr>
            <w:r>
              <w:rPr>
                <w:rFonts w:ascii="Arial" w:cs="Arial" w:eastAsia="Arial" w:hAnsi="Arial"/>
                <w:sz w:val="18"/>
                <w:szCs w:val="18"/>
                <w:color w:val="auto"/>
              </w:rPr>
              <w:t>$9,000</w:t>
            </w:r>
          </w:p>
        </w:tc>
        <w:tc>
          <w:tcPr>
            <w:tcW w:w="340" w:type="dxa"/>
            <w:vAlign w:val="bottom"/>
            <w:shd w:val="clear" w:color="auto" w:fill="D6F3E8"/>
          </w:tcPr>
          <w:p>
            <w:pPr>
              <w:spacing w:after="0"/>
              <w:rPr>
                <w:sz w:val="18"/>
                <w:szCs w:val="18"/>
                <w:color w:val="auto"/>
              </w:rPr>
            </w:pPr>
          </w:p>
        </w:tc>
        <w:tc>
          <w:tcPr>
            <w:tcW w:w="1320" w:type="dxa"/>
            <w:vAlign w:val="bottom"/>
            <w:shd w:val="clear" w:color="auto" w:fill="D6F3E8"/>
          </w:tcPr>
          <w:p>
            <w:pPr>
              <w:jc w:val="right"/>
              <w:ind w:right="19"/>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Portion of the Annual Retainer Payable as Annual Common Stock Grant or Otherwise Payable Only in</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300" w:type="dxa"/>
            <w:vAlign w:val="bottom"/>
          </w:tcPr>
          <w:p>
            <w:pPr>
              <w:jc w:val="right"/>
              <w:ind w:right="275"/>
              <w:spacing w:after="0"/>
              <w:rPr>
                <w:sz w:val="20"/>
                <w:szCs w:val="20"/>
                <w:color w:val="auto"/>
              </w:rPr>
            </w:pPr>
            <w:r>
              <w:rPr>
                <w:rFonts w:ascii="Arial" w:cs="Arial" w:eastAsia="Arial" w:hAnsi="Arial"/>
                <w:sz w:val="18"/>
                <w:szCs w:val="18"/>
                <w:color w:val="auto"/>
              </w:rPr>
              <w:t>$10,500</w:t>
            </w:r>
          </w:p>
        </w:tc>
        <w:tc>
          <w:tcPr>
            <w:tcW w:w="3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1,000 shares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D6F3E8"/>
          </w:tcPr>
          <w:p>
            <w:pPr>
              <w:spacing w:after="0"/>
              <w:rPr>
                <w:sz w:val="20"/>
                <w:szCs w:val="20"/>
                <w:color w:val="auto"/>
              </w:rPr>
            </w:pPr>
            <w:r>
              <w:rPr>
                <w:rFonts w:ascii="Arial" w:cs="Arial" w:eastAsia="Arial" w:hAnsi="Arial"/>
                <w:sz w:val="18"/>
                <w:szCs w:val="18"/>
                <w:color w:val="auto"/>
              </w:rPr>
              <w:t>Meeting Fee</w:t>
            </w:r>
          </w:p>
        </w:tc>
        <w:tc>
          <w:tcPr>
            <w:tcW w:w="1300" w:type="dxa"/>
            <w:vAlign w:val="bottom"/>
            <w:shd w:val="clear" w:color="auto" w:fill="D6F3E8"/>
          </w:tcPr>
          <w:p>
            <w:pPr>
              <w:jc w:val="right"/>
              <w:ind w:right="275"/>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D6F3E8"/>
          </w:tcPr>
          <w:p>
            <w:pPr>
              <w:jc w:val="right"/>
              <w:ind w:right="19"/>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340" w:type="dxa"/>
            <w:vAlign w:val="bottom"/>
            <w:gridSpan w:val="2"/>
          </w:tcPr>
          <w:p>
            <w:pPr>
              <w:spacing w:after="0"/>
              <w:rPr>
                <w:sz w:val="20"/>
                <w:szCs w:val="20"/>
                <w:color w:val="auto"/>
              </w:rPr>
            </w:pPr>
            <w:r>
              <w:rPr>
                <w:rFonts w:ascii="Arial" w:cs="Arial" w:eastAsia="Arial" w:hAnsi="Arial"/>
                <w:sz w:val="18"/>
                <w:szCs w:val="18"/>
                <w:color w:val="auto"/>
              </w:rPr>
              <w:t>Additional Annual Retainer for Board Chair</w:t>
            </w:r>
          </w:p>
        </w:tc>
        <w:tc>
          <w:tcPr>
            <w:tcW w:w="1300" w:type="dxa"/>
            <w:vAlign w:val="bottom"/>
          </w:tcPr>
          <w:p>
            <w:pPr>
              <w:jc w:val="right"/>
              <w:ind w:right="275"/>
              <w:spacing w:after="0"/>
              <w:rPr>
                <w:sz w:val="20"/>
                <w:szCs w:val="20"/>
                <w:color w:val="auto"/>
              </w:rPr>
            </w:pPr>
            <w:r>
              <w:rPr>
                <w:rFonts w:ascii="Arial" w:cs="Arial" w:eastAsia="Arial" w:hAnsi="Arial"/>
                <w:sz w:val="18"/>
                <w:szCs w:val="18"/>
                <w:color w:val="auto"/>
              </w:rPr>
              <w:t>$10,000</w:t>
            </w:r>
          </w:p>
        </w:tc>
        <w:tc>
          <w:tcPr>
            <w:tcW w:w="1660" w:type="dxa"/>
            <w:vAlign w:val="bottom"/>
            <w:gridSpan w:val="2"/>
          </w:tcPr>
          <w:p>
            <w:pPr>
              <w:jc w:val="right"/>
              <w:ind w:right="19"/>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shd w:val="clear" w:color="auto" w:fill="D6F3E8"/>
          </w:tcPr>
          <w:p>
            <w:pPr>
              <w:spacing w:after="0"/>
              <w:rPr>
                <w:sz w:val="20"/>
                <w:szCs w:val="20"/>
                <w:color w:val="auto"/>
              </w:rPr>
            </w:pPr>
            <w:r>
              <w:rPr>
                <w:rFonts w:ascii="Arial" w:cs="Arial" w:eastAsia="Arial" w:hAnsi="Arial"/>
                <w:sz w:val="18"/>
                <w:szCs w:val="18"/>
                <w:color w:val="auto"/>
              </w:rPr>
              <w:t>Additional Annual Retainer for Audit Committee &amp; Compensation Committee Chairs</w:t>
            </w:r>
          </w:p>
        </w:tc>
        <w:tc>
          <w:tcPr>
            <w:tcW w:w="1300" w:type="dxa"/>
            <w:vAlign w:val="bottom"/>
            <w:shd w:val="clear" w:color="auto" w:fill="D6F3E8"/>
          </w:tcPr>
          <w:p>
            <w:pPr>
              <w:jc w:val="right"/>
              <w:ind w:right="275"/>
              <w:spacing w:after="0"/>
              <w:rPr>
                <w:sz w:val="20"/>
                <w:szCs w:val="20"/>
                <w:color w:val="auto"/>
              </w:rPr>
            </w:pPr>
            <w:r>
              <w:rPr>
                <w:rFonts w:ascii="Arial" w:cs="Arial" w:eastAsia="Arial" w:hAnsi="Arial"/>
                <w:sz w:val="18"/>
                <w:szCs w:val="18"/>
                <w:color w:val="auto"/>
              </w:rPr>
              <w:t>$2,500</w:t>
            </w:r>
          </w:p>
        </w:tc>
        <w:tc>
          <w:tcPr>
            <w:tcW w:w="1660" w:type="dxa"/>
            <w:vAlign w:val="bottom"/>
            <w:gridSpan w:val="2"/>
            <w:shd w:val="clear" w:color="auto" w:fill="D6F3E8"/>
          </w:tcPr>
          <w:p>
            <w:pPr>
              <w:jc w:val="right"/>
              <w:ind w:right="19"/>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Additional Annual Retainer for Governance &amp; Nominating Committee Chair</w:t>
            </w:r>
          </w:p>
        </w:tc>
        <w:tc>
          <w:tcPr>
            <w:tcW w:w="1300" w:type="dxa"/>
            <w:vAlign w:val="bottom"/>
          </w:tcPr>
          <w:p>
            <w:pPr>
              <w:jc w:val="right"/>
              <w:ind w:right="275"/>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ind w:right="19"/>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8"/>
        </w:trPr>
        <w:tc>
          <w:tcPr>
            <w:tcW w:w="20" w:type="dxa"/>
            <w:vAlign w:val="bottom"/>
            <w:tcBorders>
              <w:bottom w:val="single" w:sz="8" w:color="808080"/>
            </w:tcBorders>
          </w:tcPr>
          <w:p>
            <w:pPr>
              <w:spacing w:after="0"/>
              <w:rPr>
                <w:sz w:val="24"/>
                <w:szCs w:val="24"/>
                <w:color w:val="auto"/>
              </w:rPr>
            </w:pPr>
          </w:p>
        </w:tc>
        <w:tc>
          <w:tcPr>
            <w:tcW w:w="83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31.1</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158"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57" w:lineRule="exact"/>
        <w:rPr>
          <w:rFonts w:ascii="Arial" w:cs="Arial" w:eastAsia="Arial" w:hAnsi="Arial"/>
          <w:sz w:val="18"/>
          <w:szCs w:val="18"/>
          <w:color w:val="auto"/>
        </w:rPr>
      </w:pPr>
    </w:p>
    <w:p>
      <w:pPr>
        <w:jc w:val="both"/>
        <w:ind w:left="1160" w:right="40" w:hanging="571"/>
        <w:spacing w:after="0" w:line="259"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1160" w:right="240" w:hanging="571"/>
        <w:spacing w:after="0" w:line="259"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26" w:lineRule="exact"/>
        <w:rPr>
          <w:rFonts w:ascii="Arial" w:cs="Arial" w:eastAsia="Arial" w:hAnsi="Arial"/>
          <w:sz w:val="18"/>
          <w:szCs w:val="18"/>
          <w:color w:val="auto"/>
        </w:rPr>
      </w:pPr>
    </w:p>
    <w:p>
      <w:pPr>
        <w:ind w:left="1720" w:right="120" w:hanging="564"/>
        <w:spacing w:after="0" w:line="306" w:lineRule="auto"/>
        <w:tabs>
          <w:tab w:leader="none" w:pos="17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720" w:right="40" w:hanging="564"/>
        <w:spacing w:after="0" w:line="306" w:lineRule="auto"/>
        <w:tabs>
          <w:tab w:leader="none" w:pos="17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93" w:lineRule="exact"/>
        <w:rPr>
          <w:rFonts w:ascii="Arial" w:cs="Arial" w:eastAsia="Arial" w:hAnsi="Arial"/>
          <w:sz w:val="16"/>
          <w:szCs w:val="16"/>
          <w:color w:val="auto"/>
        </w:rPr>
      </w:pPr>
    </w:p>
    <w:p>
      <w:pPr>
        <w:jc w:val="both"/>
        <w:ind w:left="1720" w:right="200" w:hanging="564"/>
        <w:spacing w:after="0" w:line="370" w:lineRule="auto"/>
        <w:tabs>
          <w:tab w:leader="none" w:pos="172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720" w:right="240" w:hanging="564"/>
        <w:spacing w:after="0" w:line="259" w:lineRule="auto"/>
        <w:tabs>
          <w:tab w:leader="none" w:pos="1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200" w:hanging="571"/>
        <w:spacing w:after="0" w:line="332"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160" w:right="80" w:hanging="4"/>
        <w:spacing w:after="0" w:line="332" w:lineRule="auto"/>
        <w:tabs>
          <w:tab w:leader="none" w:pos="13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160" w:right="20" w:hanging="4"/>
        <w:spacing w:after="0" w:line="268" w:lineRule="auto"/>
        <w:tabs>
          <w:tab w:leader="none" w:pos="135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2007</w:t>
      </w:r>
    </w:p>
    <w:p>
      <w:pPr>
        <w:spacing w:after="0" w:line="23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165735</wp:posOffset>
            </wp:positionV>
            <wp:extent cx="11664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94"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t>EXHIBIT 31.2</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158"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57" w:lineRule="exact"/>
        <w:rPr>
          <w:rFonts w:ascii="Arial" w:cs="Arial" w:eastAsia="Arial" w:hAnsi="Arial"/>
          <w:sz w:val="18"/>
          <w:szCs w:val="18"/>
          <w:color w:val="auto"/>
        </w:rPr>
      </w:pPr>
    </w:p>
    <w:p>
      <w:pPr>
        <w:jc w:val="both"/>
        <w:ind w:left="1160" w:right="40" w:hanging="571"/>
        <w:spacing w:after="0" w:line="259"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1160" w:right="240" w:hanging="571"/>
        <w:spacing w:after="0" w:line="259"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26" w:lineRule="exact"/>
        <w:rPr>
          <w:rFonts w:ascii="Arial" w:cs="Arial" w:eastAsia="Arial" w:hAnsi="Arial"/>
          <w:sz w:val="18"/>
          <w:szCs w:val="18"/>
          <w:color w:val="auto"/>
        </w:rPr>
      </w:pPr>
    </w:p>
    <w:p>
      <w:pPr>
        <w:ind w:left="1720" w:right="120" w:hanging="564"/>
        <w:spacing w:after="0" w:line="306" w:lineRule="auto"/>
        <w:tabs>
          <w:tab w:leader="none" w:pos="17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720" w:right="40" w:hanging="564"/>
        <w:spacing w:after="0" w:line="306" w:lineRule="auto"/>
        <w:tabs>
          <w:tab w:leader="none" w:pos="17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93" w:lineRule="exact"/>
        <w:rPr>
          <w:rFonts w:ascii="Arial" w:cs="Arial" w:eastAsia="Arial" w:hAnsi="Arial"/>
          <w:sz w:val="16"/>
          <w:szCs w:val="16"/>
          <w:color w:val="auto"/>
        </w:rPr>
      </w:pPr>
    </w:p>
    <w:p>
      <w:pPr>
        <w:jc w:val="both"/>
        <w:ind w:left="1720" w:right="200" w:hanging="564"/>
        <w:spacing w:after="0" w:line="370" w:lineRule="auto"/>
        <w:tabs>
          <w:tab w:leader="none" w:pos="17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720" w:right="240" w:hanging="564"/>
        <w:spacing w:after="0" w:line="259" w:lineRule="auto"/>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200" w:hanging="571"/>
        <w:spacing w:after="0" w:line="332"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160" w:right="80" w:hanging="4"/>
        <w:spacing w:after="0" w:line="332" w:lineRule="auto"/>
        <w:tabs>
          <w:tab w:leader="none" w:pos="13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160" w:right="20" w:hanging="4"/>
        <w:spacing w:after="0" w:line="268" w:lineRule="auto"/>
        <w:tabs>
          <w:tab w:leader="none" w:pos="13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2007</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165735</wp:posOffset>
            </wp:positionV>
            <wp:extent cx="10547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39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2007 as filed with the Securities and Exchange Commission on the date hereof (the “Report”), I, John R. Hawkins, Chief Executive Officer of the Company, certify, pursuant to 18 U.S.C. § 1350, as adopted pursuant to § 906 of the Sarbanes-Oxley Act of 2002, that:</w:t>
      </w:r>
    </w:p>
    <w:p>
      <w:pPr>
        <w:spacing w:after="0" w:line="194" w:lineRule="exact"/>
        <w:rPr>
          <w:sz w:val="20"/>
          <w:szCs w:val="20"/>
          <w:color w:val="auto"/>
        </w:rPr>
      </w:pPr>
    </w:p>
    <w:p>
      <w:pPr>
        <w:ind w:left="700" w:hanging="253"/>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40" w:firstLine="447"/>
        <w:spacing w:after="0" w:line="516" w:lineRule="auto"/>
        <w:tabs>
          <w:tab w:leader="none" w:pos="6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1664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982345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2007 as filed with the Securities and Exchange Commission on the date hereof (the “Report”), I, Marvin E. Dee, Chief Financial Officer of the Company, certify, pursuant to 18 U.S.C. § 1350, as adopted pursuant to § 906 of the Sarbanes-Oxley Act of 2002, that:</w:t>
      </w:r>
    </w:p>
    <w:p>
      <w:pPr>
        <w:spacing w:after="0" w:line="194" w:lineRule="exact"/>
        <w:rPr>
          <w:sz w:val="20"/>
          <w:szCs w:val="20"/>
          <w:color w:val="auto"/>
        </w:rPr>
      </w:pPr>
    </w:p>
    <w:p>
      <w:pPr>
        <w:ind w:left="700" w:hanging="253"/>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40" w:firstLine="447"/>
        <w:spacing w:after="0" w:line="516" w:lineRule="auto"/>
        <w:tabs>
          <w:tab w:leader="none" w:pos="6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0890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982345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5"/>
    </w:lvl>
  </w:abstractNum>
  <w:abstractNum w:abstractNumId="3">
    <w:nsid w:val="515F007C"/>
    <w:multiLevelType w:val="hybridMultilevel"/>
    <w:lvl w:ilvl="0">
      <w:lvlJc w:val="left"/>
      <w:lvlText w:val="%1."/>
      <w:numFmt w:val="decimal"/>
      <w:start w:val="6"/>
    </w:lvl>
  </w:abstractNum>
  <w:abstractNum w:abstractNumId="4">
    <w:nsid w:val="5BD062C2"/>
    <w:multiLevelType w:val="hybridMultilevel"/>
    <w:lvl w:ilvl="0">
      <w:lvlJc w:val="left"/>
      <w:lvlText w:val="%1."/>
      <w:numFmt w:val="decimal"/>
      <w:start w:val="7"/>
    </w:lvl>
  </w:abstractNum>
  <w:abstractNum w:abstractNumId="5">
    <w:nsid w:val="12200854"/>
    <w:multiLevelType w:val="hybridMultilevel"/>
    <w:lvl w:ilvl="0">
      <w:lvlJc w:val="left"/>
      <w:lvlText w:val="%1."/>
      <w:numFmt w:val="decimal"/>
      <w:start w:val="8"/>
    </w:lvl>
  </w:abstractNum>
  <w:abstractNum w:abstractNumId="6">
    <w:nsid w:val="4DB127F8"/>
    <w:multiLevelType w:val="hybridMultilevel"/>
    <w:lvl w:ilvl="0">
      <w:lvlJc w:val="left"/>
      <w:lvlText w:val="%1."/>
      <w:numFmt w:val="decimal"/>
      <w:start w:val="10"/>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2019-12-11T17:22:54Z</dcterms:created>
  <dcterms:modified xsi:type="dcterms:W3CDTF">2019-12-11T17:22:54Z</dcterms:modified>
</cp:coreProperties>
</file>