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259715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5120"/>
        <w:spacing w:after="0"/>
        <w:rPr>
          <w:sz w:val="20"/>
          <w:szCs w:val="20"/>
          <w:color w:val="auto"/>
        </w:rPr>
      </w:pPr>
      <w:r>
        <w:rPr>
          <w:rFonts w:ascii="Arial" w:cs="Arial" w:eastAsia="Arial" w:hAnsi="Arial"/>
          <w:sz w:val="25"/>
          <w:szCs w:val="25"/>
          <w:b w:val="1"/>
          <w:bCs w:val="1"/>
          <w:color w:val="auto"/>
        </w:rPr>
        <w:t>Form 10-K</w:t>
      </w:r>
    </w:p>
    <w:p>
      <w:pPr>
        <w:spacing w:after="0" w:line="63" w:lineRule="exact"/>
        <w:rPr>
          <w:sz w:val="24"/>
          <w:szCs w:val="24"/>
          <w:color w:val="auto"/>
        </w:rPr>
      </w:pPr>
    </w:p>
    <w:p>
      <w:pPr>
        <w:jc w:val="right"/>
        <w:ind w:right="1880"/>
        <w:spacing w:after="0"/>
        <w:rPr>
          <w:sz w:val="20"/>
          <w:szCs w:val="20"/>
          <w:color w:val="auto"/>
        </w:rPr>
      </w:pPr>
      <w:r>
        <w:rPr>
          <w:rFonts w:ascii="Arial" w:cs="Arial" w:eastAsia="Arial" w:hAnsi="Arial"/>
          <w:sz w:val="25"/>
          <w:szCs w:val="25"/>
          <w:b w:val="1"/>
          <w:bCs w:val="1"/>
          <w:color w:val="auto"/>
        </w:rPr>
        <w:t>ANNUAL REPORT PURSUANT TO SECTION 13 OR 15(d) OF THE</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45" w:lineRule="exact"/>
        <w:rPr>
          <w:sz w:val="24"/>
          <w:szCs w:val="24"/>
          <w:color w:val="auto"/>
        </w:rPr>
      </w:pPr>
    </w:p>
    <w:tbl>
      <w:tblPr>
        <w:tblLayout w:type="fixed"/>
        <w:tblInd w:w="1520" w:type="dxa"/>
        <w:tblCellMar>
          <w:top w:w="0" w:type="dxa"/>
          <w:left w:w="0" w:type="dxa"/>
          <w:bottom w:w="0" w:type="dxa"/>
          <w:right w:w="0" w:type="dxa"/>
        </w:tblCellMar>
      </w:tblPr>
      <w:tr>
        <w:trPr>
          <w:trHeight w:val="281"/>
        </w:trPr>
        <w:tc>
          <w:tcPr>
            <w:tcW w:w="6480" w:type="dxa"/>
            <w:vAlign w:val="bottom"/>
          </w:tcPr>
          <w:p>
            <w:pPr>
              <w:jc w:val="center"/>
              <w:ind w:left="1808"/>
              <w:spacing w:after="0"/>
              <w:rPr>
                <w:sz w:val="20"/>
                <w:szCs w:val="20"/>
                <w:color w:val="auto"/>
              </w:rPr>
            </w:pPr>
            <w:r>
              <w:rPr>
                <w:rFonts w:ascii="Arial" w:cs="Arial" w:eastAsia="Arial" w:hAnsi="Arial"/>
                <w:sz w:val="22"/>
                <w:szCs w:val="22"/>
                <w:b w:val="1"/>
                <w:bCs w:val="1"/>
                <w:color w:val="auto"/>
                <w:w w:val="90"/>
              </w:rPr>
              <w:t>For the Fiscal Year Ended March 31, 2013</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80" w:type="dxa"/>
            <w:vAlign w:val="bottom"/>
          </w:tcPr>
          <w:p>
            <w:pPr>
              <w:jc w:val="center"/>
              <w:ind w:left="1808"/>
              <w:spacing w:after="0"/>
              <w:rPr>
                <w:sz w:val="20"/>
                <w:szCs w:val="20"/>
                <w:color w:val="auto"/>
              </w:rPr>
            </w:pPr>
            <w:r>
              <w:rPr>
                <w:rFonts w:ascii="Arial" w:cs="Arial" w:eastAsia="Arial" w:hAnsi="Arial"/>
                <w:sz w:val="22"/>
                <w:szCs w:val="22"/>
                <w:b w:val="1"/>
                <w:bCs w:val="1"/>
                <w:color w:val="auto"/>
                <w:w w:val="88"/>
              </w:rPr>
              <w:t>Commission File No. 0-7647</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480" w:type="dxa"/>
            <w:vAlign w:val="bottom"/>
          </w:tcPr>
          <w:p>
            <w:pPr>
              <w:jc w:val="center"/>
              <w:ind w:left="1808"/>
              <w:spacing w:after="0"/>
              <w:rPr>
                <w:sz w:val="20"/>
                <w:szCs w:val="20"/>
                <w:color w:val="auto"/>
              </w:rPr>
            </w:pPr>
            <w:r>
              <w:rPr>
                <w:rFonts w:ascii="Arial" w:cs="Arial" w:eastAsia="Arial" w:hAnsi="Arial"/>
                <w:sz w:val="36"/>
                <w:szCs w:val="36"/>
                <w:b w:val="1"/>
                <w:bCs w:val="1"/>
                <w:color w:val="auto"/>
              </w:rPr>
              <w:t>HAWKINS, 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80" w:type="dxa"/>
            <w:vAlign w:val="bottom"/>
          </w:tcPr>
          <w:p>
            <w:pPr>
              <w:jc w:val="center"/>
              <w:ind w:left="1808"/>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6480" w:type="dxa"/>
            <w:vAlign w:val="bottom"/>
          </w:tcPr>
          <w:p>
            <w:pPr>
              <w:jc w:val="center"/>
              <w:ind w:right="3948"/>
              <w:spacing w:after="0"/>
              <w:rPr>
                <w:sz w:val="20"/>
                <w:szCs w:val="20"/>
                <w:color w:val="auto"/>
              </w:rPr>
            </w:pPr>
            <w:r>
              <w:rPr>
                <w:rFonts w:ascii="Arial" w:cs="Arial" w:eastAsia="Arial" w:hAnsi="Arial"/>
                <w:sz w:val="14"/>
                <w:szCs w:val="14"/>
                <w:b w:val="1"/>
                <w:bCs w:val="1"/>
                <w:color w:val="auto"/>
              </w:rPr>
              <w:t>MINNESOTA</w:t>
            </w:r>
          </w:p>
        </w:tc>
        <w:tc>
          <w:tcPr>
            <w:tcW w:w="1340" w:type="dxa"/>
            <w:vAlign w:val="bottom"/>
          </w:tcPr>
          <w:p>
            <w:pPr>
              <w:jc w:val="right"/>
              <w:ind w:right="148"/>
              <w:spacing w:after="0"/>
              <w:rPr>
                <w:sz w:val="20"/>
                <w:szCs w:val="20"/>
                <w:color w:val="auto"/>
              </w:rPr>
            </w:pPr>
            <w:r>
              <w:rPr>
                <w:rFonts w:ascii="Arial" w:cs="Arial" w:eastAsia="Arial" w:hAnsi="Arial"/>
                <w:sz w:val="14"/>
                <w:szCs w:val="14"/>
                <w:b w:val="1"/>
                <w:bCs w:val="1"/>
                <w:color w:val="auto"/>
              </w:rPr>
              <w:t>41-0771293</w:t>
            </w:r>
          </w:p>
        </w:tc>
        <w:tc>
          <w:tcPr>
            <w:tcW w:w="0" w:type="dxa"/>
            <w:vAlign w:val="bottom"/>
          </w:tcPr>
          <w:p>
            <w:pPr>
              <w:spacing w:after="0"/>
              <w:rPr>
                <w:sz w:val="1"/>
                <w:szCs w:val="1"/>
                <w:color w:val="auto"/>
              </w:rPr>
            </w:pPr>
          </w:p>
        </w:tc>
      </w:tr>
      <w:tr>
        <w:trPr>
          <w:trHeight w:val="165"/>
        </w:trPr>
        <w:tc>
          <w:tcPr>
            <w:tcW w:w="6480" w:type="dxa"/>
            <w:vAlign w:val="bottom"/>
          </w:tcPr>
          <w:p>
            <w:pPr>
              <w:jc w:val="center"/>
              <w:ind w:right="3928"/>
              <w:spacing w:after="0"/>
              <w:rPr>
                <w:sz w:val="20"/>
                <w:szCs w:val="20"/>
                <w:color w:val="auto"/>
              </w:rPr>
            </w:pPr>
            <w:r>
              <w:rPr>
                <w:rFonts w:ascii="Arial" w:cs="Arial" w:eastAsia="Arial" w:hAnsi="Arial"/>
                <w:sz w:val="14"/>
                <w:szCs w:val="14"/>
                <w:b w:val="1"/>
                <w:bCs w:val="1"/>
                <w:color w:val="auto"/>
                <w:w w:val="94"/>
              </w:rPr>
              <w:t>(State of Incorporation)</w:t>
            </w: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6480" w:type="dxa"/>
            <w:vAlign w:val="bottom"/>
          </w:tcPr>
          <w:p>
            <w:pPr>
              <w:jc w:val="center"/>
              <w:ind w:right="3928"/>
              <w:spacing w:after="0"/>
              <w:rPr>
                <w:sz w:val="20"/>
                <w:szCs w:val="20"/>
                <w:color w:val="auto"/>
              </w:rPr>
            </w:pPr>
            <w:r>
              <w:rPr>
                <w:rFonts w:ascii="Arial" w:cs="Arial" w:eastAsia="Arial" w:hAnsi="Arial"/>
                <w:sz w:val="14"/>
                <w:szCs w:val="14"/>
                <w:b w:val="1"/>
                <w:bCs w:val="1"/>
                <w:color w:val="auto"/>
                <w:w w:val="89"/>
              </w:rPr>
              <w:t>2381 Rosegate, Roseville,</w:t>
            </w:r>
          </w:p>
        </w:tc>
        <w:tc>
          <w:tcPr>
            <w:tcW w:w="13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55113</w:t>
            </w:r>
          </w:p>
        </w:tc>
        <w:tc>
          <w:tcPr>
            <w:tcW w:w="0" w:type="dxa"/>
            <w:vAlign w:val="bottom"/>
          </w:tcPr>
          <w:p>
            <w:pPr>
              <w:spacing w:after="0"/>
              <w:rPr>
                <w:sz w:val="1"/>
                <w:szCs w:val="1"/>
                <w:color w:val="auto"/>
              </w:rPr>
            </w:pPr>
          </w:p>
        </w:tc>
      </w:tr>
      <w:tr>
        <w:trPr>
          <w:trHeight w:val="186"/>
        </w:trPr>
        <w:tc>
          <w:tcPr>
            <w:tcW w:w="6480" w:type="dxa"/>
            <w:vAlign w:val="bottom"/>
          </w:tcPr>
          <w:p>
            <w:pPr>
              <w:jc w:val="center"/>
              <w:ind w:right="3948"/>
              <w:spacing w:after="0"/>
              <w:rPr>
                <w:sz w:val="20"/>
                <w:szCs w:val="20"/>
                <w:color w:val="auto"/>
              </w:rPr>
            </w:pPr>
            <w:r>
              <w:rPr>
                <w:rFonts w:ascii="Arial" w:cs="Arial" w:eastAsia="Arial" w:hAnsi="Arial"/>
                <w:sz w:val="14"/>
                <w:szCs w:val="14"/>
                <w:b w:val="1"/>
                <w:bCs w:val="1"/>
                <w:color w:val="auto"/>
                <w:w w:val="92"/>
              </w:rPr>
              <w:t>Minnesota</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80" w:type="dxa"/>
            <w:vAlign w:val="bottom"/>
          </w:tcPr>
          <w:p>
            <w:pPr>
              <w:jc w:val="center"/>
              <w:ind w:right="392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86"/>
        </w:trPr>
        <w:tc>
          <w:tcPr>
            <w:tcW w:w="6480" w:type="dxa"/>
            <w:vAlign w:val="bottom"/>
          </w:tcPr>
          <w:p>
            <w:pPr>
              <w:jc w:val="center"/>
              <w:ind w:left="1828"/>
              <w:spacing w:after="0"/>
              <w:rPr>
                <w:sz w:val="20"/>
                <w:szCs w:val="20"/>
                <w:color w:val="auto"/>
              </w:rPr>
            </w:pPr>
            <w:r>
              <w:rPr>
                <w:rFonts w:ascii="Arial" w:cs="Arial" w:eastAsia="Arial" w:hAnsi="Arial"/>
                <w:sz w:val="18"/>
                <w:szCs w:val="18"/>
                <w:b w:val="1"/>
                <w:bCs w:val="1"/>
                <w:color w:val="auto"/>
                <w:w w:val="90"/>
              </w:rPr>
              <w:t>(612) 331-6910</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480" w:type="dxa"/>
            <w:vAlign w:val="bottom"/>
          </w:tcPr>
          <w:p>
            <w:pPr>
              <w:jc w:val="center"/>
              <w:ind w:left="182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00"/>
          </w:cols>
          <w:pgMar w:left="240" w:top="233" w:right="259" w:bottom="1440" w:gutter="0" w:footer="0" w:header="0"/>
        </w:sectPr>
      </w:pPr>
    </w:p>
    <w:p>
      <w:pPr>
        <w:spacing w:after="0" w:line="127" w:lineRule="exact"/>
        <w:rPr>
          <w:sz w:val="24"/>
          <w:szCs w:val="24"/>
          <w:color w:val="auto"/>
        </w:rPr>
      </w:pPr>
    </w:p>
    <w:p>
      <w:pPr>
        <w:jc w:val="right"/>
        <w:ind w:right="28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8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68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COMMON STOCK, PAR VALUE $.05 PER SHARE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-1830070</wp:posOffset>
            </wp:positionH>
            <wp:positionV relativeFrom="paragraph">
              <wp:posOffset>100965</wp:posOffset>
            </wp:positionV>
            <wp:extent cx="31045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480" w:space="720"/>
            <w:col w:w="5200"/>
          </w:cols>
          <w:pgMar w:left="240" w:top="233"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440"/>
        <w:spacing w:after="0" w:line="181" w:lineRule="exact"/>
        <w:tabs>
          <w:tab w:leader="none" w:pos="1840" w:val="left"/>
          <w:tab w:leader="none" w:pos="3660" w:val="left"/>
          <w:tab w:leader="none" w:pos="6760" w:val="left"/>
          <w:tab w:leader="none" w:pos="95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65" w:lineRule="exact"/>
        <w:rPr>
          <w:sz w:val="24"/>
          <w:szCs w:val="24"/>
          <w:color w:val="auto"/>
        </w:rPr>
      </w:pPr>
    </w:p>
    <w:p>
      <w:pPr>
        <w:ind w:left="660"/>
        <w:spacing w:after="0" w:line="184" w:lineRule="exact"/>
        <w:tabs>
          <w:tab w:leader="none" w:pos="8160" w:val="left"/>
          <w:tab w:leader="none" w:pos="87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ind w:right="380" w:firstLine="324"/>
        <w:spacing w:after="0" w:line="256" w:lineRule="auto"/>
        <w:rPr>
          <w:sz w:val="20"/>
          <w:szCs w:val="20"/>
          <w:color w:val="auto"/>
        </w:rPr>
      </w:pPr>
      <w:r>
        <w:rPr>
          <w:rFonts w:ascii="Arial" w:cs="Arial" w:eastAsia="Arial" w:hAnsi="Arial"/>
          <w:sz w:val="16"/>
          <w:szCs w:val="16"/>
          <w:color w:val="auto"/>
        </w:rPr>
        <w:t>The aggregate market value of voting stock held by non-affiliates of the Registrant on September 30, 2012 (the last business day of the Registrant’s most recently completed second fiscal quarter) was approximately $383.4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24, 2013, the Registrant had 10,557,642 shares of common stock outstanding.</w:t>
      </w:r>
    </w:p>
    <w:p>
      <w:pPr>
        <w:spacing w:after="0" w:line="78"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340"/>
        <w:spacing w:after="0"/>
        <w:rPr>
          <w:sz w:val="20"/>
          <w:szCs w:val="20"/>
          <w:color w:val="auto"/>
        </w:rPr>
      </w:pPr>
      <w:r>
        <w:rPr>
          <w:rFonts w:ascii="Arial" w:cs="Arial" w:eastAsia="Arial" w:hAnsi="Arial"/>
          <w:sz w:val="17"/>
          <w:szCs w:val="17"/>
          <w:color w:val="auto"/>
        </w:rPr>
        <w:t>Portions of our Proxy Statement for the annual meeting of shareholders to be held August 1, 2013,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112395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89"/>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As used in this Annual Report on Form 10-K, except where otherwise stated or indicated by the context, “Hawkins,” “we,” “us,” “the Company,” “our,” or “the Registrant” means Hawkins, Inc. References to “fiscal 2014” means our fiscal year ending March 30, 2014, “fiscal 2013” means our fiscal year ended March 31, 2013, “fiscal 2012” means our fiscal year ended April 1, 2012, and “fiscal 2011” means our fiscal year ended April 3, 2011.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8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2"/>
              </w:rPr>
              <w:t>Hawkins, Inc.</w:t>
            </w: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8"/>
          </w:tcPr>
          <w:p>
            <w:pPr>
              <w:jc w:val="center"/>
              <w:ind w:right="2460"/>
              <w:spacing w:after="0"/>
              <w:rPr>
                <w:sz w:val="20"/>
                <w:szCs w:val="20"/>
                <w:color w:val="auto"/>
              </w:rPr>
            </w:pPr>
            <w:r>
              <w:rPr>
                <w:rFonts w:ascii="Arial" w:cs="Arial" w:eastAsia="Arial" w:hAnsi="Arial"/>
                <w:sz w:val="18"/>
                <w:szCs w:val="18"/>
                <w:b w:val="1"/>
                <w:bCs w:val="1"/>
                <w:color w:val="auto"/>
                <w:w w:val="93"/>
              </w:rPr>
              <w:t>Annual Report on Form 10-K</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40" w:type="dxa"/>
            <w:vAlign w:val="bottom"/>
            <w:gridSpan w:val="10"/>
          </w:tcPr>
          <w:p>
            <w:pPr>
              <w:jc w:val="center"/>
              <w:ind w:right="1980"/>
              <w:spacing w:after="0"/>
              <w:rPr>
                <w:sz w:val="20"/>
                <w:szCs w:val="20"/>
                <w:color w:val="auto"/>
              </w:rPr>
            </w:pPr>
            <w:r>
              <w:rPr>
                <w:rFonts w:ascii="Arial" w:cs="Arial" w:eastAsia="Arial" w:hAnsi="Arial"/>
                <w:sz w:val="18"/>
                <w:szCs w:val="18"/>
                <w:b w:val="1"/>
                <w:bCs w:val="1"/>
                <w:color w:val="auto"/>
                <w:w w:val="91"/>
              </w:rPr>
              <w:t>For the Fiscal Year Ended March 31, 2013</w:t>
            </w:r>
          </w:p>
        </w:tc>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Page</w:t>
            </w:r>
          </w:p>
        </w:tc>
      </w:tr>
      <w:tr>
        <w:trPr>
          <w:trHeight w:val="230"/>
        </w:trPr>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8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1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0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7760" w:type="dxa"/>
            <w:vAlign w:val="bottom"/>
            <w:gridSpan w:val="18"/>
          </w:tcPr>
          <w:p>
            <w:pPr>
              <w:spacing w:after="0"/>
              <w:rPr>
                <w:sz w:val="21"/>
                <w:szCs w:val="21"/>
                <w:color w:val="auto"/>
              </w:rPr>
            </w:pPr>
          </w:p>
        </w:tc>
        <w:tc>
          <w:tcPr>
            <w:tcW w:w="18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6">
              <w:r>
                <w:rPr>
                  <w:rFonts w:ascii="Arial" w:cs="Arial" w:eastAsia="Arial" w:hAnsi="Arial"/>
                  <w:sz w:val="18"/>
                  <w:szCs w:val="18"/>
                  <w:color w:val="0000FF"/>
                  <w:w w:val="87"/>
                </w:rPr>
                <w:t>Risk Factors</w:t>
              </w:r>
            </w:hyperlink>
          </w:p>
        </w:tc>
        <w:tc>
          <w:tcPr>
            <w:tcW w:w="7500" w:type="dxa"/>
            <w:vAlign w:val="bottom"/>
            <w:gridSpan w:val="16"/>
          </w:tcPr>
          <w:p>
            <w:pPr>
              <w:spacing w:after="0"/>
              <w:rPr>
                <w:sz w:val="21"/>
                <w:szCs w:val="21"/>
                <w:color w:val="auto"/>
              </w:rPr>
            </w:pPr>
          </w:p>
        </w:tc>
        <w:tc>
          <w:tcPr>
            <w:tcW w:w="18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840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Unresolved Staff Comments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9</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Properties</w:t>
              </w:r>
            </w:hyperlink>
          </w:p>
        </w:tc>
        <w:tc>
          <w:tcPr>
            <w:tcW w:w="6360" w:type="dxa"/>
            <w:vAlign w:val="bottom"/>
            <w:gridSpan w:val="11"/>
          </w:tcPr>
          <w:p>
            <w:pPr>
              <w:spacing w:after="0"/>
              <w:rPr>
                <w:sz w:val="21"/>
                <w:szCs w:val="21"/>
                <w:color w:val="auto"/>
              </w:rPr>
            </w:pPr>
          </w:p>
        </w:tc>
        <w:tc>
          <w:tcPr>
            <w:tcW w:w="182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Legal Proceedings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4.</w:t>
            </w:r>
          </w:p>
        </w:tc>
        <w:tc>
          <w:tcPr>
            <w:tcW w:w="8400" w:type="dxa"/>
            <w:vAlign w:val="bottom"/>
            <w:gridSpan w:val="1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Mine Safety Disclosures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91"/>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80" w:type="dxa"/>
            <w:vAlign w:val="bottom"/>
            <w:gridSpan w:val="8"/>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17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5.</w:t>
            </w:r>
          </w:p>
        </w:tc>
        <w:tc>
          <w:tcPr>
            <w:tcW w:w="8400" w:type="dxa"/>
            <w:vAlign w:val="bottom"/>
            <w:gridSpan w:val="19"/>
          </w:tcPr>
          <w:p>
            <w:pPr>
              <w:spacing w:after="0"/>
              <w:rPr>
                <w:rFonts w:ascii="Arial" w:cs="Arial" w:eastAsia="Arial" w:hAnsi="Arial"/>
                <w:sz w:val="18"/>
                <w:szCs w:val="18"/>
                <w:color w:val="0000FF"/>
                <w:w w:val="90"/>
              </w:rPr>
            </w:pPr>
            <w:hyperlink w:anchor="page11">
              <w:r>
                <w:rPr>
                  <w:rFonts w:ascii="Arial" w:cs="Arial" w:eastAsia="Arial" w:hAnsi="Arial"/>
                  <w:sz w:val="18"/>
                  <w:szCs w:val="18"/>
                  <w:color w:val="0000FF"/>
                  <w:w w:val="90"/>
                </w:rPr>
                <w:t>Market for the Company’s Common Equity, Related Shareholder Matters, and Issuer Purchases of Equity Securities</w:t>
              </w:r>
            </w:hyperlink>
          </w:p>
        </w:tc>
        <w:tc>
          <w:tcPr>
            <w:tcW w:w="194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Selected Financial Data</w:t>
              </w:r>
            </w:hyperlink>
          </w:p>
        </w:tc>
        <w:tc>
          <w:tcPr>
            <w:tcW w:w="60" w:type="dxa"/>
            <w:vAlign w:val="bottom"/>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12">
              <w:r>
                <w:rPr>
                  <w:rFonts w:ascii="Arial" w:cs="Arial" w:eastAsia="Arial" w:hAnsi="Arial"/>
                  <w:sz w:val="18"/>
                  <w:szCs w:val="18"/>
                  <w:color w:val="0000FF"/>
                </w:rPr>
                <w:t>12</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Management’s Discussion and Analysis of Financial Condition and Results of Operations</w:t>
              </w:r>
            </w:hyperlink>
          </w:p>
        </w:tc>
        <w:tc>
          <w:tcPr>
            <w:tcW w:w="1940" w:type="dxa"/>
            <w:vAlign w:val="bottom"/>
            <w:gridSpan w:val="4"/>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13</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5"/>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Quantitative and Qualitative Disclosures about Market Risk</w:t>
              </w:r>
            </w:hyperlink>
          </w:p>
        </w:tc>
        <w:tc>
          <w:tcPr>
            <w:tcW w:w="1940" w:type="dxa"/>
            <w:vAlign w:val="bottom"/>
            <w:gridSpan w:val="4"/>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3"/>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Financial Statements and Supplementary Data</w:t>
              </w:r>
            </w:hyperlink>
          </w:p>
        </w:tc>
        <w:tc>
          <w:tcPr>
            <w:tcW w:w="4100" w:type="dxa"/>
            <w:vAlign w:val="bottom"/>
            <w:gridSpan w:val="6"/>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FF"/>
                <w:w w:val="90"/>
              </w:rPr>
            </w:pPr>
            <w:hyperlink w:anchor="page37">
              <w:r>
                <w:rPr>
                  <w:rFonts w:ascii="Arial" w:cs="Arial" w:eastAsia="Arial" w:hAnsi="Arial"/>
                  <w:sz w:val="18"/>
                  <w:szCs w:val="18"/>
                  <w:color w:val="0000FF"/>
                  <w:w w:val="90"/>
                </w:rPr>
                <w:t>Changes in and Disagreements with Accountants on Accounting and Financial Disclosure</w:t>
              </w:r>
            </w:hyperlink>
          </w:p>
        </w:tc>
        <w:tc>
          <w:tcPr>
            <w:tcW w:w="1920" w:type="dxa"/>
            <w:vAlign w:val="bottom"/>
            <w:gridSpan w:val="3"/>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1920" w:type="dxa"/>
            <w:vAlign w:val="bottom"/>
            <w:gridSpan w:val="3"/>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0"/>
        </w:trPr>
        <w:tc>
          <w:tcPr>
            <w:tcW w:w="104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6640" w:type="dxa"/>
            <w:vAlign w:val="bottom"/>
            <w:gridSpan w:val="13"/>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91"/>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gridSpan w:val="9"/>
          </w:tcPr>
          <w:p>
            <w:pPr>
              <w:jc w:val="center"/>
              <w:ind w:right="4240"/>
              <w:spacing w:after="0"/>
              <w:rPr>
                <w:sz w:val="20"/>
                <w:szCs w:val="20"/>
                <w:color w:val="auto"/>
              </w:rPr>
            </w:pPr>
            <w:r>
              <w:rPr>
                <w:rFonts w:ascii="Arial" w:cs="Arial" w:eastAsia="Arial" w:hAnsi="Arial"/>
                <w:sz w:val="18"/>
                <w:szCs w:val="18"/>
                <w:b w:val="1"/>
                <w:bCs w:val="1"/>
                <w:color w:val="auto"/>
              </w:rPr>
              <w:t>PART III</w:t>
            </w:r>
          </w:p>
        </w:tc>
        <w:tc>
          <w:tcPr>
            <w:tcW w:w="17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10.</w:t>
            </w:r>
          </w:p>
        </w:tc>
        <w:tc>
          <w:tcPr>
            <w:tcW w:w="4140" w:type="dxa"/>
            <w:vAlign w:val="bottom"/>
            <w:gridSpan w:val="12"/>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Directors, Executive Officers, and Corporate Governance</w:t>
              </w:r>
            </w:hyperlink>
          </w:p>
        </w:tc>
        <w:tc>
          <w:tcPr>
            <w:tcW w:w="4260" w:type="dxa"/>
            <w:vAlign w:val="bottom"/>
            <w:gridSpan w:val="7"/>
          </w:tcPr>
          <w:p>
            <w:pPr>
              <w:spacing w:after="0"/>
              <w:rPr>
                <w:sz w:val="19"/>
                <w:szCs w:val="19"/>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0"/>
        </w:trPr>
        <w:tc>
          <w:tcPr>
            <w:tcW w:w="104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11.</w:t>
            </w:r>
          </w:p>
        </w:tc>
        <w:tc>
          <w:tcPr>
            <w:tcW w:w="1800" w:type="dxa"/>
            <w:vAlign w:val="bottom"/>
            <w:gridSpan w:val="7"/>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Executive Compensation</w:t>
              </w:r>
            </w:hyperlink>
          </w:p>
        </w:tc>
        <w:tc>
          <w:tcPr>
            <w:tcW w:w="2340" w:type="dxa"/>
            <w:vAlign w:val="bottom"/>
            <w:gridSpan w:val="5"/>
          </w:tcPr>
          <w:p>
            <w:pPr>
              <w:spacing w:after="0"/>
              <w:rPr>
                <w:sz w:val="21"/>
                <w:szCs w:val="21"/>
                <w:color w:val="auto"/>
              </w:rPr>
            </w:pPr>
          </w:p>
        </w:tc>
        <w:tc>
          <w:tcPr>
            <w:tcW w:w="4260" w:type="dxa"/>
            <w:vAlign w:val="bottom"/>
            <w:gridSpan w:val="7"/>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040" w:type="dxa"/>
            <w:vAlign w:val="bottom"/>
          </w:tcPr>
          <w:p>
            <w:pPr>
              <w:spacing w:after="0" w:line="20" w:lineRule="exact"/>
              <w:rPr>
                <w:sz w:val="1"/>
                <w:szCs w:val="1"/>
                <w:color w:val="auto"/>
              </w:rPr>
            </w:pPr>
          </w:p>
        </w:tc>
        <w:tc>
          <w:tcPr>
            <w:tcW w:w="1800" w:type="dxa"/>
            <w:vAlign w:val="bottom"/>
            <w:gridSpan w:val="7"/>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12.</w:t>
            </w:r>
          </w:p>
        </w:tc>
        <w:tc>
          <w:tcPr>
            <w:tcW w:w="7340" w:type="dxa"/>
            <w:vAlign w:val="bottom"/>
            <w:gridSpan w:val="17"/>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Security Ownership of Certain Beneficial Owners and Management And Related Stockholder Matters</w:t>
              </w:r>
            </w:hyperlink>
          </w:p>
        </w:tc>
        <w:tc>
          <w:tcPr>
            <w:tcW w:w="1060" w:type="dxa"/>
            <w:vAlign w:val="bottom"/>
            <w:gridSpan w:val="2"/>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04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13.</w:t>
            </w:r>
          </w:p>
        </w:tc>
        <w:tc>
          <w:tcPr>
            <w:tcW w:w="7340" w:type="dxa"/>
            <w:vAlign w:val="bottom"/>
            <w:gridSpan w:val="1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Certain Relationships and Related Transactions, and Director Independence</w:t>
              </w:r>
            </w:hyperlink>
          </w:p>
        </w:tc>
        <w:tc>
          <w:tcPr>
            <w:tcW w:w="1060" w:type="dxa"/>
            <w:vAlign w:val="bottom"/>
            <w:gridSpan w:val="2"/>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0"/>
        </w:trPr>
        <w:tc>
          <w:tcPr>
            <w:tcW w:w="1040" w:type="dxa"/>
            <w:vAlign w:val="bottom"/>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176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Principal Accountant Fees and Services</w:t>
              </w:r>
            </w:hyperlink>
          </w:p>
        </w:tc>
        <w:tc>
          <w:tcPr>
            <w:tcW w:w="2960" w:type="dxa"/>
            <w:vAlign w:val="bottom"/>
            <w:gridSpan w:val="5"/>
          </w:tcPr>
          <w:p>
            <w:pPr>
              <w:spacing w:after="0"/>
              <w:rPr>
                <w:sz w:val="21"/>
                <w:szCs w:val="21"/>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91"/>
        </w:trPr>
        <w:tc>
          <w:tcPr>
            <w:tcW w:w="10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gridSpan w:val="9"/>
          </w:tcPr>
          <w:p>
            <w:pPr>
              <w:jc w:val="center"/>
              <w:ind w:right="4220"/>
              <w:spacing w:after="0"/>
              <w:rPr>
                <w:sz w:val="20"/>
                <w:szCs w:val="20"/>
                <w:color w:val="auto"/>
              </w:rPr>
            </w:pPr>
            <w:r>
              <w:rPr>
                <w:rFonts w:ascii="Arial" w:cs="Arial" w:eastAsia="Arial" w:hAnsi="Arial"/>
                <w:sz w:val="18"/>
                <w:szCs w:val="18"/>
                <w:b w:val="1"/>
                <w:bCs w:val="1"/>
                <w:color w:val="auto"/>
                <w:w w:val="98"/>
              </w:rPr>
              <w:t>PART IV</w:t>
            </w:r>
          </w:p>
        </w:tc>
        <w:tc>
          <w:tcPr>
            <w:tcW w:w="17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Exhibits and Financial Statement Schedules</w:t>
              </w:r>
            </w:hyperlink>
          </w:p>
        </w:tc>
        <w:tc>
          <w:tcPr>
            <w:tcW w:w="5240" w:type="dxa"/>
            <w:vAlign w:val="bottom"/>
            <w:gridSpan w:val="9"/>
          </w:tcPr>
          <w:p>
            <w:pPr>
              <w:spacing w:after="0"/>
              <w:rPr>
                <w:sz w:val="19"/>
                <w:szCs w:val="19"/>
                <w:color w:val="auto"/>
              </w:rPr>
            </w:pPr>
          </w:p>
        </w:tc>
        <w:tc>
          <w:tcPr>
            <w:tcW w:w="194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507"/>
        </w:trPr>
        <w:tc>
          <w:tcPr>
            <w:tcW w:w="1040" w:type="dxa"/>
            <w:vAlign w:val="bottom"/>
          </w:tcPr>
          <w:p>
            <w:pPr>
              <w:spacing w:after="0"/>
              <w:rPr>
                <w:sz w:val="24"/>
                <w:szCs w:val="24"/>
                <w:color w:val="auto"/>
              </w:rPr>
            </w:pPr>
          </w:p>
        </w:tc>
        <w:tc>
          <w:tcPr>
            <w:tcW w:w="3160" w:type="dxa"/>
            <w:vAlign w:val="bottom"/>
            <w:tcBorders>
              <w:top w:val="single" w:sz="8" w:color="0000FF"/>
            </w:tcBorders>
            <w:gridSpan w:val="10"/>
          </w:tcPr>
          <w:p>
            <w:pPr>
              <w:spacing w:after="0"/>
              <w:rPr>
                <w:sz w:val="24"/>
                <w:szCs w:val="24"/>
                <w:color w:val="auto"/>
              </w:rPr>
            </w:pPr>
          </w:p>
        </w:tc>
        <w:tc>
          <w:tcPr>
            <w:tcW w:w="2280" w:type="dxa"/>
            <w:vAlign w:val="bottom"/>
            <w:gridSpan w:val="4"/>
          </w:tcPr>
          <w:p>
            <w:pPr>
              <w:jc w:val="center"/>
              <w:ind w:left="570"/>
              <w:spacing w:after="0"/>
              <w:rPr>
                <w:sz w:val="20"/>
                <w:szCs w:val="20"/>
                <w:color w:val="auto"/>
              </w:rPr>
            </w:pPr>
            <w:r>
              <w:rPr>
                <w:rFonts w:ascii="Arial" w:cs="Arial" w:eastAsia="Arial" w:hAnsi="Arial"/>
                <w:sz w:val="18"/>
                <w:szCs w:val="18"/>
                <w:color w:val="auto"/>
                <w:w w:val="99"/>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i w:val="1"/>
          <w:iCs w:val="1"/>
          <w:color w:val="auto"/>
        </w:rPr>
        <w:t>BUSINESS</w:t>
      </w:r>
    </w:p>
    <w:p>
      <w:pPr>
        <w:spacing w:after="0" w:line="229"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Hawkins, Inc. distributes bulk chemicals and blends, manufactures and distributes specialty chemicals for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have expanded the sales of our higher-margin blended and manufactured products. We believe that we create value for our customers through superb service and support, quality products, personalized applications and our trustworthy, creative employees.</w:t>
      </w:r>
    </w:p>
    <w:p>
      <w:pPr>
        <w:spacing w:after="0" w:line="15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currently conduct our business in two segments: Industrial and Water Treatment. Financial information regarding these segments is reported in our Financial Statements and Notes to Financial Statements. See Items 7 and 8 of this Annual Report on Form 10-K.</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operates this segment of our business, which specializes in providing industrial chemicals, products and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industries such as agriculture, energy, electronics, food, chemical processing, pulp and paper, pharmaceutical, medical device and plating. The group's principal products are acids, alkalis and industrial and food-grade salts.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right="2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including liquid caustic soda, sulfuric acid, hydrochloric acid, phosphoric acid, potassium hydroxide and aqua ammonia;</w:t>
      </w:r>
    </w:p>
    <w:p>
      <w:pPr>
        <w:spacing w:after="0" w:line="170" w:lineRule="exact"/>
        <w:rPr>
          <w:rFonts w:ascii="Arial" w:cs="Arial" w:eastAsia="Arial" w:hAnsi="Arial"/>
          <w:sz w:val="18"/>
          <w:szCs w:val="18"/>
          <w:color w:val="auto"/>
        </w:rPr>
      </w:pPr>
    </w:p>
    <w:p>
      <w:pPr>
        <w:ind w:left="400" w:hanging="162"/>
        <w:spacing w:after="0" w:line="216"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our patented Cheese-Phos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liquid phosphate, lactates and other blended products;</w:t>
      </w:r>
    </w:p>
    <w:p>
      <w:pPr>
        <w:spacing w:after="0" w:line="203"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packaging for household chemicals.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fiscal 2012, we purchased a 28-acre parcel of land in Rosemount, Minnesota and began construction of a new facility on the site. The facility became operational in late fiscal 2013. The site provides capacity for future business growth and lessens our dependence on our flood-prone sites on the Mississippi River. While we have transferred some blending and manufacturing activity to the Rosemount site, we do not intend to close any sites that we currently operate as a result of this transfer of activity.</w:t>
      </w:r>
    </w:p>
    <w:p>
      <w:pPr>
        <w:spacing w:after="0" w:line="187" w:lineRule="exact"/>
        <w:rPr>
          <w:sz w:val="20"/>
          <w:szCs w:val="20"/>
          <w:color w:val="auto"/>
        </w:rPr>
      </w:pPr>
    </w:p>
    <w:p>
      <w:pPr>
        <w:jc w:val="both"/>
        <w:ind w:right="20" w:firstLine="230"/>
        <w:spacing w:after="0" w:line="276" w:lineRule="auto"/>
        <w:rPr>
          <w:sz w:val="20"/>
          <w:szCs w:val="20"/>
          <w:color w:val="auto"/>
        </w:rPr>
      </w:pPr>
      <w:r>
        <w:rPr>
          <w:rFonts w:ascii="Arial" w:cs="Arial" w:eastAsia="Arial" w:hAnsi="Arial"/>
          <w:sz w:val="17"/>
          <w:szCs w:val="17"/>
          <w:color w:val="auto"/>
        </w:rPr>
        <w:t>In fiscal 2011, we completed the acquisition of substantially all of the assets of Vertex Chemical Corporation (“Vertex”), a manufacturer of sodium hypochlorite in the central Midwest. In addition to the manufacture of sodium hypochlorite bleaches, Vertex distributes and provides terminal services for bulk liquid inorganic chemicals, and contract and private label packaging for household chemicals. Its corporate headquarters are located in St. Louis, Missouri, with manufacturing sites in Dupo, Illinois, Camanche, Iowa, and Memphis, Tennessee. In connection with the acquisition we paid the sellers $27.2 million and assumed certain liabilities of Vertex. Vertex's business is part of our Industrial Group.</w:t>
      </w:r>
    </w:p>
    <w:p>
      <w:pPr>
        <w:spacing w:after="0" w:line="17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Our Water Treatment Group operates this segment of our business, which specializes in providing chemicals,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group utilizes delivery routes operated by our employees who serve as route driver, salesperson and highly-trained technician to deliver our products and diagnose our customers' water treatment needs. We believe that the high level of service provided by these individuals allows us to serve as the trusted water treatment expert for many of the municipalities and other customers that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serve. We also believe that we are able to obtain a competitive cost position on many of the chemicals sold by the Water Treatment Group due to the volumes of these chemicals purchased by our Industrial Group.</w:t>
      </w:r>
    </w:p>
    <w:p>
      <w:pPr>
        <w:spacing w:after="0" w:line="17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group operates out of warehouses in 19 cities supplying products and services to customers primarily in Arkansas, Illinois, Indiana, Iowa, Kansas, Michigan, Minnesota, Missouri, Montana, Nebraska, North Dakota, Oklahoma, South Dakota, Tennessee, Wisconsin and Wyoming. We opened one new warehouse in fiscal 2013, one in fiscal 2012, two in fiscal 2011, and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88"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i w:val="1"/>
          <w:iCs w:val="1"/>
          <w:color w:val="auto"/>
        </w:rPr>
        <w:t xml:space="preserve">Discontinued Operations. </w:t>
      </w:r>
      <w:r>
        <w:rPr>
          <w:rFonts w:ascii="Arial" w:cs="Arial" w:eastAsia="Arial" w:hAnsi="Arial"/>
          <w:sz w:val="17"/>
          <w:szCs w:val="17"/>
          <w:color w:val="auto"/>
        </w:rPr>
        <w:t>In fiscal 2009, we entered into two agreements whereby we agreed to sell our inventory and enter into a marketing relationship</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business of our Pharmaceutical segment, which provided pharmaceutical chemicals to retail pharmacies and small-scale pharmaceutical manufacturers. We have no continuing obligations to fulfill under the agreements. The results of the Pharmaceutical segment have been reported as discontinued operations in our consolidated financial statements for all periods presented in this Annual Report on Form 10-K.</w:t>
      </w:r>
    </w:p>
    <w:p>
      <w:pPr>
        <w:spacing w:after="0" w:line="171"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i w:val="1"/>
          <w:iCs w:val="1"/>
          <w:color w:val="auto"/>
        </w:rPr>
        <w:t xml:space="preserve">Raw Materials. </w:t>
      </w:r>
      <w:r>
        <w:rPr>
          <w:rFonts w:ascii="Arial" w:cs="Arial" w:eastAsia="Arial" w:hAnsi="Arial"/>
          <w:sz w:val="17"/>
          <w:szCs w:val="17"/>
          <w:color w:val="auto"/>
        </w:rPr>
        <w:t>We have numerous suppliers, including many of the major chemical producers in the United States. We typically have written</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In the event that certain raw materials become generally unavailable, suppliers may extend lead times or limit or cut off the supply of materials to us. As a result, we may not be able to supply or manufacture products for our customers. While we believe we have adequate sources of supply for our raw material and product requirements, we cannot be sure that supplies will be consistently available in the future.</w:t>
      </w:r>
    </w:p>
    <w:p>
      <w:pPr>
        <w:spacing w:after="0" w:line="178"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The patent for our Cheese-Phos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liquid phosphate product, which is manufactured by our Industrial group, will expire in November 2013. We regard much of the formulae, information and processes that we generate and use in the conduct of our business as proprietary and protectable under applicable copyright, patent, trademark, trade secret and unfair competition laws.</w:t>
      </w:r>
    </w:p>
    <w:p>
      <w:pPr>
        <w:spacing w:after="0" w:line="20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i w:val="1"/>
          <w:iCs w:val="1"/>
          <w:color w:val="auto"/>
        </w:rPr>
        <w:t xml:space="preserve">Customer Concentration. </w:t>
      </w:r>
      <w:r>
        <w:rPr>
          <w:rFonts w:ascii="Arial" w:cs="Arial" w:eastAsia="Arial" w:hAnsi="Arial"/>
          <w:sz w:val="18"/>
          <w:szCs w:val="18"/>
          <w:color w:val="auto"/>
        </w:rPr>
        <w:t>In fiscal 2013, none of our customers accounted for 10% or more of our total sales. Sales to our largest customer represented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7.3%, 7.1% and 6.2% of our total sales in fiscal 2013, 2012 and 2011, respectively. Aggregate sales to our five largest customers, all of which are in our Industrial segment, represented 21.8%, 24.8% and 24.1% of our total sales in fiscal 2013, 2012 and 2011, respectively. No other customer represented more than 2% of our total sales in fiscal 2013. The loss of any of our largest customers, or a substantial portion of their business, could have a material adverse effect on our results of operations.</w:t>
      </w:r>
    </w:p>
    <w:p>
      <w:pPr>
        <w:spacing w:after="0" w:line="18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chemicals equivalent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products we handle.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8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to customers within, and long-lived assets are located in, the United States, with</w:t>
      </w:r>
      <w:r>
        <w:rPr>
          <w:rFonts w:ascii="Arial" w:cs="Arial" w:eastAsia="Arial" w:hAnsi="Arial"/>
          <w:sz w:val="18"/>
          <w:szCs w:val="18"/>
          <w:i w:val="1"/>
          <w:iCs w:val="1"/>
          <w:color w:val="auto"/>
        </w:rPr>
        <w:t xml:space="preserve"> </w:t>
      </w:r>
      <w:r>
        <w:rPr>
          <w:rFonts w:ascii="Arial" w:cs="Arial" w:eastAsia="Arial" w:hAnsi="Arial"/>
          <w:sz w:val="18"/>
          <w:szCs w:val="18"/>
          <w:color w:val="auto"/>
        </w:rPr>
        <w:t>only approximately 0.5% of our total revenues to customers outside of the U.S. in fiscal 2013.</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354 employees as of March 31, 2013, including 52 covered by collective bargaining agreements.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w:t>
      </w:r>
      <w:r>
        <w:rPr>
          <w:rFonts w:ascii="Arial" w:cs="Arial" w:eastAsia="Arial" w:hAnsi="Arial"/>
          <w:sz w:val="17"/>
          <w:szCs w:val="17"/>
          <w:i w:val="1"/>
          <w:iCs w:val="1"/>
          <w:color w:val="auto"/>
        </w:rPr>
        <w:t xml:space="preserve"> </w:t>
      </w:r>
      <w:r>
        <w:rPr>
          <w:rFonts w:ascii="Arial" w:cs="Arial" w:eastAsia="Arial" w:hAnsi="Arial"/>
          <w:sz w:val="17"/>
          <w:szCs w:val="17"/>
          <w:color w:val="auto"/>
        </w:rPr>
        <w:t>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commodity chemicals, which are cyclical in nature, could have a material adverse effect on our operations and the margins of our products.</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Periodically, we experience significant and rapid fluctuations in the commodity pricing of raw materials. The cyclicality of commodity chemical markets, such as caustic soda, primarily results from changes in the balance between supply and demand and the level of general economic activity. We cannot predict whether the markets for our commodity chemicals will favorably impact our operations or whether we will experience a negative impact due to oversupply and the resulting compression of margins we can realize.</w:t>
      </w:r>
    </w:p>
    <w:p>
      <w:pPr>
        <w:spacing w:after="0" w:line="187"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Our principal raw materials are generally purchased under supply contracts. The prices we pay under these contracts generally lag the market prices of the underlying raw material and the cost of inventory we have on hand generally will lag the current market pricing of such inventory. The pricing within our supply contracts generally adjusts quarterly or monthly. While we attempt to maintain competitive pricing and stable margin dollars, the variability in our cost of inventory from the current market pricing can cause significant volatility in our margins realized. In periods of rapidly increasing market prices, the inventory cost position will tend to be favorable to us, possibly by material amounts, which may positively impact our margins. Conversely, in periods of rapidly decreasing market prices, the inventory cost position will tend to be unfavorable to us,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69"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chemicals equivalent to substantially all of the products we handle. Competition is based on several key criteria, including product price, product performance, product quality, product availability and security of supply, responsiveness of product development in cooperation with customers, and customer service. Many of our competitors are larger than we are and may have greater financial resources. As a result, these competitors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and volume, identifying and selling higher margin chemical products and improving existing products through innovation and research and development. If we are unable to maintain our profitability or competitive position, we could lose market share to our competitors and experience reduced profitability.</w:t>
      </w:r>
    </w:p>
    <w:p>
      <w:pPr>
        <w:spacing w:after="0" w:line="178"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 Although we sell to areas traditionally considered non-cyclical such as water treatment and food products, many of our customers are in businesses that are cyclical in nature, such as the industrial manufacturing, surface finishing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0"/>
        <w:spacing w:after="0"/>
        <w:rPr>
          <w:sz w:val="20"/>
          <w:szCs w:val="20"/>
          <w:color w:val="auto"/>
        </w:rPr>
      </w:pPr>
      <w:r>
        <w:rPr>
          <w:rFonts w:ascii="Arial" w:cs="Arial" w:eastAsia="Arial" w:hAnsi="Arial"/>
          <w:sz w:val="15"/>
          <w:szCs w:val="15"/>
          <w:b w:val="1"/>
          <w:bCs w:val="1"/>
          <w:i w:val="1"/>
          <w:iCs w:val="1"/>
          <w:color w:val="auto"/>
        </w:rPr>
        <w:t>Changes in our customers' products or failure of our products to meet customers' quality specifications could adversely affect our sales and profitability.</w:t>
      </w:r>
    </w:p>
    <w:p>
      <w:pPr>
        <w:spacing w:after="0" w:line="260"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Our chemicals are used for a broad range of applications by our customers. Changes in our customers' products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66"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consistent with quality specifications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87"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Our business is subject to hazards common to chemical manufacturing, storage, handling and transportation, including explosions, fires, severe weather, natural disasters, mechanical failure, unscheduled downtime, transportation interruptions,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our facilities due to any of these hazards may diminish our ability to meet our output goals and result in a negative public or political reaction. Many of our facilities are bordered by significant residential populations which increase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Environmental, health and safety laws and regulations cause us to incur substantial costs and may subject us to future liabilities.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are subject to numerous federal, state and local environmental, health and safety laws and regulations in the jurisdictions in which we operate, including those governing the discharge of pollutants into the air and water, and the management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18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If we violate environmental, health and safety laws or regulations, in addition to being required to correct such violations, we could be held liable in administrative, civil or criminal proceedings for substantial fines and other sanctions that could disrupt or limit our operations. Liabilities associated with the investigation and cleanup of hazardous substances, as well as personal injury, property damages or natural resource damages arising out of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and may in the future, be subject to claims relating to exposure to hazardous materials and the associated liabilities may be material.</w:t>
      </w:r>
    </w:p>
    <w:p>
      <w:pPr>
        <w:spacing w:after="0" w:line="179"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Our business, particularly our Water Treatment Group, is subject to seasonality and weather conditions, which could adversely affect our results of operations.</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Demand is also affected by weather conditions, as either higher or lower than normal precipitation or temperatures may affect water usage and the consumption of our products. We cannot assure you that seasonality or fluctuating weather conditions will not have a material adverse effect on our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specialty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7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188" w:lineRule="exact"/>
        <w:rPr>
          <w:sz w:val="20"/>
          <w:szCs w:val="20"/>
          <w:color w:val="auto"/>
        </w:rPr>
      </w:pPr>
    </w:p>
    <w:p>
      <w:pPr>
        <w:ind w:left="80"/>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lease the land where our three main terminals are located and where a significant manufacturing plant is located. We do not have guaranteed lease renewal options and may not be able to renew our leases in the future. Our current lease renewal periods extend out to 2018 (two leases), 2023 (one lease) and 2029 (one lease). The failure to secure extended lease terms on any one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These asset retirement obligations and the cost to relocate our operations could have a material adverse effect on our results of operations and financial condition.</w:t>
      </w:r>
    </w:p>
    <w:p>
      <w:pPr>
        <w:spacing w:after="0" w:line="25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9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corporate office is located in Roseville, MN, where we lease approximately 40,000 square feet under a sublease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37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Group</w:t>
            </w:r>
          </w:p>
        </w:tc>
        <w:tc>
          <w:tcPr>
            <w:tcW w:w="2580" w:type="dxa"/>
            <w:vAlign w:val="bottom"/>
            <w:vMerge w:val="restart"/>
          </w:tcPr>
          <w:p>
            <w:pPr>
              <w:jc w:val="center"/>
              <w:ind w:right="191"/>
              <w:spacing w:after="0"/>
              <w:rPr>
                <w:sz w:val="20"/>
                <w:szCs w:val="20"/>
                <w:color w:val="auto"/>
              </w:rPr>
            </w:pPr>
            <w:r>
              <w:rPr>
                <w:rFonts w:ascii="Arial" w:cs="Arial" w:eastAsia="Arial" w:hAnsi="Arial"/>
                <w:sz w:val="14"/>
                <w:szCs w:val="14"/>
                <w:b w:val="1"/>
                <w:bCs w:val="1"/>
                <w:color w:val="auto"/>
                <w:w w:val="92"/>
              </w:rPr>
              <w:t>Location</w:t>
            </w:r>
          </w:p>
        </w:tc>
        <w:tc>
          <w:tcPr>
            <w:tcW w:w="1980" w:type="dxa"/>
            <w:vAlign w:val="bottom"/>
          </w:tcPr>
          <w:p>
            <w:pPr>
              <w:jc w:val="center"/>
              <w:ind w:left="31"/>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92"/>
        </w:trPr>
        <w:tc>
          <w:tcPr>
            <w:tcW w:w="3740" w:type="dxa"/>
            <w:vAlign w:val="bottom"/>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Industrial</w:t>
            </w: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St. Paul, MN(1)</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6"/>
              </w:rPr>
              <w:t>Minneapolis, MN(2)</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29,000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5"/>
              </w:rPr>
              <w:t>Centralia, IL(3)</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211"/>
              <w:spacing w:after="0"/>
              <w:rPr>
                <w:sz w:val="20"/>
                <w:szCs w:val="20"/>
                <w:color w:val="auto"/>
              </w:rPr>
            </w:pPr>
            <w:r>
              <w:rPr>
                <w:rFonts w:ascii="Arial" w:cs="Arial" w:eastAsia="Arial" w:hAnsi="Arial"/>
                <w:sz w:val="18"/>
                <w:szCs w:val="18"/>
                <w:color w:val="auto"/>
                <w:w w:val="91"/>
              </w:rPr>
              <w:t>Camanche, IA(4)</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211"/>
              <w:spacing w:after="0"/>
              <w:rPr>
                <w:sz w:val="20"/>
                <w:szCs w:val="20"/>
                <w:color w:val="auto"/>
              </w:rPr>
            </w:pPr>
            <w:r>
              <w:rPr>
                <w:rFonts w:ascii="Arial" w:cs="Arial" w:eastAsia="Arial" w:hAnsi="Arial"/>
                <w:sz w:val="18"/>
                <w:szCs w:val="18"/>
                <w:color w:val="auto"/>
                <w:w w:val="95"/>
              </w:rPr>
              <w:t>St Louis, MO(4)</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3"/>
              </w:rPr>
              <w:t>6,000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5"/>
              </w:rPr>
              <w:t>Dupo, IL(4)</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Rosemount, MN(5)</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Water Treatment</w:t>
            </w:r>
          </w:p>
        </w:tc>
        <w:tc>
          <w:tcPr>
            <w:tcW w:w="2580" w:type="dxa"/>
            <w:vAlign w:val="bottom"/>
          </w:tcPr>
          <w:p>
            <w:pPr>
              <w:jc w:val="center"/>
              <w:ind w:right="211"/>
              <w:spacing w:after="0"/>
              <w:rPr>
                <w:sz w:val="20"/>
                <w:szCs w:val="20"/>
                <w:color w:val="auto"/>
              </w:rPr>
            </w:pPr>
            <w:r>
              <w:rPr>
                <w:rFonts w:ascii="Arial" w:cs="Arial" w:eastAsia="Arial" w:hAnsi="Arial"/>
                <w:sz w:val="18"/>
                <w:szCs w:val="18"/>
                <w:color w:val="auto"/>
                <w:w w:val="91"/>
              </w:rPr>
              <w:t>Fargo, ND</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Fond du Lac, WI</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211"/>
              <w:spacing w:after="0"/>
              <w:rPr>
                <w:sz w:val="20"/>
                <w:szCs w:val="20"/>
                <w:color w:val="auto"/>
              </w:rPr>
            </w:pPr>
            <w:r>
              <w:rPr>
                <w:rFonts w:ascii="Arial" w:cs="Arial" w:eastAsia="Arial" w:hAnsi="Arial"/>
                <w:sz w:val="18"/>
                <w:szCs w:val="18"/>
                <w:color w:val="auto"/>
                <w:w w:val="91"/>
              </w:rPr>
              <w:t>Washburn, ND</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rPr>
              <w:t>Billings, MT</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3"/>
              </w:rPr>
              <w:t>9,000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Sioux Falls, SD</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Rapid City, SD</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3"/>
              </w:rPr>
              <w:t>9,000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Peotone, IL(6)</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Superior, WI</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Slater, IA</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6"/>
              </w:rPr>
              <w:t>Lincoln, NE(6)</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6"/>
              </w:rPr>
              <w:t>Eldridge, IA</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3"/>
              </w:rPr>
              <w:t>6,000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Columbia, MO(6)</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1"/>
              </w:rPr>
              <w:t>Garnett, KS</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Ft. Smith, AR(6)</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5"/>
              </w:rPr>
              <w:t>Muncie, IN</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211"/>
              <w:spacing w:after="0"/>
              <w:rPr>
                <w:sz w:val="20"/>
                <w:szCs w:val="20"/>
                <w:color w:val="auto"/>
              </w:rPr>
            </w:pPr>
            <w:r>
              <w:rPr>
                <w:rFonts w:ascii="Arial" w:cs="Arial" w:eastAsia="Arial" w:hAnsi="Arial"/>
                <w:sz w:val="18"/>
                <w:szCs w:val="18"/>
                <w:color w:val="auto"/>
                <w:w w:val="94"/>
              </w:rPr>
              <w:t>Centralia, IL</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Havana, IL</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0"/>
                <w:szCs w:val="20"/>
                <w:color w:val="auto"/>
              </w:rPr>
            </w:pPr>
            <w:r>
              <w:rPr>
                <w:rFonts w:ascii="Arial" w:cs="Arial" w:eastAsia="Arial" w:hAnsi="Arial"/>
                <w:sz w:val="18"/>
                <w:szCs w:val="18"/>
                <w:color w:val="auto"/>
              </w:rPr>
              <w:t>Industrial and Water Treatment</w:t>
            </w: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St. Paul, MN(7)</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Memphis, TN(4)</w:t>
            </w:r>
          </w:p>
        </w:tc>
        <w:tc>
          <w:tcPr>
            <w:tcW w:w="1980" w:type="dxa"/>
            <w:vAlign w:val="bottom"/>
          </w:tcPr>
          <w:p>
            <w:pPr>
              <w:jc w:val="center"/>
              <w:ind w:left="31"/>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r>
        <w:trPr>
          <w:trHeight w:val="486"/>
        </w:trPr>
        <w:tc>
          <w:tcPr>
            <w:tcW w:w="3740" w:type="dxa"/>
            <w:vAlign w:val="bottom"/>
          </w:tcPr>
          <w:p>
            <w:pPr>
              <w:spacing w:after="0"/>
              <w:rPr>
                <w:sz w:val="24"/>
                <w:szCs w:val="24"/>
                <w:color w:val="auto"/>
              </w:rPr>
            </w:pPr>
          </w:p>
        </w:tc>
        <w:tc>
          <w:tcPr>
            <w:tcW w:w="2580" w:type="dxa"/>
            <w:vAlign w:val="bottom"/>
          </w:tcPr>
          <w:p>
            <w:pPr>
              <w:jc w:val="right"/>
              <w:ind w:right="1131"/>
              <w:spacing w:after="0"/>
              <w:rPr>
                <w:sz w:val="20"/>
                <w:szCs w:val="20"/>
                <w:color w:val="auto"/>
              </w:rPr>
            </w:pPr>
            <w:r>
              <w:rPr>
                <w:rFonts w:ascii="Arial" w:cs="Arial" w:eastAsia="Arial" w:hAnsi="Arial"/>
                <w:sz w:val="18"/>
                <w:szCs w:val="18"/>
                <w:color w:val="auto"/>
              </w:rPr>
              <w:t>9</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jc w:val="both"/>
        <w:ind w:left="540" w:hanging="316"/>
        <w:spacing w:after="0" w:line="279" w:lineRule="auto"/>
        <w:tabs>
          <w:tab w:leader="none" w:pos="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until December 2013, at which time we have an option to renew the leases for an additional five-year period on the same terms and conditions subject to renegotiation of rent.</w:t>
      </w:r>
    </w:p>
    <w:p>
      <w:pPr>
        <w:spacing w:after="0" w:line="36" w:lineRule="exact"/>
        <w:rPr>
          <w:rFonts w:ascii="Arial" w:cs="Arial" w:eastAsia="Arial" w:hAnsi="Arial"/>
          <w:sz w:val="17"/>
          <w:szCs w:val="17"/>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to serve our bulk pharmaceutical customers.</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became operational in July 2009, includes manufacturing capacity and primarily serves our food-grade products business. Prior to fiscal 2011 this facility was shared with the Water Treatment Group.</w:t>
      </w:r>
    </w:p>
    <w:p>
      <w:pPr>
        <w:spacing w:after="0" w:line="46" w:lineRule="exact"/>
        <w:rPr>
          <w:rFonts w:ascii="Arial" w:cs="Arial" w:eastAsia="Arial" w:hAnsi="Arial"/>
          <w:sz w:val="18"/>
          <w:szCs w:val="18"/>
          <w:color w:val="auto"/>
        </w:rPr>
      </w:pPr>
    </w:p>
    <w:p>
      <w:pPr>
        <w:jc w:val="both"/>
        <w:ind w:left="540" w:hanging="316"/>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Vertex in fiscal 2011 included an office building located in St Louis, Missouri and manufacturing and warehouse facilities located in Memphis, Tennessee; Camanche, Iowa; and Dupo, Illinois. All of the facilities and land are owned by the company with the exception of the land in Dupo, Illinois, which is leased from a third party. The lease runs through May, 2023. The facility in Memphis is shared between the Industrial and Water Treatment Groups.</w:t>
      </w:r>
    </w:p>
    <w:p>
      <w:pPr>
        <w:spacing w:after="0" w:line="51"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became operational in late fiscal 2013.</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2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right="20" w:firstLine="243"/>
        <w:spacing w:after="0" w:line="276" w:lineRule="auto"/>
        <w:rPr>
          <w:sz w:val="20"/>
          <w:szCs w:val="20"/>
          <w:color w:val="auto"/>
        </w:rPr>
      </w:pPr>
      <w:r>
        <w:rPr>
          <w:rFonts w:ascii="Arial" w:cs="Arial" w:eastAsia="Arial" w:hAnsi="Arial"/>
          <w:sz w:val="17"/>
          <w:szCs w:val="17"/>
          <w:color w:val="auto"/>
        </w:rPr>
        <w:t>As previously reported in our quarterly report on Form 10-Q for the first quarter of fiscal 2013, on June 15, 2012, we entered into a settlement agreement with ICL Performance Products LP (“ICL”), a chemical supplier to us, pursuant to which we mutually resolved the previously disclosed litigation and all disputes among us. The settlement agreement provided for a cash payment by us to ICL and provided that both parties enter into new contracts for the supply by ICL of certain chemicals to us. Our obligations under the settlement agreement resulted in a $3.2 million charge to pre-tax income recorded in cost of sales (approximately $2.0 million after tax) during the first quarter of fiscal 2013.</w:t>
      </w:r>
    </w:p>
    <w:p>
      <w:pPr>
        <w:spacing w:after="0" w:line="173"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other litigation has not had a material effect on us.</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16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MARKET FOR THE COMPANY’S COMMON EQUITY, RELATED SHAREHOLDER MATTERS, AND ISSUER PURCHASES OF EQUITY SECURITIES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gridSpan w:val="4"/>
          </w:tcPr>
          <w:p>
            <w:pPr>
              <w:ind w:left="40"/>
              <w:spacing w:after="0"/>
              <w:rPr>
                <w:sz w:val="20"/>
                <w:szCs w:val="20"/>
                <w:color w:val="auto"/>
              </w:rPr>
            </w:pPr>
            <w:r>
              <w:rPr>
                <w:rFonts w:ascii="Arial" w:cs="Arial" w:eastAsia="Arial" w:hAnsi="Arial"/>
                <w:sz w:val="14"/>
                <w:szCs w:val="14"/>
                <w:b w:val="1"/>
                <w:bCs w:val="1"/>
                <w:color w:val="auto"/>
              </w:rPr>
              <w:t>Quarterly Stock Data</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4"/>
                <w:szCs w:val="14"/>
                <w:b w:val="1"/>
                <w:bCs w:val="1"/>
                <w:color w:val="auto"/>
              </w:rPr>
              <w:t>High</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Low</w:t>
            </w:r>
          </w:p>
        </w:tc>
        <w:tc>
          <w:tcPr>
            <w:tcW w:w="40" w:type="dxa"/>
            <w:vAlign w:val="bottom"/>
          </w:tcPr>
          <w:p>
            <w:pPr>
              <w:spacing w:after="0"/>
              <w:rPr>
                <w:sz w:val="14"/>
                <w:szCs w:val="14"/>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4"/>
        </w:trPr>
        <w:tc>
          <w:tcPr>
            <w:tcW w:w="8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Fiscal 2013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40.96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37.25</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42.04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36.18</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42.29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35.77</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38.53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31.06</w:t>
            </w:r>
          </w:p>
        </w:tc>
        <w:tc>
          <w:tcPr>
            <w:tcW w:w="40" w:type="dxa"/>
            <w:vAlign w:val="bottom"/>
          </w:tcPr>
          <w:p>
            <w:pPr>
              <w:spacing w:after="0"/>
              <w:rPr>
                <w:sz w:val="23"/>
                <w:szCs w:val="23"/>
                <w:color w:val="auto"/>
              </w:rPr>
            </w:pPr>
          </w:p>
        </w:tc>
      </w:tr>
      <w:tr>
        <w:trPr>
          <w:trHeight w:val="243"/>
        </w:trPr>
        <w:tc>
          <w:tcPr>
            <w:tcW w:w="8400" w:type="dxa"/>
            <w:vAlign w:val="bottom"/>
            <w:gridSpan w:val="4"/>
          </w:tcPr>
          <w:p>
            <w:pPr>
              <w:ind w:left="40"/>
              <w:spacing w:after="0"/>
              <w:rPr>
                <w:sz w:val="20"/>
                <w:szCs w:val="20"/>
                <w:color w:val="auto"/>
              </w:rPr>
            </w:pPr>
            <w:r>
              <w:rPr>
                <w:rFonts w:ascii="Arial" w:cs="Arial" w:eastAsia="Arial" w:hAnsi="Arial"/>
                <w:sz w:val="18"/>
                <w:szCs w:val="18"/>
                <w:color w:val="auto"/>
              </w:rPr>
              <w:t>Fiscal 2012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42.93</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34.36</w:t>
            </w:r>
          </w:p>
        </w:tc>
        <w:tc>
          <w:tcPr>
            <w:tcW w:w="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40.89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29.05</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38.66</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30.14</w:t>
            </w:r>
          </w:p>
        </w:tc>
        <w:tc>
          <w:tcPr>
            <w:tcW w:w="40" w:type="dxa"/>
            <w:vAlign w:val="bottom"/>
          </w:tcPr>
          <w:p>
            <w:pPr>
              <w:spacing w:after="0"/>
              <w:rPr>
                <w:sz w:val="23"/>
                <w:szCs w:val="23"/>
                <w:color w:val="auto"/>
              </w:rPr>
            </w:pPr>
          </w:p>
        </w:tc>
      </w:tr>
      <w:tr>
        <w:trPr>
          <w:trHeight w:val="341"/>
        </w:trPr>
        <w:tc>
          <w:tcPr>
            <w:tcW w:w="40" w:type="dxa"/>
            <w:vAlign w:val="bottom"/>
          </w:tcPr>
          <w:p>
            <w:pPr>
              <w:spacing w:after="0"/>
              <w:rPr>
                <w:sz w:val="24"/>
                <w:szCs w:val="24"/>
                <w:color w:val="auto"/>
              </w:rPr>
            </w:pPr>
          </w:p>
        </w:tc>
        <w:tc>
          <w:tcPr>
            <w:tcW w:w="8360" w:type="dxa"/>
            <w:vAlign w:val="bottom"/>
            <w:gridSpan w:val="3"/>
          </w:tcPr>
          <w:p>
            <w:pPr>
              <w:ind w:left="120"/>
              <w:spacing w:after="0"/>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47.48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33.30</w:t>
            </w:r>
          </w:p>
        </w:tc>
        <w:tc>
          <w:tcPr>
            <w:tcW w:w="40" w:type="dxa"/>
            <w:vAlign w:val="bottom"/>
          </w:tcPr>
          <w:p>
            <w:pPr>
              <w:spacing w:after="0"/>
              <w:rPr>
                <w:sz w:val="24"/>
                <w:szCs w:val="24"/>
                <w:color w:val="auto"/>
              </w:rPr>
            </w:pPr>
          </w:p>
        </w:tc>
      </w:tr>
      <w:tr>
        <w:trPr>
          <w:trHeight w:val="482"/>
        </w:trPr>
        <w:tc>
          <w:tcPr>
            <w:tcW w:w="8400" w:type="dxa"/>
            <w:vAlign w:val="bottom"/>
            <w:gridSpan w:val="4"/>
          </w:tcPr>
          <w:p>
            <w:pPr>
              <w:ind w:left="40"/>
              <w:spacing w:after="0"/>
              <w:rPr>
                <w:sz w:val="20"/>
                <w:szCs w:val="20"/>
                <w:color w:val="auto"/>
              </w:rPr>
            </w:pPr>
            <w:r>
              <w:rPr>
                <w:rFonts w:ascii="Arial" w:cs="Arial" w:eastAsia="Arial" w:hAnsi="Arial"/>
                <w:sz w:val="14"/>
                <w:szCs w:val="14"/>
                <w:b w:val="1"/>
                <w:bCs w:val="1"/>
                <w:color w:val="auto"/>
              </w:rPr>
              <w:t>Cash Dividends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Declared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Paid</w:t>
            </w:r>
          </w:p>
        </w:tc>
        <w:tc>
          <w:tcPr>
            <w:tcW w:w="40" w:type="dxa"/>
            <w:vAlign w:val="bottom"/>
          </w:tcPr>
          <w:p>
            <w:pPr>
              <w:spacing w:after="0"/>
              <w:rPr>
                <w:sz w:val="24"/>
                <w:szCs w:val="24"/>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44"/>
        </w:trPr>
        <w:tc>
          <w:tcPr>
            <w:tcW w:w="8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Fiscal 2014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23"/>
                <w:szCs w:val="23"/>
                <w:color w:val="auto"/>
              </w:rPr>
            </w:pPr>
          </w:p>
        </w:tc>
      </w:tr>
      <w:tr>
        <w:trPr>
          <w:trHeight w:val="250"/>
        </w:trPr>
        <w:tc>
          <w:tcPr>
            <w:tcW w:w="8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Fiscal 2013</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23"/>
                <w:szCs w:val="23"/>
                <w:color w:val="auto"/>
              </w:rPr>
            </w:pPr>
          </w:p>
        </w:tc>
      </w:tr>
      <w:tr>
        <w:trPr>
          <w:trHeight w:val="243"/>
        </w:trPr>
        <w:tc>
          <w:tcPr>
            <w:tcW w:w="8400" w:type="dxa"/>
            <w:vAlign w:val="bottom"/>
            <w:gridSpan w:val="4"/>
          </w:tcPr>
          <w:p>
            <w:pPr>
              <w:ind w:left="40"/>
              <w:spacing w:after="0"/>
              <w:rPr>
                <w:sz w:val="20"/>
                <w:szCs w:val="20"/>
                <w:color w:val="auto"/>
              </w:rPr>
            </w:pPr>
            <w:r>
              <w:rPr>
                <w:rFonts w:ascii="Arial" w:cs="Arial" w:eastAsia="Arial" w:hAnsi="Arial"/>
                <w:sz w:val="18"/>
                <w:szCs w:val="18"/>
                <w:color w:val="auto"/>
              </w:rPr>
              <w:t>Fiscal 2012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3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23"/>
                <w:szCs w:val="23"/>
                <w:color w:val="auto"/>
              </w:rPr>
            </w:pPr>
          </w:p>
        </w:tc>
      </w:tr>
      <w:tr>
        <w:trPr>
          <w:trHeight w:val="270"/>
        </w:trPr>
        <w:tc>
          <w:tcPr>
            <w:tcW w:w="40" w:type="dxa"/>
            <w:vAlign w:val="bottom"/>
            <w:shd w:val="clear" w:color="auto" w:fill="CCEEFF"/>
          </w:tcPr>
          <w:p>
            <w:pPr>
              <w:spacing w:after="0"/>
              <w:rPr>
                <w:sz w:val="23"/>
                <w:szCs w:val="23"/>
                <w:color w:val="auto"/>
              </w:rPr>
            </w:pPr>
          </w:p>
        </w:tc>
        <w:tc>
          <w:tcPr>
            <w:tcW w:w="83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3"/>
                <w:szCs w:val="23"/>
                <w:color w:val="auto"/>
              </w:rPr>
            </w:pPr>
          </w:p>
        </w:tc>
      </w:tr>
      <w:tr>
        <w:trPr>
          <w:trHeight w:val="341"/>
        </w:trPr>
        <w:tc>
          <w:tcPr>
            <w:tcW w:w="40" w:type="dxa"/>
            <w:vAlign w:val="bottom"/>
          </w:tcPr>
          <w:p>
            <w:pPr>
              <w:spacing w:after="0"/>
              <w:rPr>
                <w:sz w:val="24"/>
                <w:szCs w:val="24"/>
                <w:color w:val="auto"/>
              </w:rPr>
            </w:pPr>
          </w:p>
        </w:tc>
        <w:tc>
          <w:tcPr>
            <w:tcW w:w="8360" w:type="dxa"/>
            <w:vAlign w:val="bottom"/>
            <w:gridSpan w:val="3"/>
          </w:tcPr>
          <w:p>
            <w:pPr>
              <w:ind w:left="120"/>
              <w:spacing w:after="0"/>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0.30</w:t>
            </w:r>
          </w:p>
        </w:tc>
        <w:tc>
          <w:tcPr>
            <w:tcW w:w="40" w:type="dxa"/>
            <w:vAlign w:val="bottom"/>
          </w:tcPr>
          <w:p>
            <w:pPr>
              <w:spacing w:after="0"/>
              <w:rPr>
                <w:sz w:val="24"/>
                <w:szCs w:val="24"/>
                <w:color w:val="auto"/>
              </w:rPr>
            </w:pPr>
          </w:p>
        </w:tc>
      </w:tr>
    </w:tbl>
    <w:p>
      <w:pPr>
        <w:spacing w:after="0" w:line="130" w:lineRule="exact"/>
        <w:rPr>
          <w:sz w:val="20"/>
          <w:szCs w:val="20"/>
          <w:color w:val="auto"/>
        </w:rPr>
      </w:pPr>
    </w:p>
    <w:p>
      <w:pPr>
        <w:ind w:firstLine="230"/>
        <w:spacing w:after="0" w:line="308" w:lineRule="auto"/>
        <w:rPr>
          <w:sz w:val="20"/>
          <w:szCs w:val="20"/>
          <w:color w:val="auto"/>
        </w:rPr>
      </w:pPr>
      <w:r>
        <w:rPr>
          <w:rFonts w:ascii="Arial" w:cs="Arial" w:eastAsia="Arial" w:hAnsi="Arial"/>
          <w:sz w:val="17"/>
          <w:szCs w:val="17"/>
          <w:color w:val="auto"/>
        </w:rPr>
        <w:t>Our common shares are traded on The NASDAQ Global Market under the symbol “HWKN.” The price information represents closing sale prices as reported by The NASDAQ Global Market. As of March 31, 2013, shares of our common stock were held by approximately 488 shareholders of record.</w:t>
      </w:r>
    </w:p>
    <w:p>
      <w:pPr>
        <w:spacing w:after="0" w:line="147"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will be evaluated by our Board of Directors.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did not sell or repurchase any shares of our common stock during the fourth quarter of fiscal 2013.</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30, 2008,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5257165" cy="4116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SELECTED FINANCIAL DATA</w:t>
      </w:r>
    </w:p>
    <w:p>
      <w:pPr>
        <w:spacing w:after="0" w:line="3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Selected financial data for the Company is presented in the table below and should be read in conjunction with Management’s Discussion and Analysis of Financial Condition and Results of Operations included in Item 7 and the Company’s consolidated financial statements and notes thereto included in Item 8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Fiscal Years</w:t>
            </w:r>
          </w:p>
        </w:tc>
        <w:tc>
          <w:tcPr>
            <w:tcW w:w="7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2009</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from 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350,387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343,834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297,641</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257,099</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284,356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 from continuing operations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56,936</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65,868</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61,902</w:t>
            </w:r>
          </w:p>
        </w:tc>
        <w:tc>
          <w:tcPr>
            <w:tcW w:w="5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64,445</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62,420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17,108</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21,628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20,314</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23,738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23,424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 from continuing operations</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1.98</w:t>
            </w:r>
          </w:p>
        </w:tc>
        <w:tc>
          <w:tcPr>
            <w:tcW w:w="5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1.62</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2.29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0.68</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0.64</w:t>
            </w:r>
          </w:p>
        </w:tc>
        <w:tc>
          <w:tcPr>
            <w:tcW w:w="3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0.70</w:t>
            </w:r>
          </w:p>
        </w:tc>
        <w:tc>
          <w:tcPr>
            <w:tcW w:w="50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0.66</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0.68</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222,148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204,081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185,005</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160,293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136,290</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fiscal 2013, 2012 and 2011. This discussion should be read in conjunction with the Financial Statements and Notes to Financial Statements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specialty chemical products, including repackaging, blending and manufacturing certain products. In recent years, we have expanded the sales of our higher-margin blended and manufactured products.</w:t>
      </w:r>
    </w:p>
    <w:p>
      <w:pPr>
        <w:spacing w:after="0" w:line="17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have continued to invest in growing our business. During fiscal 2012, we purchased a 28-acre parcel of land in Rosemount, Minnesota and began construction of a new facility on the site. This Industrial manufacturing facility became operational in late fiscal 2013. The site provides capacity for future business growth and lessens our dependence on our flood-prone sites on the Mississippi River. While we have transferred some blending and manufacturing activity to the Rosemount site, we do not intend to close any sites we currently operate as a result of this transfer of activity. In fiscal 2013, we incurred incremental costs related to this new facility of approximately $1.3 million, and anticipate additional incremental costs of approximately $1.2 million to operate this facility for the entire year in fiscal 2014.</w:t>
      </w:r>
    </w:p>
    <w:p>
      <w:pPr>
        <w:spacing w:after="0" w:line="193"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April 2013, we moved into a new corporate headquarters located in Roseville, Minnesota. The move was necessary because we had outgrown our former corporate headquarters that had been our home for over 60 years. As a result of this move, we expect to incur incremental costs of approximately $1.0 million to lease and operate this facility starting in fiscal 2014.</w:t>
      </w:r>
    </w:p>
    <w:p>
      <w:pPr>
        <w:spacing w:after="0" w:line="18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recorded a pre-tax charge of $7.2 million in our Industrial segment (approximately $4.5 million after tax, or $0.43 per share, fully diluted) in the third quarter of fiscal 2013. This charge represented the discounted value of our estimated withdrawal payment obligation from the Central States, Southeast and Southwest Areas Pension Fund (“CSS” or “the plan”), a collectively bargained multiemployer pension plan. Our participation in the plan was pursuant to two collective bargaining agreements that were modified during the fourth quarter of fiscal 2013 to discontinue our participation in CSS. As a replacement for CSS, we have agreed to provide defined-contribution retirement benefits to our union employees that are similar to those benefits currently offered to our non-union employees. We estimate the aggregate cash payments to be made to total approximately $9.3 million, or $467,000 per year beginning some time in fiscal 2014 and continuing annually for twenty years. We have accrued the discounted value of that payment obligation in the “Pension withdrawal” line item on the consolidated statements of income for fiscal 2013.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ultimate amount of the withdrawal liability assessed by CSS could be impacted by a number of factors, including, among other things, a mass withdrawal (generally a withdrawal of substantially all contributing employers), the number of work weeks reported to CSS by us, the hourly contribution rate paid by us, the continued participation of other employers in CSS, financial difficulty of other participating employers in the plan (including bankruptcy), investment returns, benefit levels, and interest rates. Any assessment in excess of our accrual could impact our future results of operations and financial condition.</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fiscal 2013, we entered into a settlement agreement with ICL Performance Products LP (“ICL”), a chemical supplier to us, pursuant to which we mutually resolved the previously disclosed litigation and all disputes among us. The settlement agreement provided for a cash payment by us to ICL and provided that both parties enter into new contracts for the supply by ICL of certain chemicals to us. Our obligations under the settlement agreement resulted in a $3.2 million charge to pre-tax income recorded in cost of sales (approximately $2.0 million after tax or $0.19 per share, fully diluted) in the first quarter of fiscal 2013. Of the total charge, $2.1 million was paid in fiscal 2013.</w:t>
      </w:r>
    </w:p>
    <w:p>
      <w:pPr>
        <w:spacing w:after="0" w:line="18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anticipate that in fiscal 2014 we will be vacating our leased facility currently used to produce our bulk pharmaceutical products. We will transfer production of certain of these products to our other Industrial production facilities and discontinue production of the remaining product lines. As a result, we recorded a pre-tax charge of approximately $0.4 million in our Industrial segment (approximately $0.2 million after tax) related to accelerated depreciation on leasehold improvements and manufacturing equipment related to this facility in the fourth quarter of fiscal 2013. We expect to incur pre-tax charges of $0.8 to $1.0 million during the first half of fiscal 2014 related to additional depreciation expense and other costs associated with exiting this facility.</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fiscal 2011, we completed the acquisition of substantially all of the assets of Vertex for approximately $27.2 million. In addition to the manufacture of sodium hypochlorite bleaches, Vertex distributes and provides terminal services for bulk liquid inorganic chemicals, and contract and private label packaging for household chemicals. We believe the acquisition strengthens our market position in the Midwest. Operating results of Vertex are included in our consolidated results of operations from the date of acquisition in this Annual Report on Form 10-K as part of our Industrial segment. See Note 2 to the Consolidated Financial Statements for further information.</w:t>
      </w:r>
    </w:p>
    <w:p>
      <w:pPr>
        <w:spacing w:after="0" w:line="18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opened one new branch for our Water Treatment Group in fiscal 2013, one in fiscal 2012, and two in fiscal 2011, and expect to continue to invest in existing and new branches to expand our Water Treatment Group's geographic coverage. The cost of these branch expansions is not expected to be material. In addition, we have selectively added route sales personnel to certain existing Water Treatment Group branch offices to spur growth within our existing geographic coverage area.</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financial performance in fiscal 2013 was highlighted by:</w:t>
      </w:r>
    </w:p>
    <w:p>
      <w:pPr>
        <w:spacing w:after="0" w:line="225" w:lineRule="exact"/>
        <w:rPr>
          <w:sz w:val="20"/>
          <w:szCs w:val="20"/>
          <w:color w:val="auto"/>
        </w:rPr>
      </w:pPr>
    </w:p>
    <w:p>
      <w:pPr>
        <w:ind w:left="560" w:hanging="3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from continuing operations of $350.4 million, a 1.9% increase from fiscal 2012;</w:t>
      </w:r>
    </w:p>
    <w:p>
      <w:pPr>
        <w:spacing w:after="0" w:line="225"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Gross profit from continuing operations of $56.9 million, or 16.2% of sales, an $8.9 million decrease in gross profit dollars from fiscal 2012, which was negatively impacted by non-recurring charges of $7.2 million related to our withdrawal from a multiemployer pension plan and $3.2 million related to a litigation settlement;</w:t>
      </w:r>
    </w:p>
    <w:p>
      <w:pPr>
        <w:spacing w:after="0" w:line="181" w:lineRule="exact"/>
        <w:rPr>
          <w:rFonts w:ascii="Arial" w:cs="Arial" w:eastAsia="Arial" w:hAnsi="Arial"/>
          <w:sz w:val="18"/>
          <w:szCs w:val="18"/>
          <w:color w:val="auto"/>
        </w:rPr>
      </w:pPr>
    </w:p>
    <w:p>
      <w:pPr>
        <w:ind w:left="560" w:hanging="3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of $35.5 million; and</w:t>
      </w:r>
    </w:p>
    <w:p>
      <w:pPr>
        <w:spacing w:after="0" w:line="225" w:lineRule="exact"/>
        <w:rPr>
          <w:rFonts w:ascii="Arial" w:cs="Arial" w:eastAsia="Arial" w:hAnsi="Arial"/>
          <w:sz w:val="18"/>
          <w:szCs w:val="18"/>
          <w:color w:val="auto"/>
        </w:rPr>
      </w:pPr>
    </w:p>
    <w:p>
      <w:pPr>
        <w:ind w:left="560" w:hanging="336"/>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and investments available for sale of $49.9 million as of the end of fiscal 2013.</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seek to maintain relatively constant gross profit dollars per unit sold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gross profit dollars on each of our products, our reported gross profit percentage will decrease when the cost of the product increases and will increase when the cost of the product decreases.</w:t>
      </w:r>
    </w:p>
    <w:p>
      <w:pPr>
        <w:spacing w:after="0" w:line="15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use the last in, first out (“LIFO”) method of valuing the vast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bulk chemical raw material prices. Our LIFO reserve decreased by $0.4 million in fiscal 2013 primarily due to reduced volumes of certain bulk products in inventory at year-end, resulting in an increase to our reported gross profit for the year. In fiscal 2012, our LIFO reserve increased by $1.6 million due to the higher volumes and the mix of bulk chemicals in inventory at the end of the year. This increase in the reserve reduced our reported gross profit in fiscal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580" w:type="dxa"/>
            <w:vAlign w:val="bottom"/>
          </w:tcPr>
          <w:p>
            <w:pPr>
              <w:jc w:val="right"/>
              <w:ind w:right="533"/>
              <w:spacing w:after="0"/>
              <w:rPr>
                <w:sz w:val="20"/>
                <w:szCs w:val="20"/>
                <w:color w:val="auto"/>
              </w:rPr>
            </w:pPr>
            <w:r>
              <w:rPr>
                <w:rFonts w:ascii="Arial" w:cs="Arial" w:eastAsia="Arial" w:hAnsi="Arial"/>
                <w:sz w:val="14"/>
                <w:szCs w:val="14"/>
                <w:b w:val="1"/>
                <w:bCs w:val="1"/>
                <w:color w:val="auto"/>
              </w:rPr>
              <w:t>Fiscal</w:t>
            </w:r>
          </w:p>
        </w:tc>
      </w:tr>
      <w:tr>
        <w:trPr>
          <w:trHeight w:val="192"/>
        </w:trPr>
        <w:tc>
          <w:tcPr>
            <w:tcW w:w="6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2011</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to Fiscal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Sales increased $6.6 million, or 1.9%, to $350.4 million for fiscal 2013, as compared to sales of $343.8 million for fiscal 2012. The increase in sales was primarily due to increased sales in our Water Treatment segment driven by favorable weather conditions during the first half of fiscal 2013 and volume growth of lower-priced bulk products in both of our segments, partially offset by lower sales of other products in our Industrial segment. Sales of bulk chemicals, including caustic soda, were approximately 24% of sales compared to approximately 23% in the previous year.</w:t>
      </w:r>
    </w:p>
    <w:p>
      <w:pPr>
        <w:spacing w:after="0" w:line="17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$2.9 million, or 1.2%, to $248.6 million for fiscal 2013. While overall volumes increased year-over-year, competitive pricing pressure resulted in lower overall per-unit selling prices.</w:t>
      </w:r>
    </w:p>
    <w:p>
      <w:pPr>
        <w:spacing w:after="0" w:line="170"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$9.4 million, or 10.2%, to $101.8 million for fiscal 2013. The increase in sales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volume growth resulting from favorable weather conditions in the first half of fiscal 2013 and additional sales of bulk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Gross profit was $56.9 million, or 16.2% of sales, for fiscal 2013, as compared to $65.9 million, or 19.2% of sales, for fiscal 2012. Fiscal 2013 gross profit was negatively impacted by the $7.2 million CSS pension withdrawal and the $3.2 million charge resulting from the litigation settlement, which charges together constituted 3.0% of sales for the fiscal year. Additionally, gross profit was negatively impacted by $1.3 million of incremental costs related to the new Rosemount facility, and $0.4 million of accelerated depreciation charges related to a facility we intend to vacate in fiscal 2014. The LIFO method of valuing inventory increased gross profit by $0.4 million for fiscal 2013 primarily due to reduced volumes of certain bulk products in inventory at year end. In the prior year, LIFO reduced gross profit by $1.6 million due to higher volumes and the mix of bulk chemicals in inventory at the end of the year.</w:t>
      </w:r>
    </w:p>
    <w:p>
      <w:pPr>
        <w:spacing w:after="0" w:line="16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$28.9 million, or 11.6% of sales, for fiscal 2013, as compared to $40.4 million, or 16.0%</w:t>
      </w:r>
      <w:r>
        <w:rPr>
          <w:rFonts w:ascii="Arial" w:cs="Arial" w:eastAsia="Arial" w:hAnsi="Arial"/>
          <w:sz w:val="16"/>
          <w:szCs w:val="16"/>
          <w:i w:val="1"/>
          <w:iCs w:val="1"/>
          <w:color w:val="auto"/>
        </w:rPr>
        <w:t xml:space="preserve"> </w:t>
      </w:r>
      <w:r>
        <w:rPr>
          <w:rFonts w:ascii="Arial" w:cs="Arial" w:eastAsia="Arial" w:hAnsi="Arial"/>
          <w:sz w:val="16"/>
          <w:szCs w:val="16"/>
          <w:color w:val="auto"/>
        </w:rPr>
        <w:t>of sales, for fiscal 2012. Fiscal 2013 gross profit for this segment was negatively impacted by the $7.2 million CSS pension withdrawal charge and the $3.2 million charge resulting from the litigation settlement, which charges together constituted 4.2% of Industrial segment sales for the fiscal year. Gross profit for this segment was also negatively impacted by heightened competitive pricing pressure, resulting in overall lower per-unit margins, $1.3 million in incremental costs for the new Rosemount facility, and by $0.4 million of accelerated depreciation charges related to the facility we intend to vacate as noted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above. The LIFO method of valuing inventory increased gross profit by $0.4 million in fiscal 2013 and reduced gross profit by $1.5 million in fiscal 2012.</w:t>
      </w:r>
    </w:p>
    <w:p>
      <w:pPr>
        <w:spacing w:after="0" w:line="237" w:lineRule="exact"/>
        <w:rPr>
          <w:sz w:val="20"/>
          <w:szCs w:val="20"/>
          <w:color w:val="auto"/>
        </w:rPr>
      </w:pPr>
    </w:p>
    <w:p>
      <w:pPr>
        <w:jc w:val="both"/>
        <w:ind w:firstLine="189"/>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$28.1 million, or 27.6% of sales, for fiscal 2013, as compared to $25.5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or 27.6% of sales, for fiscal 2012. The increase in gross profit dollars was primarily due to increased volumes resulting from favorable weather conditions during the first half of the year, partially offset by a shift in product mix to increased sales of lower-margin bulk products. The LIFO method of valuing inventory had no significant impact on gross profit in fiscal 2013 and negatively impacted gross profit by $0.1 million in fiscal 2012.</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Selling, general and administrative expenses were $31.6 million, or 9.0% of sales, for fiscal 2013, as compared to $30.8 million, or 8.9% of sales, for fiscal 2012. The increase was primarily due to higher selling costs due to additional sales staff, partially offset by lower administration costs.</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Operating income was $25.3 million, or 7.2% of sales, for fiscal 2013, as compared to $35.1 million or 10.2% of sales, for fiscal 2012. An $11.6 million decrease in operating income for the Industrial segment was partially offset by a $1.8 million increase in operating income for the Water Treatment segment. Operating income for the Industrial segment was negatively impacted by the CSS pension withdrawal, the litigation settlement agreement, heightened competitive pricing pressure, the addition of a new production facility and the accelerated depreciation related to the anticipated exit of a leased facility. The LIFO method of valuing inventory increased our operating income in fiscal 2013, but reduced our operating income in fiscal 2012.</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Investment income was $0.1 million for both fiscal 2013 and 2012.</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Our effective income tax rate was 32.7% for fiscal 2013 compared to 38.6% for fiscal 2012. During fiscal 2013, we amended previously filed U.S. Federal tax returns resulting in an increase of $0.8 million in the benefits related to the domestic manufacturing deduction and investment tax credits, which positively impacted our tax rate for the year. The effective tax rate is generally impacted by projected levels of taxable income, permanent items, and state taxes.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2012 Compared to Fiscal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Sales increased $46.2 million, or 15.5%, to $343.8 million for fiscal 2012, as compared to sales of $297.6 million for fiscal 2011. Vertex, which we acquired during the fourth quarter of 2011, contributed $32.9 million of the increase in sales for fiscal 2012. We also experienced increased sales as a result of higher selling prices due to increased commodity chemical prices. Sales of bulk chemicals, including caustic soda, were approximately 23% of sales compared to approximately 20% in the previous year. The increase in the bulk chemical sales percentage for fiscal 2012 was primarily attributable to a full year of Vertex sales volumes compared to a partial year in fiscal 2011.</w:t>
      </w:r>
    </w:p>
    <w:p>
      <w:pPr>
        <w:spacing w:after="0" w:line="188"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increased $42.7 million, or 20.5%, to $251.4 million for fiscal 2012. Vertex contributed $32.9 million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for fiscal 2012. We experienced higher selling prices due to increased commodity chemical prices.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$3.5 million, or 3.9%, to $92.4 million for fiscal 2012. The sales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increased sales volumes related to manufactured and specialty chemical products and higher bulk chemical selling prices due to increased commodity chemical prices for those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Gross profit was $65.9 million, or 19.2% of sales, for fiscal 2012, as compared to $61.9 million, or 20.8% of sales, for fiscal 2011. The LIFO method of valuing inventory negatively impacted gross profit by $1.6 million for fiscal 2012 primarily due to volumes and mix of commodity chemicals in inventory at the end of the year. In the prior year, LIFO negatively impacted gross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profit by $3.9 million due to rising raw material costs and higher inventory volumes on hand at year-end maintained to meet customer requirements during an anticipated flood.</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$40.4 million, or 16.1% of sales, for fiscal 2012, as compared to $36.9 million, or 17.7%</w:t>
      </w:r>
      <w:r>
        <w:rPr>
          <w:rFonts w:ascii="Arial" w:cs="Arial" w:eastAsia="Arial" w:hAnsi="Arial"/>
          <w:sz w:val="18"/>
          <w:szCs w:val="18"/>
          <w:i w:val="1"/>
          <w:iCs w:val="1"/>
          <w:color w:val="auto"/>
        </w:rPr>
        <w:t xml:space="preserve"> </w:t>
      </w:r>
      <w:r>
        <w:rPr>
          <w:rFonts w:ascii="Arial" w:cs="Arial" w:eastAsia="Arial" w:hAnsi="Arial"/>
          <w:sz w:val="18"/>
          <w:szCs w:val="18"/>
          <w:color w:val="auto"/>
        </w:rPr>
        <w:t>of sales, for fiscal 2011. The increase in gross profit dollars resulted from the addition of the Vertex business to this segment, partially offset by lower selling prices due to competitive pricing pressures and lower volumes. The LIFO method of valuing inventory negatively impacted gross profit in this segment by $1.5 million in fiscal 2012 and $2.9 million in fiscal 2011.</w:t>
      </w:r>
    </w:p>
    <w:p>
      <w:pPr>
        <w:spacing w:after="0" w:line="187" w:lineRule="exact"/>
        <w:rPr>
          <w:sz w:val="20"/>
          <w:szCs w:val="20"/>
          <w:color w:val="auto"/>
        </w:rPr>
      </w:pPr>
    </w:p>
    <w:p>
      <w:pPr>
        <w:jc w:val="both"/>
        <w:ind w:firstLine="189"/>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$25.5 million, or 27.6% of sales, for fiscal 2012,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$25.0 million, or 28.1% of sales, for fiscal 2011. The increase in gross profit dollars was primarily due to increased sales volumes in the latter half of the fiscal 2012 more than offsetting lower volumes resulting from unfavorable weather conditions during the first half of the year and lower selling prices due to competitive pricing pressures. The LIFO method of valuing inventory negatively impacted gross profit in this segment by $0.1 million in fiscal 2012 and $1.1 million in fiscal 2011.</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Selling, general and administrative expenses were $30.8 million, or 9.0% of sales, for fiscal 2012, as compared to $29.9 million, or 10.1% of sales, for fiscal 2011. The increase was primarily due to the addition of expenses related to the Vertex business, which we acquired in the fourth quarter of fiscal 2011, partially offset by one-time costs we incurred in fiscal 2011 but did not experience in fiscal 2012. Fiscal 2011 included approximately $1.0 million in expense as a result of the death of John Hawkins, our former Chief Executive Officer, through payments due under his retention bonus agreement and the accelerated vesting of his previously granted performance-based restricted stock units and stock options, as well as approximately $0.7 million in Vertex acquisition costs.</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Operating income was $35.1 million, or 10.2% of sales, for fiscal 2012, as compared to $32.0 million, or 10.7% of sales, for fiscal 2011. A $3.4 million increase in operating income for the Industrial segment resulted primarily from the addition of the Vertex business, partially offset by a $0.3 million decrease in operating income for the Water Treatment segment. Both segments were negatively impacted by the LIFO method of valuing inventory in fiscal 2012 and fiscal 2011.</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Investment income was $0.1 million for fiscal 2012 and $0.3 million in fiscal 2011. The decrease in investment income was primarily due to lower cash and investment balances.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Our effective income tax rate was 38.6% for fiscal 2012 compared to 37.1% for fiscal 2011. The higher effective tax rate for fiscal 2012 was primarily due to decreased permanent tax benefits and somewhat higher effective state tax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Cash provided by operating activities in fiscal 2013 was $35.5 million compared to $33.7 million in fiscal 2012 and $28.5 million in fiscal 2011. Cash provided by operating activities increased in fiscal 2013 by $1.8 million despite lower net income recorded, primarily due to the $7.2 million non-cash charge to earnings related to our withdrawal from the multiemployer pension plan. In addition, changes in working capital balances provided $2.1 million in cash in fiscal 2013 compared to cash used of $1.9 million for working capital in fiscal 2012. The change in working capital balances in fiscal 2013 was primarily due to a decrease in trade receivables as well as a reduction in income tax receivable balances due to lower estimated income tax payments made.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1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Cash used in financing activities was $4.9 million in fiscal 2013 compared to $3.7 million in fiscal 2012 and $6.9 million in fiscal 2011. The increase in cash used in financing activities in fiscal 2013 was primarily due to lower proceeds from the exercise of employee stock options and an increase in dividends paid during the fiscal year.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Cash and investments available-for-sale of $49.9 million at March 31, 2013 increased by $4.0 million as compared with April 1, 2012, primarily due to cash generated from operations, proceeds from the exercise of employee stock options and proceeds from the issuance of new shares of common stock through the Company's employee stock purchase plan, partially offset by capital expenditures and dividend payments. Investments available-for-sale as of March 31, 2013 and April 1, 2012 consisted of certificates of deposit with maturities ranging from three months to two years.</w:t>
      </w:r>
    </w:p>
    <w:p>
      <w:pPr>
        <w:spacing w:after="0" w:line="171"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Capital expenditures were $26.7 million in fiscal 2013, $20.1 million in fiscal 2012 and $12.4 million in fiscal 2011. Significant capital expenditures in fiscal 2013 consisted of approximately $19 million related to business expansion and process improvement projects including our new Industrial facility and Water Treatment expansion, $2.6 million for regulatory and safety improvements, $1.4 million related to our new corporate headquarters and $3.7 million for other facility improvements, truck and vehicle replacement, and returnable containers. Total capital spending in fiscal 2014 is currently projected to be approximately $18 million. We expect cash balances and our cash flows from operations will be sufficient to fund our cash requirements in fiscal 2014.</w:t>
      </w:r>
    </w:p>
    <w:p>
      <w:pPr>
        <w:spacing w:after="0" w:line="15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During the second quarter of fiscal 2013, our Board of Directors increased our semi-annual cash dividend by 6.3% to $0.34 per share from $0.32 per share. We have paid cash dividends continuously since 1985. Future dividend levels will be dependent upon our results of operations, financial position, cash flows and other factors, and will be evaluated by our Board of Directors.</w:t>
      </w:r>
    </w:p>
    <w:p>
      <w:pPr>
        <w:spacing w:after="0" w:line="181"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As part of our business growth strategy, we have acquired businesses and may pursue acquisitions or other strategic relationships in the future that we believe will complement or expand our existing businesses or increase our customer base. 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9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3"/>
                <w:szCs w:val="13"/>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76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88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9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More than</w:t>
            </w:r>
          </w:p>
        </w:tc>
        <w:tc>
          <w:tcPr>
            <w:tcW w:w="34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7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 Years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60" w:type="dxa"/>
            <w:vAlign w:val="bottom"/>
            <w:gridSpan w:val="2"/>
          </w:tcPr>
          <w:p>
            <w:pPr>
              <w:jc w:val="center"/>
              <w:ind w:left="99"/>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1,142</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1,196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1,020</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4,947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10,371</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Pension withdrawal liability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195</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7,280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360" w:hanging="412"/>
        <w:spacing w:after="0" w:line="27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amounts shown in the table above assume our payments made to CSS as a result of our withdrawal from the multiemployer pension plan begin in November 2014. Such payments will continue annually for 20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3"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w:t>
      </w:r>
      <w:r>
        <w:rPr>
          <w:rFonts w:ascii="Arial" w:cs="Arial" w:eastAsia="Arial" w:hAnsi="Arial"/>
          <w:sz w:val="16"/>
          <w:szCs w:val="16"/>
          <w:i w:val="1"/>
          <w:iCs w:val="1"/>
          <w:color w:val="auto"/>
        </w:rPr>
        <w:t xml:space="preserve"> </w:t>
      </w:r>
      <w:r>
        <w:rPr>
          <w:rFonts w:ascii="Arial" w:cs="Arial" w:eastAsia="Arial" w:hAnsi="Arial"/>
          <w:sz w:val="16"/>
          <w:szCs w:val="16"/>
          <w:color w:val="auto"/>
        </w:rPr>
        <w:t>are 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ind w:right="20" w:firstLine="230"/>
        <w:spacing w:after="0" w:line="259" w:lineRule="auto"/>
        <w:rPr>
          <w:sz w:val="20"/>
          <w:szCs w:val="20"/>
          <w:color w:val="auto"/>
        </w:rPr>
      </w:pPr>
      <w:r>
        <w:rPr>
          <w:rFonts w:ascii="Arial" w:cs="Arial" w:eastAsia="Arial" w:hAnsi="Arial"/>
          <w:sz w:val="18"/>
          <w:szCs w:val="18"/>
          <w:i w:val="1"/>
          <w:iCs w:val="1"/>
          <w:color w:val="auto"/>
        </w:rPr>
        <w:t xml:space="preserve">LIFO Reserve </w:t>
      </w:r>
      <w:r>
        <w:rPr>
          <w:rFonts w:ascii="Arial" w:cs="Arial" w:eastAsia="Arial" w:hAnsi="Arial"/>
          <w:sz w:val="18"/>
          <w:szCs w:val="18"/>
          <w:color w:val="auto"/>
        </w:rPr>
        <w:t>- Inventories are primarily valued at the lower of cost or market with cost being determined using the LIFO method. We may incur</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fluctuations in our LIFO reserve and, as a result, gross margins due primarily to changes in the volumes on hand and the per-unit cost of a single, large-volume component of our inventory. The price of this inventory component fluctuates depending on the balance between supply and demand. Management reviews the LIFO reserve on a quarterly basis.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Inventories not valued used the LIFO method are valued at the lower of cost or market with cost being determined using the FIFO method.</w:t>
      </w:r>
    </w:p>
    <w:p>
      <w:pPr>
        <w:spacing w:after="0" w:line="22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i w:val="1"/>
          <w:iCs w:val="1"/>
          <w:color w:val="auto"/>
        </w:rPr>
        <w:t xml:space="preserve">Goodwill and Infinite-life Intangible Assets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represents the excess of the cost of acquired businesses over the fair value of identifiable tangible</w:t>
      </w:r>
      <w:r>
        <w:rPr>
          <w:rFonts w:ascii="Arial" w:cs="Arial" w:eastAsia="Arial" w:hAnsi="Arial"/>
          <w:sz w:val="16"/>
          <w:szCs w:val="16"/>
          <w:i w:val="1"/>
          <w:iCs w:val="1"/>
          <w:color w:val="auto"/>
        </w:rPr>
        <w:t xml:space="preserve"> </w:t>
      </w:r>
      <w:r>
        <w:rPr>
          <w:rFonts w:ascii="Arial" w:cs="Arial" w:eastAsia="Arial" w:hAnsi="Arial"/>
          <w:sz w:val="16"/>
          <w:szCs w:val="16"/>
          <w:color w:val="auto"/>
        </w:rPr>
        <w:t>net assets and 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See Item 8, “Note 1 - Nature of Business and Significant Accounting Policies” of the Notes to Consolidated Financial Statements for information regarding recently adopted accounting standards or accounting standards to be adopted in the future.</w:t>
      </w: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the increases in the future.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Hawkins, Inc.:</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March 31, 2013 and April 1, 2012, and the related consolidated statements of income, comprehensive income, shareholders' equity, and cash flows for each of the years in the three-year period ended March 31, 2013. In connection with our audits of the consolidated financial statements, we also have audited the financial statement schedule for each of the years in the three-year period ended March 31, 2013, listed in schedule II of this Form 10-K. We also have audited the Company's internal control over financial reporting as of March 31, 2013,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Hawkins, Inc. and subsidiaries as of March 31, 2013 and April 1, 2012, and the results of their operations and their cash flows for each of the years in the three-year period ended March 31, 2013, in conformity with U.S. generally accepted accounting principles. Also, in our opinion, the financial statement schedule referred to above, when considered in relation to the basic consolidated financial statements taken as a whole, presents fairly, in all material respects, the information set forth therein. Furthermore, in our opinion, the Company maintained, in all material respects, effective internal control over financial reporting as of March 31, 2013,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16"/>
                <w:szCs w:val="16"/>
                <w:color w:val="auto"/>
              </w:rPr>
            </w:pPr>
          </w:p>
        </w:tc>
        <w:tc>
          <w:tcPr>
            <w:tcW w:w="1340" w:type="dxa"/>
            <w:vAlign w:val="bottom"/>
          </w:tcPr>
          <w:p>
            <w:pPr>
              <w:jc w:val="right"/>
              <w:ind w:right="328"/>
              <w:spacing w:after="0"/>
              <w:rPr>
                <w:sz w:val="20"/>
                <w:szCs w:val="20"/>
                <w:color w:val="auto"/>
              </w:rPr>
            </w:pPr>
            <w:r>
              <w:rPr>
                <w:rFonts w:ascii="Arial" w:cs="Arial" w:eastAsia="Arial" w:hAnsi="Arial"/>
                <w:sz w:val="14"/>
                <w:szCs w:val="14"/>
                <w:b w:val="1"/>
                <w:bCs w:val="1"/>
                <w:color w:val="auto"/>
              </w:rPr>
              <w:t>April 1, 2012</w:t>
            </w:r>
          </w:p>
        </w:tc>
        <w:tc>
          <w:tcPr>
            <w:tcW w:w="0" w:type="dxa"/>
            <w:vAlign w:val="bottom"/>
          </w:tcPr>
          <w:p>
            <w:pPr>
              <w:spacing w:after="0"/>
              <w:rPr>
                <w:sz w:val="1"/>
                <w:szCs w:val="1"/>
                <w:color w:val="auto"/>
              </w:rPr>
            </w:pPr>
          </w:p>
        </w:tc>
      </w:tr>
      <w:tr>
        <w:trPr>
          <w:trHeight w:val="177"/>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28,715</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28,566</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Investments available-for-sale</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15,625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12,210</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 less allowance for doubtful accounts: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700"/>
              <w:spacing w:after="0"/>
              <w:rPr>
                <w:sz w:val="20"/>
                <w:szCs w:val="20"/>
                <w:color w:val="auto"/>
              </w:rPr>
            </w:pPr>
            <w:r>
              <w:rPr>
                <w:rFonts w:ascii="Arial" w:cs="Arial" w:eastAsia="Arial" w:hAnsi="Arial"/>
                <w:sz w:val="14"/>
                <w:szCs w:val="14"/>
                <w:color w:val="auto"/>
              </w:rPr>
              <w:t>$469 for 2013 and $460 for 2012</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35,920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38,069</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28,208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27,633</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200" w:type="dxa"/>
            <w:vAlign w:val="bottom"/>
          </w:tcPr>
          <w:p>
            <w:pPr>
              <w:spacing w:after="0"/>
              <w:rPr>
                <w:sz w:val="16"/>
                <w:szCs w:val="16"/>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114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4"/>
                <w:szCs w:val="1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111,081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110,855</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Land</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8,038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7,931</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Buildings and improvements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68,268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55,066</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Machinery and equipment</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50,389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39,432</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Transportation equipment</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16,156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14,842</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10,204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10,027</w:t>
            </w:r>
          </w:p>
        </w:tc>
        <w:tc>
          <w:tcPr>
            <w:tcW w:w="0" w:type="dxa"/>
            <w:vAlign w:val="bottom"/>
          </w:tcPr>
          <w:p>
            <w:pPr>
              <w:spacing w:after="0"/>
              <w:rPr>
                <w:sz w:val="1"/>
                <w:szCs w:val="1"/>
                <w:color w:val="auto"/>
              </w:rPr>
            </w:pPr>
          </w:p>
        </w:tc>
      </w:tr>
      <w:tr>
        <w:trPr>
          <w:trHeight w:val="74"/>
        </w:trPr>
        <w:tc>
          <w:tcPr>
            <w:tcW w:w="66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153,055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127,298</w:t>
            </w:r>
          </w:p>
        </w:tc>
        <w:tc>
          <w:tcPr>
            <w:tcW w:w="0" w:type="dxa"/>
            <w:vAlign w:val="bottom"/>
          </w:tcPr>
          <w:p>
            <w:pPr>
              <w:spacing w:after="0"/>
              <w:rPr>
                <w:sz w:val="1"/>
                <w:szCs w:val="1"/>
                <w:color w:val="auto"/>
              </w:rPr>
            </w:pPr>
          </w:p>
        </w:tc>
      </w:tr>
      <w:tr>
        <w:trPr>
          <w:trHeight w:val="191"/>
        </w:trPr>
        <w:tc>
          <w:tcPr>
            <w:tcW w:w="6600" w:type="dxa"/>
            <w:vAlign w:val="bottom"/>
          </w:tcPr>
          <w:p>
            <w:pPr>
              <w:ind w:left="700"/>
              <w:spacing w:after="0"/>
              <w:rPr>
                <w:sz w:val="20"/>
                <w:szCs w:val="20"/>
                <w:color w:val="auto"/>
              </w:rPr>
            </w:pPr>
            <w:r>
              <w:rPr>
                <w:rFonts w:ascii="Arial" w:cs="Arial" w:eastAsia="Arial" w:hAnsi="Arial"/>
                <w:sz w:val="14"/>
                <w:szCs w:val="14"/>
                <w:color w:val="auto"/>
              </w:rPr>
              <w:t>Less accumulated depreciation and amortization</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62,081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54,033</w:t>
            </w:r>
          </w:p>
        </w:tc>
        <w:tc>
          <w:tcPr>
            <w:tcW w:w="0" w:type="dxa"/>
            <w:vAlign w:val="bottom"/>
          </w:tcPr>
          <w:p>
            <w:pPr>
              <w:spacing w:after="0"/>
              <w:rPr>
                <w:sz w:val="1"/>
                <w:szCs w:val="1"/>
                <w:color w:val="auto"/>
              </w:rPr>
            </w:pPr>
          </w:p>
        </w:tc>
      </w:tr>
      <w:tr>
        <w:trPr>
          <w:trHeight w:val="74"/>
        </w:trPr>
        <w:tc>
          <w:tcPr>
            <w:tcW w:w="66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property, plant, and equipment</w:t>
            </w: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90,974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73,265</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6,495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6,495</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Intangible assets — less accumulated amortization:</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$2,398 for 2013 and $1,790 for 2012</w:t>
            </w:r>
          </w:p>
        </w:tc>
        <w:tc>
          <w:tcPr>
            <w:tcW w:w="2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8,186</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Long-term investments</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5,597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5,139</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1140"/>
              <w:spacing w:after="0"/>
              <w:rPr>
                <w:sz w:val="20"/>
                <w:szCs w:val="20"/>
                <w:color w:val="auto"/>
              </w:rPr>
            </w:pPr>
            <w:r>
              <w:rPr>
                <w:rFonts w:ascii="Arial" w:cs="Arial" w:eastAsia="Arial" w:hAnsi="Arial"/>
                <w:sz w:val="14"/>
                <w:szCs w:val="14"/>
                <w:color w:val="auto"/>
              </w:rPr>
              <w:t>Total other assets</w:t>
            </w:r>
          </w:p>
        </w:tc>
        <w:tc>
          <w:tcPr>
            <w:tcW w:w="200" w:type="dxa"/>
            <w:vAlign w:val="bottom"/>
          </w:tcPr>
          <w:p>
            <w:pPr>
              <w:spacing w:after="0"/>
              <w:rPr>
                <w:sz w:val="14"/>
                <w:szCs w:val="1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20,093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19,961</w:t>
            </w:r>
          </w:p>
        </w:tc>
        <w:tc>
          <w:tcPr>
            <w:tcW w:w="0" w:type="dxa"/>
            <w:vAlign w:val="bottom"/>
          </w:tcPr>
          <w:p>
            <w:pPr>
              <w:spacing w:after="0"/>
              <w:rPr>
                <w:sz w:val="1"/>
                <w:szCs w:val="1"/>
                <w:color w:val="auto"/>
              </w:rPr>
            </w:pPr>
          </w:p>
        </w:tc>
      </w:tr>
      <w:tr>
        <w:trPr>
          <w:trHeight w:val="74"/>
        </w:trPr>
        <w:tc>
          <w:tcPr>
            <w:tcW w:w="66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222,148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204,081</w:t>
            </w:r>
          </w:p>
        </w:tc>
        <w:tc>
          <w:tcPr>
            <w:tcW w:w="0" w:type="dxa"/>
            <w:vAlign w:val="bottom"/>
          </w:tcPr>
          <w:p>
            <w:pPr>
              <w:spacing w:after="0"/>
              <w:rPr>
                <w:sz w:val="1"/>
                <w:szCs w:val="1"/>
                <w:color w:val="auto"/>
              </w:rPr>
            </w:pPr>
          </w:p>
        </w:tc>
      </w:tr>
      <w:tr>
        <w:trPr>
          <w:trHeight w:val="60"/>
        </w:trPr>
        <w:tc>
          <w:tcPr>
            <w:tcW w:w="66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Accounts payable — trade</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18,516</w:t>
            </w:r>
          </w:p>
        </w:tc>
        <w:tc>
          <w:tcPr>
            <w:tcW w:w="120" w:type="dxa"/>
            <w:vAlign w:val="bottom"/>
          </w:tcPr>
          <w:p>
            <w:pPr>
              <w:spacing w:after="0"/>
              <w:rPr>
                <w:sz w:val="16"/>
                <w:szCs w:val="16"/>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18,623</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Dividends payable</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5,391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8,481</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3,170</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Income tax payable</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1,446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2,678</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1140"/>
              <w:spacing w:after="0"/>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4"/>
                <w:szCs w:val="1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35,125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36,289</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WITHDRAWAL LIABILITY</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7,136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1,653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10,422</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114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14"/>
                <w:szCs w:val="14"/>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51,976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47,474</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ind w:left="380"/>
              <w:spacing w:after="0" w:line="157" w:lineRule="exact"/>
              <w:rPr>
                <w:sz w:val="20"/>
                <w:szCs w:val="20"/>
                <w:color w:val="auto"/>
              </w:rPr>
            </w:pPr>
            <w:r>
              <w:rPr>
                <w:rFonts w:ascii="Arial" w:cs="Arial" w:eastAsia="Arial" w:hAnsi="Arial"/>
                <w:sz w:val="14"/>
                <w:szCs w:val="14"/>
                <w:color w:val="auto"/>
                <w:w w:val="98"/>
              </w:rPr>
              <w:t>Common stock; authorized: 30,000,000 shares of $0.05 par value; 10,495,427 and 10,430,874 shares</w:t>
            </w: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issued and outstanding for 2013 and 2012, respectively</w:t>
            </w: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w:t>
            </w: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6"/>
                <w:szCs w:val="16"/>
                <w:color w:val="auto"/>
              </w:rPr>
            </w:pP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48,779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45,169</w:t>
            </w:r>
          </w:p>
        </w:tc>
        <w:tc>
          <w:tcPr>
            <w:tcW w:w="0" w:type="dxa"/>
            <w:vAlign w:val="bottom"/>
          </w:tcPr>
          <w:p>
            <w:pPr>
              <w:spacing w:after="0"/>
              <w:rPr>
                <w:sz w:val="1"/>
                <w:szCs w:val="1"/>
                <w:color w:val="auto"/>
              </w:rPr>
            </w:pPr>
          </w:p>
        </w:tc>
      </w:tr>
      <w:tr>
        <w:trPr>
          <w:trHeight w:val="74"/>
        </w:trPr>
        <w:tc>
          <w:tcPr>
            <w:tcW w:w="6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120,974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111,039</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600" w:type="dxa"/>
            <w:vAlign w:val="bottom"/>
          </w:tcPr>
          <w:p>
            <w:pPr>
              <w:ind w:left="3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74"/>
        </w:trPr>
        <w:tc>
          <w:tcPr>
            <w:tcW w:w="66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6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shareholders’ equity</w:t>
            </w: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170,172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156,607</w:t>
            </w:r>
          </w:p>
        </w:tc>
        <w:tc>
          <w:tcPr>
            <w:tcW w:w="0" w:type="dxa"/>
            <w:vAlign w:val="bottom"/>
          </w:tcPr>
          <w:p>
            <w:pPr>
              <w:spacing w:after="0"/>
              <w:rPr>
                <w:sz w:val="1"/>
                <w:szCs w:val="1"/>
                <w:color w:val="auto"/>
              </w:rPr>
            </w:pPr>
          </w:p>
        </w:tc>
      </w:tr>
      <w:tr>
        <w:trPr>
          <w:trHeight w:val="80"/>
        </w:trPr>
        <w:tc>
          <w:tcPr>
            <w:tcW w:w="66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600" w:type="dxa"/>
            <w:vAlign w:val="bottom"/>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vMerge w:val="restart"/>
          </w:tcPr>
          <w:p>
            <w:pPr>
              <w:jc w:val="right"/>
              <w:ind w:right="28"/>
              <w:spacing w:after="0"/>
              <w:rPr>
                <w:sz w:val="20"/>
                <w:szCs w:val="20"/>
                <w:color w:val="auto"/>
              </w:rPr>
            </w:pPr>
            <w:r>
              <w:rPr>
                <w:rFonts w:ascii="Arial" w:cs="Arial" w:eastAsia="Arial" w:hAnsi="Arial"/>
                <w:sz w:val="14"/>
                <w:szCs w:val="14"/>
                <w:color w:val="auto"/>
              </w:rPr>
              <w:t>222,148</w:t>
            </w:r>
          </w:p>
        </w:tc>
        <w:tc>
          <w:tcPr>
            <w:tcW w:w="120" w:type="dxa"/>
            <w:vAlign w:val="bottom"/>
          </w:tcPr>
          <w:p>
            <w:pPr>
              <w:spacing w:after="0"/>
              <w:rPr>
                <w:sz w:val="14"/>
                <w:szCs w:val="14"/>
                <w:color w:val="auto"/>
              </w:rPr>
            </w:pPr>
          </w:p>
        </w:tc>
        <w:tc>
          <w:tcPr>
            <w:tcW w:w="220" w:type="dxa"/>
            <w:vAlign w:val="bottom"/>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204,081</w:t>
            </w:r>
          </w:p>
        </w:tc>
        <w:tc>
          <w:tcPr>
            <w:tcW w:w="0" w:type="dxa"/>
            <w:vAlign w:val="bottom"/>
          </w:tcPr>
          <w:p>
            <w:pPr>
              <w:spacing w:after="0"/>
              <w:rPr>
                <w:sz w:val="1"/>
                <w:szCs w:val="1"/>
                <w:color w:val="auto"/>
              </w:rPr>
            </w:pPr>
          </w:p>
        </w:tc>
      </w:tr>
      <w:tr>
        <w:trPr>
          <w:trHeight w:val="65"/>
        </w:trPr>
        <w:tc>
          <w:tcPr>
            <w:tcW w:w="660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640"/>
          </w:cols>
          <w:pgMar w:left="240" w:top="125" w:right="1019" w:bottom="663" w:gutter="0" w:footer="0" w:header="0"/>
        </w:sect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640"/>
          </w:cols>
          <w:pgMar w:left="240" w:top="125" w:right="1019" w:bottom="663"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April 1, 2012</w:t>
            </w:r>
          </w:p>
        </w:tc>
        <w:tc>
          <w:tcPr>
            <w:tcW w:w="280" w:type="dxa"/>
            <w:vAlign w:val="bottom"/>
          </w:tcPr>
          <w:p>
            <w:pPr>
              <w:spacing w:after="0"/>
              <w:rPr>
                <w:sz w:val="22"/>
                <w:szCs w:val="22"/>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3, 2011</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297,641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(277,966)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(235,739)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56,936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65,868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61,902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35,109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31,962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35,254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32,295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(11,981)</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20,314</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10,464,820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10,339,391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10,260,135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10,541,142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10,408,573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10,352,633</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1"/>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HAWKINS, INC.</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March 31, 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April 1, 2012</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3, 2011</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5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17,126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20,314</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680"/>
              <w:spacing w:after="0"/>
              <w:rPr>
                <w:sz w:val="20"/>
                <w:szCs w:val="20"/>
                <w:color w:val="auto"/>
              </w:rPr>
            </w:pPr>
            <w:r>
              <w:rPr>
                <w:rFonts w:ascii="Arial" w:cs="Arial" w:eastAsia="Arial" w:hAnsi="Arial"/>
                <w:sz w:val="18"/>
                <w:szCs w:val="18"/>
                <w:color w:val="auto"/>
              </w:rPr>
              <w:t>Unrealized gain (loss) on available-for-sale investments</w:t>
            </w:r>
          </w:p>
        </w:tc>
        <w:tc>
          <w:tcPr>
            <w:tcW w:w="1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Unrealized gain (loss) on post-retirement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7"/>
        </w:trPr>
        <w:tc>
          <w:tcPr>
            <w:tcW w:w="6640" w:type="dxa"/>
            <w:vAlign w:val="bottom"/>
            <w:gridSpan w:val="2"/>
          </w:tcPr>
          <w:p>
            <w:pPr>
              <w:ind w:left="68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20,132</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05" w:lineRule="exact"/>
        <w:rPr>
          <w:sz w:val="20"/>
          <w:szCs w:val="20"/>
          <w:color w:val="auto"/>
        </w:rPr>
      </w:pPr>
    </w:p>
    <w:p>
      <w:pPr>
        <w:jc w:val="center"/>
        <w:ind w:left="356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23495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660"/>
        <w:spacing w:after="0"/>
        <w:tabs>
          <w:tab w:leader="none" w:pos="49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0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720"/>
            <w:col w:w="51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March 28, 2010</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10,253,458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121,498</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62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58,653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220" w:type="dxa"/>
            <w:vAlign w:val="bottom"/>
          </w:tcPr>
          <w:p>
            <w:pPr>
              <w:ind w:left="1040"/>
              <w:spacing w:after="0"/>
              <w:rPr>
                <w:sz w:val="20"/>
                <w:szCs w:val="20"/>
                <w:color w:val="auto"/>
              </w:rPr>
            </w:pPr>
            <w:r>
              <w:rPr>
                <w:rFonts w:ascii="Arial" w:cs="Arial" w:eastAsia="Arial" w:hAnsi="Arial"/>
                <w:sz w:val="18"/>
                <w:szCs w:val="18"/>
                <w:color w:val="auto"/>
              </w:rPr>
              <w:t>Shares surrendered for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1040"/>
              <w:spacing w:after="0"/>
              <w:rPr>
                <w:sz w:val="20"/>
                <w:szCs w:val="20"/>
                <w:color w:val="auto"/>
              </w:rPr>
            </w:pPr>
            <w:r>
              <w:rPr>
                <w:rFonts w:ascii="Arial" w:cs="Arial" w:eastAsia="Arial" w:hAnsi="Arial"/>
                <w:sz w:val="18"/>
                <w:szCs w:val="18"/>
                <w:color w:val="auto"/>
              </w:rPr>
              <w:t>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Other comprehensive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income, net of 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20,314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20,314</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 April 3, 2011</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10,307,177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136,443</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72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220" w:type="dxa"/>
            <w:vAlign w:val="bottom"/>
          </w:tcPr>
          <w:p>
            <w:pPr>
              <w:ind w:left="1040"/>
              <w:spacing w:after="0"/>
              <w:rPr>
                <w:sz w:val="20"/>
                <w:szCs w:val="20"/>
                <w:color w:val="auto"/>
              </w:rPr>
            </w:pPr>
            <w:r>
              <w:rPr>
                <w:rFonts w:ascii="Arial" w:cs="Arial" w:eastAsia="Arial" w:hAnsi="Arial"/>
                <w:sz w:val="18"/>
                <w:szCs w:val="18"/>
                <w:color w:val="auto"/>
              </w:rPr>
              <w:t>Shares surrendered for</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1040"/>
              <w:spacing w:after="0"/>
              <w:rPr>
                <w:sz w:val="20"/>
                <w:szCs w:val="20"/>
                <w:color w:val="auto"/>
              </w:rPr>
            </w:pPr>
            <w:r>
              <w:rPr>
                <w:rFonts w:ascii="Arial" w:cs="Arial" w:eastAsia="Arial" w:hAnsi="Arial"/>
                <w:sz w:val="18"/>
                <w:szCs w:val="18"/>
                <w:color w:val="auto"/>
              </w:rPr>
              <w:t>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23,682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22,685</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 April 1, 2012</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10,430,874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156,607</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62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27,999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620"/>
              <w:spacing w:after="0"/>
              <w:rPr>
                <w:sz w:val="20"/>
                <w:szCs w:val="20"/>
                <w:color w:val="auto"/>
              </w:rPr>
            </w:pPr>
            <w:r>
              <w:rPr>
                <w:rFonts w:ascii="Arial" w:cs="Arial" w:eastAsia="Arial" w:hAnsi="Arial"/>
                <w:sz w:val="18"/>
                <w:szCs w:val="18"/>
                <w:color w:val="auto"/>
              </w:rPr>
              <w:t>tax</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17,126</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 March 31, 2013</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10,495,427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120,974</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170,172</w:t>
            </w:r>
          </w:p>
        </w:tc>
      </w:tr>
      <w:tr>
        <w:trPr>
          <w:trHeight w:val="27"/>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April 1, 2012</w:t>
            </w:r>
          </w:p>
        </w:tc>
        <w:tc>
          <w:tcPr>
            <w:tcW w:w="240" w:type="dxa"/>
            <w:vAlign w:val="bottom"/>
          </w:tcPr>
          <w:p>
            <w:pPr>
              <w:spacing w:after="0"/>
              <w:rPr>
                <w:sz w:val="22"/>
                <w:szCs w:val="22"/>
                <w:color w:val="auto"/>
              </w:rPr>
            </w:pPr>
          </w:p>
        </w:tc>
        <w:tc>
          <w:tcPr>
            <w:tcW w:w="1280" w:type="dxa"/>
            <w:vAlign w:val="bottom"/>
          </w:tcPr>
          <w:p>
            <w:pPr>
              <w:jc w:val="right"/>
              <w:ind w:right="271"/>
              <w:spacing w:after="0"/>
              <w:rPr>
                <w:sz w:val="20"/>
                <w:szCs w:val="20"/>
                <w:color w:val="auto"/>
              </w:rPr>
            </w:pPr>
            <w:r>
              <w:rPr>
                <w:rFonts w:ascii="Arial" w:cs="Arial" w:eastAsia="Arial" w:hAnsi="Arial"/>
                <w:sz w:val="14"/>
                <w:szCs w:val="14"/>
                <w:b w:val="1"/>
                <w:bCs w:val="1"/>
                <w:color w:val="auto"/>
              </w:rPr>
              <w:t>April 3, 2011</w:t>
            </w:r>
          </w:p>
        </w:tc>
      </w:tr>
      <w:tr>
        <w:trPr>
          <w:trHeight w:val="25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20,314</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7,148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Pension withdrawal</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36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1,952</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Loss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360" w:type="dxa"/>
            <w:vAlign w:val="bottom"/>
          </w:tcPr>
          <w:p>
            <w:pPr>
              <w:ind w:left="700"/>
              <w:spacing w:after="0"/>
              <w:rPr>
                <w:sz w:val="20"/>
                <w:szCs w:val="20"/>
                <w:color w:val="auto"/>
              </w:rPr>
            </w:pPr>
            <w:r>
              <w:rPr>
                <w:rFonts w:ascii="Arial" w:cs="Arial" w:eastAsia="Arial" w:hAnsi="Arial"/>
                <w:sz w:val="18"/>
                <w:szCs w:val="18"/>
                <w:color w:val="auto"/>
                <w:w w:val="95"/>
              </w:rPr>
              <w:t>Changes in operating accounts (using) providing cash, net of</w:t>
            </w: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360" w:type="dxa"/>
            <w:vAlign w:val="bottom"/>
          </w:tcPr>
          <w:p>
            <w:pPr>
              <w:ind w:left="860"/>
              <w:spacing w:after="0"/>
              <w:rPr>
                <w:sz w:val="20"/>
                <w:szCs w:val="20"/>
                <w:color w:val="auto"/>
              </w:rPr>
            </w:pPr>
            <w:r>
              <w:rPr>
                <w:rFonts w:ascii="Arial" w:cs="Arial" w:eastAsia="Arial" w:hAnsi="Arial"/>
                <w:sz w:val="18"/>
                <w:szCs w:val="18"/>
                <w:color w:val="auto"/>
              </w:rPr>
              <w:t>effects of acquisition:</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Trade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(5,929)</w:t>
            </w: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5,356</w:t>
            </w: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(14,210)</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Proceeds from property disposals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r>
      <w:tr>
        <w:trPr>
          <w:trHeight w:val="237"/>
        </w:trPr>
        <w:tc>
          <w:tcPr>
            <w:tcW w:w="5360" w:type="dxa"/>
            <w:vAlign w:val="bottom"/>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(21,443)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dividends paid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(7,005)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Shares surrendered for payroll taxes</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3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(6,922)</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Beginning of period</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28,566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18,940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18,772</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28,566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18,940</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82"/>
        </w:trPr>
        <w:tc>
          <w:tcPr>
            <w:tcW w:w="5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SUPPLEMENTAL DISCLOSURES OF CASH FLOW</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37"/>
        </w:trPr>
        <w:tc>
          <w:tcPr>
            <w:tcW w:w="5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INFORMATION-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Cash paid during the year for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10,788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9,771</w:t>
            </w:r>
          </w:p>
        </w:tc>
      </w:tr>
      <w:tr>
        <w:trPr>
          <w:trHeight w:val="67"/>
        </w:trPr>
        <w:tc>
          <w:tcPr>
            <w:tcW w:w="53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53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Noncash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Acquisition purchase price in 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1,709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3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Capital expenditures in 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7"/>
        </w:trPr>
        <w:tc>
          <w:tcPr>
            <w:tcW w:w="5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780"/>
          </w:cols>
          <w:pgMar w:left="240" w:top="125" w:right="879" w:bottom="1440" w:gutter="0" w:footer="0" w:header="0"/>
        </w:sectPr>
      </w:pP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780"/>
          </w:cols>
          <w:pgMar w:left="240" w:top="125" w:right="87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6"/>
          <w:szCs w:val="16"/>
          <w:b w:val="1"/>
          <w:bCs w:val="1"/>
          <w:i w:val="1"/>
          <w:iCs w:val="1"/>
          <w:color w:val="auto"/>
        </w:rPr>
        <w:t xml:space="preserve">Nature of Business - </w:t>
      </w:r>
      <w:r>
        <w:rPr>
          <w:rFonts w:ascii="Arial" w:cs="Arial" w:eastAsia="Arial" w:hAnsi="Arial"/>
          <w:sz w:val="16"/>
          <w:szCs w:val="16"/>
          <w:color w:val="auto"/>
        </w:rPr>
        <w:t>We have two reportable segments: Industrial and Water Treatment. The Industrial Group operates our Industrial segment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specializes in providing industrial chemicals, products and services to industries such as agriculture, energy, electronics, food, chemical processing, pulp and paper, pharmaceutical, medical device and plating. The group also manufactures and sells certain food-grade products, including our patented Cheese Phos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liquid phosphate,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78"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b w:val="1"/>
          <w:bCs w:val="1"/>
          <w:i w:val="1"/>
          <w:iCs w:val="1"/>
          <w:color w:val="auto"/>
        </w:rPr>
        <w:t xml:space="preserve">Fiscal Year - </w:t>
      </w:r>
      <w:r>
        <w:rPr>
          <w:rFonts w:ascii="Arial" w:cs="Arial" w:eastAsia="Arial" w:hAnsi="Arial"/>
          <w:sz w:val="18"/>
          <w:szCs w:val="18"/>
          <w:color w:val="auto"/>
        </w:rPr>
        <w:t>Our fiscal year is a 52/53-week year ending on the Sunday closest to March 31. Our fiscal years ended March 31, 2013 (“fiscal 2013”)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1, 2012 (“fiscal 2012”) were 52-week years. The fiscal year ended April 3, 2011 (“fiscal 2011”) was a 53-week year. The fiscal year ending on March 30, 2014 (“fiscal 2014”) will be a 52-week year.</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include marketable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81"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b w:val="1"/>
          <w:bCs w:val="1"/>
          <w:i w:val="1"/>
          <w:iCs w:val="1"/>
          <w:color w:val="auto"/>
        </w:rPr>
        <w:t xml:space="preserve">Cash Equivalents - </w:t>
      </w:r>
      <w:r>
        <w:rPr>
          <w:rFonts w:ascii="Arial" w:cs="Arial" w:eastAsia="Arial" w:hAnsi="Arial"/>
          <w:sz w:val="16"/>
          <w:szCs w:val="16"/>
          <w:color w:val="auto"/>
        </w:rPr>
        <w:t>Cash equivalents include all liquid debt instruments (primarily cash funds, money market accounts and certificates of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purchased with an original maturity of three months or less. The balances maintained at financial institutions may, at times, exceed federally insured limits.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b w:val="1"/>
          <w:bCs w:val="1"/>
          <w:i w:val="1"/>
          <w:iCs w:val="1"/>
          <w:color w:val="auto"/>
        </w:rPr>
        <w:t xml:space="preserve">Investments - </w:t>
      </w:r>
      <w:r>
        <w:rPr>
          <w:rFonts w:ascii="Arial" w:cs="Arial" w:eastAsia="Arial" w:hAnsi="Arial"/>
          <w:sz w:val="18"/>
          <w:szCs w:val="18"/>
          <w:color w:val="auto"/>
        </w:rPr>
        <w:t>Available-for-sale securities consist of certificates of deposit and are valued at current market value, with the resulting unrealized gains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87"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b w:val="1"/>
          <w:bCs w:val="1"/>
          <w:i w:val="1"/>
          <w:iCs w:val="1"/>
          <w:color w:val="auto"/>
        </w:rPr>
        <w:t xml:space="preserve">Trade Receivables and Concentrations of Credit Risk - </w:t>
      </w:r>
      <w:r>
        <w:rPr>
          <w:rFonts w:ascii="Arial" w:cs="Arial" w:eastAsia="Arial" w:hAnsi="Arial"/>
          <w:sz w:val="16"/>
          <w:szCs w:val="16"/>
          <w:color w:val="auto"/>
        </w:rPr>
        <w:t>Financial instruments, which potentially subject us to a concentration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certificates of deposit and a money market account at two separate financial institutions where the cash balances may exceed federally insured limits. The institutions are two of the largest commercial banking institutions in the country and both have maintained a AA credit rating.</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using the last-in, first-out (“LIFO”) method. The amount of inventory valued using the first-in, first-out (“FIFO”) method represents approximately 14% of the total FIFO inventory balance at March 31, 2013.</w:t>
      </w:r>
    </w:p>
    <w:p>
      <w:pPr>
        <w:spacing w:after="0" w:line="18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lives are: 10 to 40 years for buildings and improvements; 3 to 20 years for machinery and equipment; 3 to 10 years for transportation equipment; and 3 to 10 years for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material long-lived assets were determined to be impaired during fiscal 2013, 2012 or 2011.</w:t>
      </w:r>
    </w:p>
    <w:p>
      <w:pPr>
        <w:spacing w:after="0" w:line="165"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b w:val="1"/>
          <w:bCs w:val="1"/>
          <w:i w:val="1"/>
          <w:iCs w:val="1"/>
          <w:color w:val="auto"/>
        </w:rPr>
        <w:t xml:space="preserve">Goodwill and Identifiable Intangible Assets - </w:t>
      </w:r>
      <w:r>
        <w:rPr>
          <w:rFonts w:ascii="Arial" w:cs="Arial" w:eastAsia="Arial" w:hAnsi="Arial"/>
          <w:sz w:val="16"/>
          <w:szCs w:val="16"/>
          <w:color w:val="auto"/>
        </w:rPr>
        <w:t>Goodwill represents the excess of the cost of acquired businesses over the fair value of identifiable 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assets and identifiable intangible assets purchased. Goodwill is tested at least annually for impairment, and is tested for impairment more frequently if events or changes in circumstances indicate that the asset might be impaired. The impairment test is performed using a two-step process. In the first step, the fair value of the reporting unit is compared with the carrying amount of the reporting unit, including goodwill. If the estimated fair value is less than the carrying amount of the reporting unit, an indication that goodwill impairment exists and a second step must be completed in order to determine the amount of the goodwill impairment, if any, which should be recorded. In the second step, an impairment loss would be recognized for any excess of the carrying amount of the reporting unit's goodwill over the implied fair value of that goodwill. The implied fair value of goodwill is determined by allocating the fair value of the reporting unit in a manner similar to a purchase price allocation. The fair value of the reporting unit is determined using a discounted cash flow analysis. Projecting discounted future cash flows requires us to make significant estimates regarding future revenues and expenses, projected capital expenditures, changes in working capital and the appropriate discount rate. The projections also take into account several factors including current and estimated economic trends and outlook, costs of raw materials, consideration of our market capitalization in comparison to the estimated fair values of our reporting units determined using discounted cash flow analyses and other factors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Our primary identifiable intangible assets include customer lists, trade secrets, non-compete agreements, trademarks, and trade names acquired in previous business acquisitions. Identifiable intangibles with finite lives are amortized and those identifiable intangibles with indefinite lives are not amortized. The values assigned to the intangible assets with finite lives are being amortized on average over approximately 14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comparison of the fair value of the intangible asset with its carrying amount.</w:t>
      </w:r>
    </w:p>
    <w:p>
      <w:pPr>
        <w:spacing w:after="0" w:line="178"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completed step one of our annual goodwill impairment evaluation, along with an impairment test of infinite-life intangible assets, during the fourth quarter of fiscal 2013 and determined that our reporting units' fair value substantially exceeded their carrying value. Accordingly, step two of the impairment analysis was not required. Impairment tests were also completed in the fourth quarters of fiscal 2012 and 2011, which resulted in no impairment charges for either of these fiscal years.</w:t>
      </w:r>
    </w:p>
    <w:p>
      <w:pPr>
        <w:spacing w:after="0" w:line="187"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b w:val="1"/>
          <w:bCs w:val="1"/>
          <w:i w:val="1"/>
          <w:iCs w:val="1"/>
          <w:color w:val="auto"/>
        </w:rPr>
        <w:t xml:space="preserve">Income Taxes - </w:t>
      </w:r>
      <w:r>
        <w:rPr>
          <w:rFonts w:ascii="Arial" w:cs="Arial" w:eastAsia="Arial" w:hAnsi="Arial"/>
          <w:sz w:val="16"/>
          <w:szCs w:val="16"/>
          <w:color w:val="auto"/>
        </w:rPr>
        <w:t>In the preparation of our consolidated financial statements, the calculation of income taxes by management is based upon the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balance sheet. These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5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is recognized in expense over the requisite service period (generally the vesting period). The estimated fair value of each option is calculated using the Black-Scholes option-pricing model. Non-vested share awards are recorded as compensation expense over the requisite service periods based on the market value on the date of grant.</w:t>
      </w:r>
    </w:p>
    <w:p>
      <w:pPr>
        <w:spacing w:after="0" w:line="18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2013</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April 1, 2012</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3, 2011</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10,464,820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10,339,391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10,260,135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76,322</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69,182</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92,498</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10,541,142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10,408,573</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10,352,633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There were no shares or stock options excluded from the calculation of weighted average common shares for diluted EPS for fiscal 2013, 2012 or 2011.</w:t>
      </w:r>
    </w:p>
    <w:p>
      <w:pPr>
        <w:spacing w:after="0" w:line="24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do not have any freestanding or embedded derivatives and it is our practice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Adopted Accounting Pronouncements -</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i w:val="1"/>
          <w:iCs w:val="1"/>
          <w:color w:val="auto"/>
        </w:rPr>
        <w:t xml:space="preserve">Comprehensive Income - </w:t>
      </w:r>
      <w:r>
        <w:rPr>
          <w:rFonts w:ascii="Arial" w:cs="Arial" w:eastAsia="Arial" w:hAnsi="Arial"/>
          <w:sz w:val="17"/>
          <w:szCs w:val="17"/>
          <w:color w:val="auto"/>
        </w:rPr>
        <w:t>In June 2011, the FASB amended its accounting guidance to increase the prominence of items reported in other comprehensive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(OCI). The guidance requires the presentation of the components of net income, the components of OCI and total comprehensive income either in a single continuous statement of comprehensive income or in two separate but consecutive statements. The guidance was effective for us beginning with our fiscal 2013 financial statements. We have elected presentation of two separate but consecutive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i w:val="1"/>
          <w:iCs w:val="1"/>
          <w:color w:val="auto"/>
        </w:rPr>
        <w:t xml:space="preserve">Intangibles - Goodwill and Other - </w:t>
      </w:r>
      <w:r>
        <w:rPr>
          <w:rFonts w:ascii="Arial" w:cs="Arial" w:eastAsia="Arial" w:hAnsi="Arial"/>
          <w:sz w:val="16"/>
          <w:szCs w:val="16"/>
          <w:color w:val="auto"/>
        </w:rPr>
        <w:t>In September 2011, the FASB issued amended guidance on goodwill impairment testing to allow companies the</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first assess qualitative factors to determine whether it is necessary to perform the two-step quantitative goodwill impairment test. If, as a result of the qualitative assessment, an entity determines that it is more-likely-than-not that the fair value of a reporting unit is less than its carrying amount, the quantitative impairment test is required. Otherwise, no further testing is required. The amendment was effective for us beginning in fiscal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fiscal 2011, we acquired substantially all of the assets of Vertex Chemical Corporation, Novel Wash Co. Inc. and R.H.A. Corporation, (collectively, “Vertex”). We paid cash of $25.5 million at closing and assumed certain liabilities of Vertex. The purchase price was revised to $27.2 million to reflect a final working capital adjustment of $1.7 million, which was paid in early fiscal 2012. In connection with the acquisition we incurred acquisition related costs during fiscal 2011 of $0.7 million, which were recorded as selling, general and administrative expenses in the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121" w:lineRule="exact"/>
        <w:rPr>
          <w:sz w:val="20"/>
          <w:szCs w:val="20"/>
          <w:color w:val="auto"/>
        </w:rPr>
      </w:pPr>
    </w:p>
    <w:p>
      <w:pPr>
        <w:ind w:right="80" w:firstLine="243"/>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as of March 31, 2013 and April 1, 2012, and indicates the fair value hierarchy of the valuation techniques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16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2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8"/>
                <w:szCs w:val="8"/>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8"/>
                <w:szCs w:val="8"/>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140" w:type="dxa"/>
            <w:vAlign w:val="bottom"/>
            <w:gridSpan w:val="3"/>
            <w:vMerge w:val="continue"/>
          </w:tcPr>
          <w:p>
            <w:pPr>
              <w:spacing w:after="0"/>
              <w:rPr>
                <w:sz w:val="16"/>
                <w:szCs w:val="16"/>
                <w:color w:val="auto"/>
              </w:rPr>
            </w:pPr>
          </w:p>
        </w:tc>
        <w:tc>
          <w:tcPr>
            <w:tcW w:w="152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860" w:type="dxa"/>
            <w:vAlign w:val="bottom"/>
          </w:tcPr>
          <w:p>
            <w:pPr>
              <w:jc w:val="right"/>
              <w:ind w:right="66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28,715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21,222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Money market securities</w:t>
            </w:r>
          </w:p>
        </w:tc>
        <w:tc>
          <w:tcPr>
            <w:tcW w:w="8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4"/>
        </w:trPr>
        <w:tc>
          <w:tcPr>
            <w:tcW w:w="5140" w:type="dxa"/>
            <w:vAlign w:val="bottom"/>
            <w:gridSpan w:val="3"/>
          </w:tcPr>
          <w:p>
            <w:pPr>
              <w:ind w:left="40"/>
              <w:spacing w:after="0"/>
              <w:rPr>
                <w:sz w:val="20"/>
                <w:szCs w:val="20"/>
                <w:color w:val="auto"/>
              </w:rPr>
            </w:pPr>
            <w:r>
              <w:rPr>
                <w:rFonts w:ascii="Arial" w:cs="Arial" w:eastAsia="Arial" w:hAnsi="Arial"/>
                <w:sz w:val="14"/>
                <w:szCs w:val="14"/>
                <w:b w:val="1"/>
                <w:bCs w:val="1"/>
                <w:color w:val="auto"/>
              </w:rPr>
              <w:t>Description</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April</w:t>
            </w:r>
          </w:p>
        </w:tc>
        <w:tc>
          <w:tcPr>
            <w:tcW w:w="66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8"/>
                <w:szCs w:val="8"/>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8"/>
                <w:szCs w:val="8"/>
                <w:color w:val="auto"/>
              </w:rPr>
            </w:pPr>
          </w:p>
        </w:tc>
        <w:tc>
          <w:tcPr>
            <w:tcW w:w="11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5140" w:type="dxa"/>
            <w:vAlign w:val="bottom"/>
            <w:gridSpan w:val="3"/>
            <w:vMerge w:val="continue"/>
          </w:tcPr>
          <w:p>
            <w:pPr>
              <w:spacing w:after="0"/>
              <w:rPr>
                <w:sz w:val="16"/>
                <w:szCs w:val="16"/>
                <w:color w:val="auto"/>
              </w:rPr>
            </w:pPr>
          </w:p>
        </w:tc>
        <w:tc>
          <w:tcPr>
            <w:tcW w:w="152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860" w:type="dxa"/>
            <w:vAlign w:val="bottom"/>
          </w:tcPr>
          <w:p>
            <w:pPr>
              <w:jc w:val="right"/>
              <w:ind w:right="66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w w:val="94"/>
              </w:rPr>
              <w:t>28,006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28,006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8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4"/>
              </w:rPr>
              <w:t>17,349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Money market securities</w:t>
            </w:r>
          </w:p>
        </w:tc>
        <w:tc>
          <w:tcPr>
            <w:tcW w:w="860" w:type="dxa"/>
            <w:vAlign w:val="bottom"/>
          </w:tcPr>
          <w:p>
            <w:pPr>
              <w:spacing w:after="0"/>
              <w:rPr>
                <w:sz w:val="21"/>
                <w:szCs w:val="21"/>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Consolidated Balance Sheets. As of March 31, 2013, the CD's have a fair value of $15.6 million in current assets and $5.6 million in noncurrent assets.</w:t>
      </w:r>
    </w:p>
    <w:p>
      <w:pPr>
        <w:spacing w:after="0" w:line="16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March 31, 2013 and April 1, 2012.</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contractual maturities of available-for-sale securities at March 31, 2013 and April 1, 2012 are shown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March 31, 2013</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1, 2012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9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9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15,615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Between one and two years</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5,597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5,139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21,205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17,349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Realized gains and losses were not material for fiscal 2013, 2012 and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at March 31, 2013 and April 1, 2012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2012</w:t>
            </w:r>
          </w:p>
        </w:tc>
      </w:tr>
      <w:tr>
        <w:trPr>
          <w:trHeight w:val="251"/>
        </w:trPr>
        <w:tc>
          <w:tcPr>
            <w:tcW w:w="74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35,281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35,072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LIFO reserve</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(7,439)</w:t>
            </w:r>
          </w:p>
        </w:tc>
      </w:tr>
      <w:tr>
        <w:trPr>
          <w:trHeight w:val="27"/>
        </w:trPr>
        <w:tc>
          <w:tcPr>
            <w:tcW w:w="7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220" w:type="dxa"/>
            <w:vAlign w:val="bottom"/>
            <w:tcBorders>
              <w:bottom w:val="single" w:sz="8" w:color="CCEEFF"/>
            </w:tcBorders>
            <w:shd w:val="clear" w:color="auto" w:fill="CCEEFF"/>
          </w:tcPr>
          <w:p>
            <w:pPr>
              <w:jc w:val="right"/>
              <w:ind w:right="10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27,633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FIFO value of inventories accounted for under the LIFO method was $30.3 million at March 31, 2013 and $30.6 million at April 1, 2012. The remainder of the inventory was valued and accounted for under the FIFO method.</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decreased the LIFO reserve by $0.4 million in fiscal 2013 due primarily to decreased volumes of certain bulk chemicals in inventory at the end of the year. In fiscal 2012 we increased the LIFO reserve by $1.6 million due primarily to higher volumes and the mix of bulk chemicals in inventory at the end of the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Identifiable Intangible Assets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3, 2011</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6,231</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Fiscal 2012 adjustment</w:t>
            </w:r>
          </w:p>
        </w:tc>
        <w:tc>
          <w:tcPr>
            <w:tcW w:w="4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264</w:t>
            </w:r>
          </w:p>
        </w:tc>
      </w:tr>
      <w:tr>
        <w:trPr>
          <w:trHeight w:val="27"/>
        </w:trPr>
        <w:tc>
          <w:tcPr>
            <w:tcW w:w="9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1, 2012</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Fiscal 2013 adjustment</w:t>
            </w:r>
          </w:p>
        </w:tc>
        <w:tc>
          <w:tcPr>
            <w:tcW w:w="4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2013</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6,495</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120" w:firstLine="243"/>
        <w:spacing w:after="0" w:line="277" w:lineRule="auto"/>
        <w:rPr>
          <w:sz w:val="20"/>
          <w:szCs w:val="20"/>
          <w:color w:val="auto"/>
        </w:rPr>
      </w:pPr>
      <w:r>
        <w:rPr>
          <w:rFonts w:ascii="Arial" w:cs="Arial" w:eastAsia="Arial" w:hAnsi="Arial"/>
          <w:sz w:val="18"/>
          <w:szCs w:val="18"/>
          <w:color w:val="auto"/>
        </w:rPr>
        <w:t>All of our goodwill relates to our Industrial operating segment. The increase in goodwill during fiscal 2012 relates to the finalization of the determination of the fair value of inventory acquired as part of the acquisition of Vertex.</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intangible assets as of March 31, 2013 and April 1,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5,508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4,527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Trade secrets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Carrier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7,678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Intangible asset amortization expense was $0.6 million during fiscal 2013, $0.6 million during fiscal 2012, and $0.3 million during fiscal 2011.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612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487</w:t>
            </w:r>
          </w:p>
        </w:tc>
      </w:tr>
      <w:tr>
        <w:trPr>
          <w:trHeight w:val="27"/>
        </w:trPr>
        <w:tc>
          <w:tcPr>
            <w:tcW w:w="4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Accumulated Other Comprehensive Income (Loss)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Components of accumulated other comprehensive income (loss) on our balance sheet, net of tax,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2012</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Post-retirement plan liability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94" w:lineRule="exact"/>
        <w:rPr>
          <w:sz w:val="20"/>
          <w:szCs w:val="20"/>
          <w:color w:val="auto"/>
        </w:rPr>
      </w:pPr>
    </w:p>
    <w:p>
      <w:pPr>
        <w:ind w:right="120" w:firstLine="243"/>
        <w:spacing w:after="0" w:line="259" w:lineRule="auto"/>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Our Board of Directors has approved a long-term incentive equity compensation arrangement for our executive officers. This long-term incentive arrangement provides for the grant of nonqualified stock options that vest at the end of a three-year period and expire no later than 10 years after the grant date. We used the Black-Scholes valuation model to estimate the fair value of options granted under this arrangement. No stock options were granted during fiscal 2013, 2012 or 2011.</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represents the stock option activity for fiscal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Total Outstanding</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Exercisable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3"/>
                <w:szCs w:val="1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Aggregate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3"/>
                <w:szCs w:val="13"/>
                <w:color w:val="auto"/>
              </w:rPr>
            </w:pPr>
          </w:p>
        </w:tc>
        <w:tc>
          <w:tcPr>
            <w:tcW w:w="1040" w:type="dxa"/>
            <w:vAlign w:val="bottom"/>
            <w:vMerge w:val="restart"/>
          </w:tcPr>
          <w:p>
            <w:pPr>
              <w:jc w:val="center"/>
              <w:ind w:right="14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share data)</w:t>
            </w: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Intrinsic</w:t>
            </w:r>
          </w:p>
        </w:tc>
        <w:tc>
          <w:tcPr>
            <w:tcW w:w="13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104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6"/>
                <w:szCs w:val="16"/>
                <w:color w:val="auto"/>
              </w:rPr>
            </w:pPr>
          </w:p>
        </w:tc>
        <w:tc>
          <w:tcPr>
            <w:tcW w:w="1040" w:type="dxa"/>
            <w:vAlign w:val="bottom"/>
          </w:tcPr>
          <w:p>
            <w:pPr>
              <w:jc w:val="center"/>
              <w:ind w:right="14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(27,999)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(27,999)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 or expired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Outstanding at end of year</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18,666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18,666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weighted average remaining life of all outstanding and exercisable options is 6.2 years.</w:t>
      </w:r>
    </w:p>
    <w:p>
      <w:pPr>
        <w:spacing w:after="0" w:line="22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No expense was recorded in fiscal 2013 related to the value of stock options. Expense related to the value of stock options was $0.1 million and $0.2 million for fiscal years 2012 and 2011, respectively, substantially all of which was recorded in SG&amp;A expense in the Consolidated Statements of Income. The total fair value of options vested during fiscal 2013 was $0.2 million compared to $0.1 million during fiscal 2012 and$0.2 million during fiscal 2011. There was no unrecognized compensation expense related to outstanding stock options as of March 31, 2013.</w:t>
      </w:r>
    </w:p>
    <w:p>
      <w:pPr>
        <w:spacing w:after="0" w:line="17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47,222 shares in the aggregate for fiscal 2013.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represents the restricted stock activity for fiscal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06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33,321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29,923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0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63,244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The weighted averaged grant date fair value of restricted shares granted in fiscal 2013, 2012 and 2011 was $33.01, $35.39, and $25.81, respectively. We recorded compensation expense on performance-based restricted stock of approximately $1.1 million, $0.8 million and $1.6 million for fiscal 2013, 2012 and 2011, respectively, substantially all of which was recorded in selling, general and administrative ("SG&amp;A") expense in the Consolidated Statements of Income. The total fair value of performance-based restricted stock units vested in fiscal 2013 was zero compared to $0.3 million in fiscal 2012.</w:t>
      </w:r>
    </w:p>
    <w:p>
      <w:pPr>
        <w:spacing w:after="0" w:line="154"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share units as of March 31, 2013 was $1.2 million and is expected to be recognized over a weighted average period of 1.0 years.</w:t>
      </w:r>
    </w:p>
    <w:p>
      <w:pPr>
        <w:spacing w:after="0" w:line="15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 benefits of tax deductions in excess of recognized compensation costs (excess tax benefits) are recorded as a change in additional paid-in capital rather than a deduction of taxes paid. The amount of excess tax benefit recognized and recorded in additional paid-in capital resulting from share-based compensation cost was $0.5 million in fiscal 2013, $0.7 million in fiscal 2012 and $0.3 million in 2011.</w:t>
      </w:r>
    </w:p>
    <w:p>
      <w:pPr>
        <w:spacing w:after="0" w:line="181"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As part of their retainer, the Board of Directors receives restricted stock for their Board services. The restricted stock awards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5,724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243"/>
        <w:spacing w:after="0" w:line="264" w:lineRule="auto"/>
        <w:rPr>
          <w:sz w:val="20"/>
          <w:szCs w:val="20"/>
          <w:color w:val="auto"/>
        </w:rPr>
      </w:pPr>
      <w:r>
        <w:rPr>
          <w:rFonts w:ascii="Arial" w:cs="Arial" w:eastAsia="Arial" w:hAnsi="Arial"/>
          <w:sz w:val="18"/>
          <w:szCs w:val="18"/>
          <w:color w:val="auto"/>
        </w:rPr>
        <w:t>Annual expense related to the value of restricted stock was $0.2 million for each of fiscal 2013, 2012 and 2011, all of which was recorded in SG&amp;A expense in the Consolidated Statements of Income. Unrecognized compensation expense related to non-vested restricted stock awards as of March 31, 2013 was $0.1 million and is expected to be recognized over a weighted average period of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Profit Sharing, Employee Stock Ownership, Employee Stock Purchase and Pension Plans</w:t>
      </w:r>
    </w:p>
    <w:p>
      <w:pPr>
        <w:spacing w:after="0" w:line="9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Substantially all of our non-bargaining unit employees are eligible to participate in a company sponsored profit sharing plan. It is our policy to fund all costs accrued. Contributions are made at our discretion subject to a maximum amount allowed under the Internal Revenue Code. Beginning in fiscal 2013, the profit sharing plan contribution level for each employee will depend upon date of hire, with those employees hired after April 1, 2012 eligible to receive a contribution that is 50% of the contribution made for employees hired on or before April 1, 2012. Our contribution to the profit sharing plan for fiscal 2013 was 5% of each employee's eligible compensation for employees hired on or before April 1, 2012. In addition to the changes in the profit sharing plan for fiscal 2013, we introduced a 401(k) plan that will allow employees to contribute pre-tax earnings up to the maximum amount allowed under the Internal Revenue Code, with an employer match of up to 5% of the employee’s eligible compensation. Our contribution to the profit sharing plan was 15% of each employee's eligible compensation in each of fiscal years 2012 and 2011.</w:t>
      </w:r>
    </w:p>
    <w:p>
      <w:pPr>
        <w:spacing w:after="0" w:line="1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have an employee stock ownership plan (“ESOP”) covering substantially all of our non-bargaining unit employees. Contributions are made at our discretion subject to a maximum amount allowed under the Internal Revenue Code. Beginning in fiscal 2013, the ESOP contribution level for each employee will depend upon date of hire, with those employees hired after April 1, 2012 eligible to receive a contribution that is 50% of the contribution made for employees hired on or before April 1, 2012. Our contribution to the ESOP for fiscal 2013 was 5% of each employee's eligible compensation for employees hired on or before April 1, 2012. Our contribution to the ESOP was 5% of each employee’s eligible compensation in each of the fiscal years 2012 and 2011.</w:t>
      </w:r>
    </w:p>
    <w:p>
      <w:pPr>
        <w:spacing w:after="0" w:line="10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 with no employee contribution match from the Company. Prior to fiscal 2012, this plan had a monthly employer match of 75% of each employee’s contribution, up to a maximum of $375 per month, with the ESPP shares of the Company purchased on the open market.</w:t>
      </w:r>
    </w:p>
    <w:p>
      <w:pPr>
        <w:spacing w:after="0" w:line="1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fiscal 2012, Vertex employees participated in a 401(k) plan that included an employer match of up to 3% of the employee’s eligible compensation and a discretionary Company contribution. The total company contribution to this plan was $0.2 million. Beginning in fiscal 2013, Vertex employees are included within the Company’s retirement plans outlined above.</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represents the contribution expense for the profit sharing, ESOP, ESPP and 401(k) plans for fiscal 2013, 2012 and 2011: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 Plan</w:t>
            </w:r>
          </w:p>
        </w:tc>
        <w:tc>
          <w:tcPr>
            <w:tcW w:w="420" w:type="dxa"/>
            <w:vAlign w:val="bottom"/>
          </w:tcPr>
          <w:p>
            <w:pPr>
              <w:spacing w:after="0"/>
              <w:rPr>
                <w:sz w:val="14"/>
                <w:szCs w:val="14"/>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Profit sharing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401(K) matching contributions</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ESPP</w:t>
            </w: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Vertex plan</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Total contribution expense</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349"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In the fourth quarter of fiscal 2013, we concluded negotiations with two collective bargaining units to discontinue our</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in the Central States, Southeast and Southwest Areas Pension Fund (“CSS” or “the plan”), a collectively bargained multiemployer pension plan. Our participation in the plan was pursuant to two collective bargaining agreements that each expired on February 28, 2013. Our contributions to the plan were determined in accordance with the provisions of the collective bargaining agreements and were based on a fixed payment per employee for each week worked. In accordance with accounting guidance, we have recorded the required cash contributions to the CSS as an expense in the period incurred.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risks of participating in a multiemployer pension plan are different from the risks of participating in a single-employer plan in the following respects:</w:t>
      </w:r>
    </w:p>
    <w:p>
      <w:pPr>
        <w:spacing w:after="0" w:line="46" w:lineRule="exact"/>
        <w:rPr>
          <w:sz w:val="20"/>
          <w:szCs w:val="20"/>
          <w:color w:val="auto"/>
        </w:rPr>
      </w:pPr>
    </w:p>
    <w:p>
      <w:pPr>
        <w:jc w:val="both"/>
        <w:ind w:firstLine="8"/>
        <w:spacing w:after="0" w:line="269" w:lineRule="auto"/>
        <w:tabs>
          <w:tab w:leader="none" w:pos="268"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assets contributed to a multiemployer fund by each employer are comingled with the assets contributed by other employers and are used to finance the benefits to employees of all participating employers; (2) to the extent that the assets of the fund are insufficient to meet the fund's obligations to all of the employees whose accrued benefits are vested, the plan accrues an “unfunded vested liability”; (3) if a participating employer withdraws from the fund (for example, stops contributing to the plan), the fund is required by law to charge a proportional share of the unfunded vested liability to the withdrawing employer. This is referred to as a withdrawal liability. As a result of the extent to which CSS is underfunded, CSS is considered to be in “critical status” as defined by the Pension Protection Act of 2006. Based upon the most recent information available from the trustees of CSS, our withdrawal liability (that is, our share of the plan's unfunded vested benefit liability) was estimated to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$10.0 million if the withdrawal had occurred in calendar year 2012, an increase from an estimate of approximately $7.9 million if the withdrawal had occurred in calendar year 2011.</w:t>
      </w:r>
    </w:p>
    <w:p>
      <w:pPr>
        <w:spacing w:after="0" w:line="17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Accounting guidance for multiemployer pension plans provides that a withdrawal liability should be recorded if circumstances that give rise to an obligation become probable and estimable. In fiscal 2013, we discontinued our participation in CSS and as a result we recorded a pre-tax charge of $7.2 million (approximately $4.5 million after tax, or $0.43 per share, fully diluted). This charge represents the discounted value of our estimated withdrawal payment obligation and has been recorded as a charge to cost of sales in our Industrial segment.</w:t>
      </w:r>
    </w:p>
    <w:p>
      <w:pPr>
        <w:spacing w:after="0" w:line="18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Payment of our share of the unfunded vested benefit liability may be made over 20 years and is subject to a cap. At the end of the 20-year period we would have no further liability, even if our share of the unfunded vested benefit liability had not yet been paid in full. The annual payment amount is determined based on (1) the average number of work hours reported to the pension plan trust during the 3 consecutive years with the highest number of contribution work weeks in the 10-year period prior to the withdrawal, multiplied by (2) the highest hourly contribution rate during the 10-year period. We estimate the aggregate cash payments to be made to total approximately $9.3 million, or $467,000 per year beginning some time in fiscal 2014. We have accrued the discounted value of that payment obligation in the “Pension withdrawal” line item on the Consolidated Statement of Income for the fiscal year ended March 31, 2013.</w:t>
      </w:r>
    </w:p>
    <w:p>
      <w:pPr>
        <w:spacing w:after="0" w:line="1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made contributions to CSS of approximately $0.4 million in each of fiscal 2013, 2012 and 2011. Effective March 1, 2013, we established defined-contribution retirement benefits to our union employees that are similar to those benefits currently offered to our non-union employees. Contributions to this plan for fiscal 2013 were nominal.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94" w:lineRule="exact"/>
        <w:rPr>
          <w:sz w:val="20"/>
          <w:szCs w:val="20"/>
          <w:color w:val="auto"/>
        </w:rPr>
      </w:pPr>
    </w:p>
    <w:p>
      <w:pPr>
        <w:ind w:right="720" w:firstLine="243"/>
        <w:spacing w:after="0" w:line="277" w:lineRule="auto"/>
        <w:rPr>
          <w:sz w:val="20"/>
          <w:szCs w:val="20"/>
          <w:color w:val="auto"/>
        </w:rPr>
      </w:pPr>
      <w:r>
        <w:rPr>
          <w:rFonts w:ascii="Arial" w:cs="Arial" w:eastAsia="Arial" w:hAnsi="Arial"/>
          <w:sz w:val="18"/>
          <w:szCs w:val="18"/>
          <w:b w:val="1"/>
          <w:bCs w:val="1"/>
          <w:i w:val="1"/>
          <w:iCs w:val="1"/>
          <w:color w:val="auto"/>
        </w:rPr>
        <w:t xml:space="preserve">Leases — </w:t>
      </w:r>
      <w:r>
        <w:rPr>
          <w:rFonts w:ascii="Arial" w:cs="Arial" w:eastAsia="Arial" w:hAnsi="Arial"/>
          <w:sz w:val="18"/>
          <w:szCs w:val="18"/>
          <w:color w:val="auto"/>
        </w:rPr>
        <w:t>We have various operating leases for primarily buildings and land on which some of our operations are located. Future minimum lease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due under operating leases with an initial term of one year or more at March 31, 2013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4,947</w:t>
            </w:r>
          </w:p>
        </w:tc>
      </w:tr>
      <w:tr>
        <w:trPr>
          <w:trHeight w:val="378"/>
        </w:trPr>
        <w:tc>
          <w:tcPr>
            <w:tcW w:w="6400" w:type="dxa"/>
            <w:vAlign w:val="bottom"/>
            <w:gridSpan w:val="6"/>
          </w:tcPr>
          <w:p>
            <w:pPr>
              <w:ind w:left="440"/>
              <w:spacing w:after="0"/>
              <w:rPr>
                <w:sz w:val="20"/>
                <w:szCs w:val="20"/>
                <w:color w:val="auto"/>
              </w:rPr>
            </w:pPr>
            <w:r>
              <w:rPr>
                <w:rFonts w:ascii="Arial" w:cs="Arial" w:eastAsia="Arial" w:hAnsi="Arial"/>
                <w:sz w:val="18"/>
                <w:szCs w:val="18"/>
                <w:color w:val="auto"/>
                <w:w w:val="96"/>
              </w:rPr>
              <w:t>Total rental expense for the fiscal years 2013, 2012 and 2011 was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2011</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818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617</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114</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928</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719</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In the first quarter of fiscal 2013, we entered into a settlement agreement with ICL Performance Products LP (“ICL”), a chemical supplier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pursuant to which we mutually resolved the previously disclosed litigation and all disputes among us. The settlement agreement provided for a cash payment by us to ICL and provided that both parties enter into new contracts for the supply by ICL of certain chemicals to us. Our obligations under the settlement agreement resulted in a $3.2 million charge to pre-tax income recorded in cost of sales (approximately $2.0 million or $0.19 per share, fully diluted, after tax) in the first quarter of fiscal 2013, which was recorded in our Industrial segment.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 party from time to time in litigation arising in the ordinary course of our business. To date, other litigation has not had a material effect 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Legal costs associated with such matters are expensed as incurred.</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Asset Retirement Obligations - </w:t>
      </w:r>
      <w:r>
        <w:rPr>
          <w:rFonts w:ascii="Arial" w:cs="Arial" w:eastAsia="Arial" w:hAnsi="Arial"/>
          <w:sz w:val="17"/>
          <w:szCs w:val="17"/>
          <w:color w:val="auto"/>
        </w:rPr>
        <w:t>We have three leases of land and at the end of the lease term (currently 2023 for one lease and 2018 for the other two leases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leases are not renewed), we have a specified amount of time to remove the property and buildings. At the end of the specified amount of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lessee or the lessor. Therefore, in accordance with accounting guidance related to asset retirement and environmental obligations we have not recorded an asset retirement obligation as of March 31, 2013. We will continue to monitor the factors surrounding the requirement to record an asset retirement obligation and will recognize the fair value of a liability in the period in which it is incurred and a reasonable estimate can be made.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provisions for income taxes for fiscal 2013, 2012 and 2011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2011</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8,967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0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2,531</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11,384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12,349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2,796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During fiscal 2013 we amended previously filed U.S. federal tax returns resulting in an increase of $0.8 million in the benefits related to the domestic manufacturing deduction and investment tax credits, which positively impacted our tax rate for the year. Reconciliations of the provisions for income taxes, based on income from continuing operations, to the applicable federal statutory income tax rate of 35% are listed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40"/>
              <w:spacing w:after="0"/>
              <w:rPr>
                <w:sz w:val="20"/>
                <w:szCs w:val="20"/>
                <w:color w:val="auto"/>
              </w:rPr>
            </w:pPr>
            <w:r>
              <w:rPr>
                <w:rFonts w:ascii="Arial" w:cs="Arial" w:eastAsia="Arial" w:hAnsi="Arial"/>
                <w:sz w:val="14"/>
                <w:szCs w:val="14"/>
                <w:b w:val="1"/>
                <w:bCs w:val="1"/>
                <w:color w:val="auto"/>
              </w:rPr>
              <w:t>2013</w:t>
            </w:r>
          </w:p>
        </w:tc>
        <w:tc>
          <w:tcPr>
            <w:tcW w:w="1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2011</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4.7 %</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amended tax returns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32.7 %</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38.6 %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tax effects of items comprising our net deferred tax asset (liability) as of March 31, 2013 and April 1,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3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3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accruals</w:t>
            </w:r>
          </w:p>
        </w:tc>
        <w:tc>
          <w:tcPr>
            <w:tcW w:w="3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Other</w:t>
            </w: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Deferred tax liabilities:</w:t>
            </w:r>
          </w:p>
        </w:tc>
        <w:tc>
          <w:tcPr>
            <w:tcW w:w="3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56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Prepaid</w:t>
            </w: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of tax over book depreciation</w:t>
            </w:r>
          </w:p>
        </w:tc>
        <w:tc>
          <w:tcPr>
            <w:tcW w:w="3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Amortization of intangibles</w:t>
            </w:r>
          </w:p>
        </w:tc>
        <w:tc>
          <w:tcPr>
            <w:tcW w:w="3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34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(15,215)</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deferred tax liabilities</w:t>
            </w:r>
          </w:p>
        </w:tc>
        <w:tc>
          <w:tcPr>
            <w:tcW w:w="3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340" w:type="dxa"/>
            <w:vAlign w:val="bottom"/>
            <w:vMerge w:val="continue"/>
          </w:tcPr>
          <w:p>
            <w:pPr>
              <w:spacing w:after="0"/>
              <w:rPr>
                <w:sz w:val="19"/>
                <w:szCs w:val="19"/>
                <w:color w:val="auto"/>
              </w:rPr>
            </w:pPr>
          </w:p>
        </w:tc>
        <w:tc>
          <w:tcPr>
            <w:tcW w:w="3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(13,592)</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080" w:type="dxa"/>
            <w:vAlign w:val="bottom"/>
            <w:vMerge w:val="restart"/>
          </w:tcPr>
          <w:p>
            <w:pPr>
              <w:jc w:val="right"/>
              <w:ind w:right="1530"/>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ind w:right="20" w:firstLine="230"/>
        <w:spacing w:after="0" w:line="264" w:lineRule="auto"/>
        <w:rPr>
          <w:sz w:val="20"/>
          <w:szCs w:val="20"/>
          <w:color w:val="auto"/>
        </w:rPr>
      </w:pPr>
      <w:r>
        <w:rPr>
          <w:rFonts w:ascii="Arial" w:cs="Arial" w:eastAsia="Arial" w:hAnsi="Arial"/>
          <w:sz w:val="18"/>
          <w:szCs w:val="18"/>
          <w:color w:val="auto"/>
        </w:rPr>
        <w:t>As of March 31, 2013, the Company has determined that it is more likely than not that the deferred tax assets at March 31, 2013 will be realized either through future taxable income or reversals of taxable temporary differences. As of March 31, 2013 and April 1, 2012, there were no unrecognized tax benefits. Accordingly, a tabular reconciliation from beginning to ending periods is not provided.</w:t>
      </w:r>
    </w:p>
    <w:p>
      <w:pPr>
        <w:spacing w:after="0" w:line="181" w:lineRule="exact"/>
        <w:rPr>
          <w:sz w:val="20"/>
          <w:szCs w:val="20"/>
          <w:color w:val="auto"/>
        </w:rPr>
      </w:pPr>
    </w:p>
    <w:p>
      <w:pPr>
        <w:jc w:val="both"/>
        <w:ind w:firstLine="230"/>
        <w:spacing w:after="0" w:line="308" w:lineRule="auto"/>
        <w:rPr>
          <w:sz w:val="20"/>
          <w:szCs w:val="20"/>
          <w:color w:val="auto"/>
        </w:rPr>
      </w:pPr>
      <w:r>
        <w:rPr>
          <w:rFonts w:ascii="Arial" w:cs="Arial" w:eastAsia="Arial" w:hAnsi="Arial"/>
          <w:sz w:val="17"/>
          <w:szCs w:val="17"/>
          <w:color w:val="auto"/>
        </w:rPr>
        <w:t>We are subject to U.S. federal income tax as well as income tax of multiple state jurisdictions. The tax years beginning with our fiscal year ended March 29, 2009 remain open to examination by the Internal Revenue Service, and with few exceptions, state and local income tax jurisdictions.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Discontinued Operations</w:t>
      </w:r>
    </w:p>
    <w:p>
      <w:pPr>
        <w:spacing w:after="0" w:line="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fiscal year ended March 29, 2009, we agreed to sell our inventory and entered into a marketing agreement regarding the business of our Pharmaceutical segment, which provided pharmaceutical chemicals to retail pharmacies and small-scale pharmaceutical manufacturers. We have no remaining obligations to fulfill under the agreement. The results of the Pharmaceutical segment have been reported as discontinued operations for all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22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amounted to 10% or more of our total revenue. We have one customer in our Industrial segment that represented 10.3% of Industrial segment sales. Sales are primarily within the United States and all assets are located within the United States.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360" w:type="dxa"/>
            <w:vAlign w:val="bottom"/>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Water</w:t>
            </w:r>
          </w:p>
        </w:tc>
        <w:tc>
          <w:tcPr>
            <w:tcW w:w="440" w:type="dxa"/>
            <w:vAlign w:val="bottom"/>
          </w:tcPr>
          <w:p>
            <w:pPr>
              <w:spacing w:after="0"/>
              <w:rPr>
                <w:sz w:val="14"/>
                <w:szCs w:val="14"/>
                <w:color w:val="auto"/>
              </w:rPr>
            </w:pPr>
          </w:p>
        </w:tc>
        <w:tc>
          <w:tcPr>
            <w:tcW w:w="140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Treatment</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March 31, 2013:</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248,556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101,831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350,387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143,827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169,275</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April 1, 2012:</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251,451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92,383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343,834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65,868</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30,759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35,109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129,782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153,325</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April 3, 2011:</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208,724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88,917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297,641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61,902</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19,828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29,940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31,962</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121,250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21,139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142,389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8"/>
        <w:spacing w:after="0" w:line="293" w:lineRule="auto"/>
        <w:tabs>
          <w:tab w:leader="none" w:pos="108" w:val="left"/>
        </w:tabs>
        <w:numPr>
          <w:ilvl w:val="0"/>
          <w:numId w:val="6"/>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$52.9 million at March 31, 2013, $48.0 million at April 1, 2012 and $41.7 million at April 3, 2011. Additionally, assets associated with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discontinued operations of the Pharmaceutical segment were zero at March 31, 2013, $1.2 million at April 1, 2012 and $0.9 million at April 3, 2011.</w:t>
      </w:r>
    </w:p>
    <w:p>
      <w:pPr>
        <w:spacing w:after="0" w:line="237" w:lineRule="exact"/>
        <w:rPr>
          <w:sz w:val="20"/>
          <w:szCs w:val="20"/>
          <w:color w:val="auto"/>
        </w:rPr>
      </w:pPr>
    </w:p>
    <w:p>
      <w:pPr>
        <w:ind w:right="200" w:firstLine="243"/>
        <w:spacing w:after="0" w:line="264" w:lineRule="auto"/>
        <w:rPr>
          <w:sz w:val="20"/>
          <w:szCs w:val="20"/>
          <w:color w:val="auto"/>
        </w:rPr>
      </w:pPr>
      <w:r>
        <w:rPr>
          <w:rFonts w:ascii="Arial" w:cs="Arial" w:eastAsia="Arial" w:hAnsi="Arial"/>
          <w:sz w:val="18"/>
          <w:szCs w:val="18"/>
          <w:color w:val="auto"/>
        </w:rPr>
        <w:t>In fiscal 2013, gross profit for our Industrial segment was negatively impacted by a $7.2 million (pre-tax) charge related to our withdrawal from a multiemployer pension plan (see Note 8 for further discussion) as well as a $3.2 million (pre-tax) charge related to a legal settlement (see Note 9 for further discussion).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2013</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90,099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87,601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19,196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2012</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88,594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87,870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83,210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17,927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18,750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13,512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7,844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10,070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10,906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6,717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6,901</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0.67</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243"/>
        <w:spacing w:after="0" w:line="264" w:lineRule="auto"/>
        <w:rPr>
          <w:sz w:val="20"/>
          <w:szCs w:val="20"/>
          <w:color w:val="auto"/>
        </w:rPr>
      </w:pPr>
      <w:r>
        <w:rPr>
          <w:rFonts w:ascii="Arial" w:cs="Arial" w:eastAsia="Arial" w:hAnsi="Arial"/>
          <w:sz w:val="18"/>
          <w:szCs w:val="18"/>
          <w:color w:val="auto"/>
        </w:rPr>
        <w:t>In the first quarter of fiscal 2013, we recorded a $3.2 million (pre-tax) charge related to a legal settlement (see Note 9 for further discussion). In the third quarter of fiscal 2013, we recorded a $7.2 million (pre-tax) charge related to our withdrawal from a multiemployer pension plan (see Note 8 for further discussion). Both items negatively impacted gross profit.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March 31, 2013, based on the criteria described in </w:t>
      </w:r>
      <w:r>
        <w:rPr>
          <w:rFonts w:ascii="Arial" w:cs="Arial" w:eastAsia="Arial" w:hAnsi="Arial"/>
          <w:sz w:val="17"/>
          <w:szCs w:val="17"/>
          <w:i w:val="1"/>
          <w:iCs w:val="1"/>
          <w:color w:val="auto"/>
        </w:rPr>
        <w:t xml:space="preserve">Internal Control - Integrated Framework (1992) </w:t>
      </w:r>
      <w:r>
        <w:rPr>
          <w:rFonts w:ascii="Arial" w:cs="Arial" w:eastAsia="Arial" w:hAnsi="Arial"/>
          <w:sz w:val="17"/>
          <w:szCs w:val="17"/>
          <w:color w:val="auto"/>
        </w:rPr>
        <w:t>issued by the Committee of Sponsoring Organizations (“COSO”) of the Treadway Commission.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this assessment, management believes that our internal control over financial reporting was effective as of March 31, 2013.</w:t>
      </w:r>
    </w:p>
    <w:p>
      <w:pPr>
        <w:spacing w:after="0" w:line="166"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31, 2013. That attestation report is set forth immediately following this management report.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/s/ Patrick H. Hawkins</w:t>
            </w:r>
          </w:p>
        </w:tc>
        <w:tc>
          <w:tcPr>
            <w:tcW w:w="1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Kathleen P. Pepski</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Patrick H. Hawkins</w:t>
            </w:r>
          </w:p>
        </w:tc>
        <w:tc>
          <w:tcPr>
            <w:tcW w:w="1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5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 and President</w:t>
            </w:r>
          </w:p>
        </w:tc>
        <w:tc>
          <w:tcPr>
            <w:tcW w:w="136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Vice President, Chief Financial Officer,</w:t>
            </w:r>
          </w:p>
        </w:tc>
        <w:tc>
          <w:tcPr>
            <w:tcW w:w="0" w:type="dxa"/>
            <w:vAlign w:val="bottom"/>
          </w:tcPr>
          <w:p>
            <w:pPr>
              <w:spacing w:after="0"/>
              <w:rPr>
                <w:sz w:val="1"/>
                <w:szCs w:val="1"/>
                <w:color w:val="auto"/>
              </w:rPr>
            </w:pPr>
          </w:p>
        </w:tc>
      </w:tr>
      <w:tr>
        <w:trPr>
          <w:trHeight w:val="122"/>
        </w:trPr>
        <w:tc>
          <w:tcPr>
            <w:tcW w:w="5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5020" w:type="dxa"/>
            <w:vAlign w:val="bottom"/>
            <w:vMerge w:val="restart"/>
          </w:tcPr>
          <w:p>
            <w:pPr>
              <w:ind w:left="4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May 30, 2013</w:t>
            </w:r>
          </w:p>
        </w:tc>
        <w:tc>
          <w:tcPr>
            <w:tcW w:w="13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30, 2013</w:t>
            </w: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38</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2013 that has materially affected, or is reasonably likely to materially affect, our internal control over financial reporting.</w:t>
      </w:r>
    </w:p>
    <w:p>
      <w:pPr>
        <w:spacing w:after="0" w:line="24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1, 2013 (the “2013 Proxy Statement”). Except for those portions specifically incorporated in this Form 10-K by reference to the 2013 Proxy Statement, no other portions of the 2013 Proxy Statement are deemed to be filed as part of this Form 10-K.</w:t>
      </w:r>
    </w:p>
    <w:p>
      <w:pPr>
        <w:spacing w:after="0" w:line="33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executive officers, their ages and offices held, as of May 24, 2013 are set forth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6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tcPr>
          <w:p>
            <w:pPr>
              <w:ind w:left="1280"/>
              <w:spacing w:after="0"/>
              <w:rPr>
                <w:sz w:val="20"/>
                <w:szCs w:val="20"/>
                <w:color w:val="auto"/>
              </w:rPr>
            </w:pPr>
            <w:r>
              <w:rPr>
                <w:rFonts w:ascii="Arial" w:cs="Arial" w:eastAsia="Arial" w:hAnsi="Arial"/>
                <w:sz w:val="14"/>
                <w:szCs w:val="14"/>
                <w:b w:val="1"/>
                <w:bCs w:val="1"/>
                <w:color w:val="auto"/>
              </w:rPr>
              <w:t>Age</w:t>
            </w:r>
          </w:p>
        </w:tc>
        <w:tc>
          <w:tcPr>
            <w:tcW w:w="4440" w:type="dxa"/>
            <w:vAlign w:val="bottom"/>
          </w:tcPr>
          <w:p>
            <w:pPr>
              <w:ind w:left="560"/>
              <w:spacing w:after="0"/>
              <w:rPr>
                <w:sz w:val="20"/>
                <w:szCs w:val="20"/>
                <w:color w:val="auto"/>
              </w:rPr>
            </w:pPr>
            <w:r>
              <w:rPr>
                <w:rFonts w:ascii="Arial" w:cs="Arial" w:eastAsia="Arial" w:hAnsi="Arial"/>
                <w:sz w:val="14"/>
                <w:szCs w:val="14"/>
                <w:b w:val="1"/>
                <w:bCs w:val="1"/>
                <w:color w:val="auto"/>
              </w:rPr>
              <w:t>Office</w:t>
            </w:r>
          </w:p>
        </w:tc>
      </w:tr>
      <w:tr>
        <w:trPr>
          <w:trHeight w:val="255"/>
        </w:trPr>
        <w:tc>
          <w:tcPr>
            <w:tcW w:w="2680" w:type="dxa"/>
            <w:vAlign w:val="bottom"/>
          </w:tcPr>
          <w:p>
            <w:pPr>
              <w:spacing w:after="0"/>
              <w:rPr>
                <w:sz w:val="20"/>
                <w:szCs w:val="20"/>
                <w:color w:val="auto"/>
              </w:rPr>
            </w:pPr>
            <w:r>
              <w:rPr>
                <w:rFonts w:ascii="Arial" w:cs="Arial" w:eastAsia="Arial" w:hAnsi="Arial"/>
                <w:sz w:val="18"/>
                <w:szCs w:val="18"/>
                <w:color w:val="auto"/>
              </w:rPr>
              <w:t>Patrick H. Hawkins</w:t>
            </w:r>
          </w:p>
        </w:tc>
        <w:tc>
          <w:tcPr>
            <w:tcW w:w="2080" w:type="dxa"/>
            <w:vAlign w:val="bottom"/>
          </w:tcPr>
          <w:p>
            <w:pPr>
              <w:ind w:left="1280"/>
              <w:spacing w:after="0"/>
              <w:rPr>
                <w:sz w:val="20"/>
                <w:szCs w:val="20"/>
                <w:color w:val="auto"/>
              </w:rPr>
            </w:pPr>
            <w:r>
              <w:rPr>
                <w:rFonts w:ascii="Arial" w:cs="Arial" w:eastAsia="Arial" w:hAnsi="Arial"/>
                <w:sz w:val="18"/>
                <w:szCs w:val="18"/>
                <w:color w:val="auto"/>
              </w:rPr>
              <w:t>42</w:t>
            </w:r>
          </w:p>
        </w:tc>
        <w:tc>
          <w:tcPr>
            <w:tcW w:w="4440" w:type="dxa"/>
            <w:vAlign w:val="bottom"/>
          </w:tcPr>
          <w:p>
            <w:pPr>
              <w:ind w:left="56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Kathleen P. Pepski</w:t>
            </w:r>
          </w:p>
        </w:tc>
        <w:tc>
          <w:tcPr>
            <w:tcW w:w="2080" w:type="dxa"/>
            <w:vAlign w:val="bottom"/>
          </w:tcPr>
          <w:p>
            <w:pPr>
              <w:ind w:left="1280"/>
              <w:spacing w:after="0"/>
              <w:rPr>
                <w:sz w:val="20"/>
                <w:szCs w:val="20"/>
                <w:color w:val="auto"/>
              </w:rPr>
            </w:pPr>
            <w:r>
              <w:rPr>
                <w:rFonts w:ascii="Arial" w:cs="Arial" w:eastAsia="Arial" w:hAnsi="Arial"/>
                <w:sz w:val="18"/>
                <w:szCs w:val="18"/>
                <w:color w:val="auto"/>
              </w:rPr>
              <w:t>58</w:t>
            </w:r>
          </w:p>
        </w:tc>
        <w:tc>
          <w:tcPr>
            <w:tcW w:w="4440" w:type="dxa"/>
            <w:vAlign w:val="bottom"/>
          </w:tcPr>
          <w:p>
            <w:pPr>
              <w:ind w:left="56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Richard G. Erstad</w:t>
            </w:r>
          </w:p>
        </w:tc>
        <w:tc>
          <w:tcPr>
            <w:tcW w:w="2080" w:type="dxa"/>
            <w:vAlign w:val="bottom"/>
          </w:tcPr>
          <w:p>
            <w:pPr>
              <w:ind w:left="1280"/>
              <w:spacing w:after="0"/>
              <w:rPr>
                <w:sz w:val="20"/>
                <w:szCs w:val="20"/>
                <w:color w:val="auto"/>
              </w:rPr>
            </w:pPr>
            <w:r>
              <w:rPr>
                <w:rFonts w:ascii="Arial" w:cs="Arial" w:eastAsia="Arial" w:hAnsi="Arial"/>
                <w:sz w:val="18"/>
                <w:szCs w:val="18"/>
                <w:color w:val="auto"/>
              </w:rPr>
              <w:t>49</w:t>
            </w:r>
          </w:p>
        </w:tc>
        <w:tc>
          <w:tcPr>
            <w:tcW w:w="4440" w:type="dxa"/>
            <w:vAlign w:val="bottom"/>
          </w:tcPr>
          <w:p>
            <w:pPr>
              <w:ind w:left="560"/>
              <w:spacing w:after="0"/>
              <w:rPr>
                <w:sz w:val="20"/>
                <w:szCs w:val="20"/>
                <w:color w:val="auto"/>
              </w:rPr>
            </w:pPr>
            <w:r>
              <w:rPr>
                <w:rFonts w:ascii="Arial" w:cs="Arial" w:eastAsia="Arial" w:hAnsi="Arial"/>
                <w:sz w:val="18"/>
                <w:szCs w:val="18"/>
                <w:color w:val="auto"/>
              </w:rPr>
              <w:t>Vice President, General Counsel and Secretary</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Thomas J. Keller</w:t>
            </w:r>
          </w:p>
        </w:tc>
        <w:tc>
          <w:tcPr>
            <w:tcW w:w="2080" w:type="dxa"/>
            <w:vAlign w:val="bottom"/>
          </w:tcPr>
          <w:p>
            <w:pPr>
              <w:ind w:left="1280"/>
              <w:spacing w:after="0"/>
              <w:rPr>
                <w:sz w:val="20"/>
                <w:szCs w:val="20"/>
                <w:color w:val="auto"/>
              </w:rPr>
            </w:pPr>
            <w:r>
              <w:rPr>
                <w:rFonts w:ascii="Arial" w:cs="Arial" w:eastAsia="Arial" w:hAnsi="Arial"/>
                <w:sz w:val="18"/>
                <w:szCs w:val="18"/>
                <w:color w:val="auto"/>
              </w:rPr>
              <w:t>53</w:t>
            </w:r>
          </w:p>
        </w:tc>
        <w:tc>
          <w:tcPr>
            <w:tcW w:w="4440" w:type="dxa"/>
            <w:vAlign w:val="bottom"/>
          </w:tcPr>
          <w:p>
            <w:pPr>
              <w:ind w:left="560"/>
              <w:spacing w:after="0"/>
              <w:rPr>
                <w:sz w:val="20"/>
                <w:szCs w:val="20"/>
                <w:color w:val="auto"/>
              </w:rPr>
            </w:pPr>
            <w:r>
              <w:rPr>
                <w:rFonts w:ascii="Arial" w:cs="Arial" w:eastAsia="Arial" w:hAnsi="Arial"/>
                <w:sz w:val="18"/>
                <w:szCs w:val="18"/>
                <w:color w:val="auto"/>
              </w:rPr>
              <w:t>Vice President — Water Treatment Group</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Theresa R. Moran</w:t>
            </w:r>
          </w:p>
        </w:tc>
        <w:tc>
          <w:tcPr>
            <w:tcW w:w="2080" w:type="dxa"/>
            <w:vAlign w:val="bottom"/>
          </w:tcPr>
          <w:p>
            <w:pPr>
              <w:ind w:left="1280"/>
              <w:spacing w:after="0"/>
              <w:rPr>
                <w:sz w:val="20"/>
                <w:szCs w:val="20"/>
                <w:color w:val="auto"/>
              </w:rPr>
            </w:pPr>
            <w:r>
              <w:rPr>
                <w:rFonts w:ascii="Arial" w:cs="Arial" w:eastAsia="Arial" w:hAnsi="Arial"/>
                <w:sz w:val="18"/>
                <w:szCs w:val="18"/>
                <w:color w:val="auto"/>
              </w:rPr>
              <w:t>50</w:t>
            </w:r>
          </w:p>
        </w:tc>
        <w:tc>
          <w:tcPr>
            <w:tcW w:w="4440" w:type="dxa"/>
            <w:vAlign w:val="bottom"/>
          </w:tcPr>
          <w:p>
            <w:pPr>
              <w:ind w:left="560"/>
              <w:spacing w:after="0"/>
              <w:rPr>
                <w:sz w:val="20"/>
                <w:szCs w:val="20"/>
                <w:color w:val="auto"/>
              </w:rPr>
            </w:pPr>
            <w:r>
              <w:rPr>
                <w:rFonts w:ascii="Arial" w:cs="Arial" w:eastAsia="Arial" w:hAnsi="Arial"/>
                <w:sz w:val="18"/>
                <w:szCs w:val="18"/>
                <w:color w:val="auto"/>
              </w:rPr>
              <w:t>Vice President — Quality and Support</w:t>
            </w: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John R. Sevenich</w:t>
            </w:r>
          </w:p>
        </w:tc>
        <w:tc>
          <w:tcPr>
            <w:tcW w:w="2080" w:type="dxa"/>
            <w:vAlign w:val="bottom"/>
          </w:tcPr>
          <w:p>
            <w:pPr>
              <w:ind w:left="1280"/>
              <w:spacing w:after="0"/>
              <w:rPr>
                <w:sz w:val="20"/>
                <w:szCs w:val="20"/>
                <w:color w:val="auto"/>
              </w:rPr>
            </w:pPr>
            <w:r>
              <w:rPr>
                <w:rFonts w:ascii="Arial" w:cs="Arial" w:eastAsia="Arial" w:hAnsi="Arial"/>
                <w:sz w:val="18"/>
                <w:szCs w:val="18"/>
                <w:color w:val="auto"/>
              </w:rPr>
              <w:t>55</w:t>
            </w:r>
          </w:p>
        </w:tc>
        <w:tc>
          <w:tcPr>
            <w:tcW w:w="4440" w:type="dxa"/>
            <w:vAlign w:val="bottom"/>
          </w:tcPr>
          <w:p>
            <w:pPr>
              <w:ind w:left="560"/>
              <w:spacing w:after="0"/>
              <w:rPr>
                <w:sz w:val="20"/>
                <w:szCs w:val="20"/>
                <w:color w:val="auto"/>
              </w:rPr>
            </w:pPr>
            <w:r>
              <w:rPr>
                <w:rFonts w:ascii="Arial" w:cs="Arial" w:eastAsia="Arial" w:hAnsi="Arial"/>
                <w:sz w:val="18"/>
                <w:szCs w:val="18"/>
                <w:color w:val="auto"/>
              </w:rPr>
              <w:t>Vice President — Industrial Group</w:t>
            </w:r>
          </w:p>
        </w:tc>
      </w:tr>
    </w:tbl>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was appointed to serve as our Chief Executive Officer and President in March 2011. He had previously been promoted to the 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President in March 2010 as part of the Board's succession planning efforts.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8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i w:val="1"/>
          <w:iCs w:val="1"/>
          <w:color w:val="auto"/>
        </w:rPr>
        <w:t xml:space="preserve">Kathleen P. Pepski </w:t>
      </w:r>
      <w:r>
        <w:rPr>
          <w:rFonts w:ascii="Arial" w:cs="Arial" w:eastAsia="Arial" w:hAnsi="Arial"/>
          <w:sz w:val="16"/>
          <w:szCs w:val="16"/>
          <w:color w:val="auto"/>
        </w:rPr>
        <w:t>has been the Company's Vice President, Chief Financial Officer and Treasurer since February 2008 and was Secretary from February</w:t>
      </w:r>
      <w:r>
        <w:rPr>
          <w:rFonts w:ascii="Arial" w:cs="Arial" w:eastAsia="Arial" w:hAnsi="Arial"/>
          <w:sz w:val="16"/>
          <w:szCs w:val="16"/>
          <w:i w:val="1"/>
          <w:iCs w:val="1"/>
          <w:color w:val="auto"/>
        </w:rPr>
        <w:t xml:space="preserve"> </w:t>
      </w:r>
      <w:r>
        <w:rPr>
          <w:rFonts w:ascii="Arial" w:cs="Arial" w:eastAsia="Arial" w:hAnsi="Arial"/>
          <w:sz w:val="16"/>
          <w:szCs w:val="16"/>
          <w:color w:val="auto"/>
        </w:rPr>
        <w:t>2008 to 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58"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i w:val="1"/>
          <w:iCs w:val="1"/>
          <w:color w:val="auto"/>
        </w:rPr>
        <w:t xml:space="preserve">Richard G. Erstad </w:t>
      </w:r>
      <w:r>
        <w:rPr>
          <w:rFonts w:ascii="Arial" w:cs="Arial" w:eastAsia="Arial" w:hAnsi="Arial"/>
          <w:sz w:val="16"/>
          <w:szCs w:val="16"/>
          <w:color w:val="auto"/>
        </w:rPr>
        <w:t>has been the Company's Vice President, General Counsel and Secretary since November 2008. He was General Counsel and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of 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4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the Company's Vice President - Water Treatment Group since April 2012. Prior to attaining this position, Mr. Keller held</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positions during his 32-year tenure with the Company,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the Company's Vice President - Quality and Support since February 2010. Since joining the Company in 1981, Ms. Moran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the Company in a variety of positions, including Administration Operations Manager from 1999 to 2007 and most recently as Director - Process Improvement, a position she held from 2007 until the time of her promotion.</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the Company's Vice President - Industrial Group since May 2000. He was the Business Unit Manager of Manufacturing from</w:t>
      </w:r>
      <w:r>
        <w:rPr>
          <w:rFonts w:ascii="Arial" w:cs="Arial" w:eastAsia="Arial" w:hAnsi="Arial"/>
          <w:sz w:val="18"/>
          <w:szCs w:val="18"/>
          <w:i w:val="1"/>
          <w:iCs w:val="1"/>
          <w:color w:val="auto"/>
        </w:rPr>
        <w:t xml:space="preserve"> </w:t>
      </w:r>
      <w:r>
        <w:rPr>
          <w:rFonts w:ascii="Arial" w:cs="Arial" w:eastAsia="Arial" w:hAnsi="Arial"/>
          <w:sz w:val="18"/>
          <w:szCs w:val="18"/>
          <w:color w:val="auto"/>
        </w:rPr>
        <w:t>1998 to 2000 and was a Sales Representative with the Company from 1989 to 1998.</w:t>
      </w:r>
    </w:p>
    <w:p>
      <w:pPr>
        <w:spacing w:after="0" w:line="170"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2012 Proxy Statement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“Compensation of Executive Officers and Directors” of the 2013 Proxy Statement is incorporated herein by this reference.</w:t>
      </w:r>
    </w:p>
    <w:p>
      <w:pPr>
        <w:spacing w:after="0" w:line="302" w:lineRule="exact"/>
        <w:rPr>
          <w:sz w:val="20"/>
          <w:szCs w:val="20"/>
          <w:color w:val="auto"/>
        </w:rPr>
      </w:pPr>
    </w:p>
    <w:p>
      <w:pPr>
        <w:ind w:left="1300" w:right="60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3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2013 Proxy Statement are incorporated herein by this reference.</w:t>
      </w:r>
    </w:p>
    <w:p>
      <w:pPr>
        <w:spacing w:after="0" w:line="24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 of Directors” and “Related Party Transactions” of the 2013 Proxy Statement are incorporated herein by this reference.</w:t>
      </w:r>
    </w:p>
    <w:p>
      <w:pPr>
        <w:spacing w:after="0" w:line="30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“Independent Registered Public Accounting Firm’s Fees” of the 2013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Reports of Independent Registered Public Accounting Firms.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at March 31, 2013 and April 1, 2012.</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fiscal years ended March 31, 2013, April 1, 2012, and April 3, 2011.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March 31, 2013, April 1, 2012, and April 3, 2011.</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Shareholders' Equity for the fiscal years ended March 31, 2013, April 1, 2012, and April 3, 2011.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March 31, 2013, April 1, 2012, and April 3, 2011.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30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financial statement schedule for the fiscal years 2013, 2012 and 2011.</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60"/>
          </w:cols>
          <w:pgMar w:left="240" w:top="125" w:right="39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660" w:val="left"/>
          <w:tab w:leader="none" w:pos="6080" w:val="left"/>
          <w:tab w:leader="none" w:pos="6760" w:val="left"/>
        </w:tabs>
        <w:rPr>
          <w:sz w:val="20"/>
          <w:szCs w:val="20"/>
          <w:color w:val="auto"/>
        </w:rPr>
      </w:pPr>
      <w:r>
        <w:rPr>
          <w:rFonts w:ascii="Arial" w:cs="Arial" w:eastAsia="Arial" w:hAnsi="Arial"/>
          <w:sz w:val="18"/>
          <w:szCs w:val="18"/>
          <w:color w:val="auto"/>
        </w:rPr>
        <w:t>Date:</w:t>
        <w:tab/>
        <w:t>May 30,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5126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40" w:top="125" w:right="27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Each of the undersigned directors of the Company, does hereby make, constitute and appoint Patrick H.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 Patrick H. Hawkins</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22"/>
        </w:trPr>
        <w:tc>
          <w:tcPr>
            <w:tcW w:w="4700" w:type="dxa"/>
            <w:vAlign w:val="bottom"/>
          </w:tcPr>
          <w:p>
            <w:pPr>
              <w:ind w:left="40"/>
              <w:spacing w:after="0"/>
              <w:rPr>
                <w:sz w:val="20"/>
                <w:szCs w:val="20"/>
                <w:color w:val="auto"/>
              </w:rPr>
            </w:pPr>
            <w:r>
              <w:rPr>
                <w:rFonts w:ascii="Arial" w:cs="Arial" w:eastAsia="Arial" w:hAnsi="Arial"/>
                <w:sz w:val="18"/>
                <w:szCs w:val="18"/>
                <w:color w:val="auto"/>
              </w:rPr>
              <w:t>Patrick H. Hawkins, Chief Executive Officer and</w:t>
            </w:r>
          </w:p>
        </w:tc>
        <w:tc>
          <w:tcPr>
            <w:tcW w:w="59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President (Principal Executive Officer) and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Kathleen P. Pepski</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22"/>
        </w:trPr>
        <w:tc>
          <w:tcPr>
            <w:tcW w:w="4700" w:type="dxa"/>
            <w:vAlign w:val="bottom"/>
          </w:tcPr>
          <w:p>
            <w:pPr>
              <w:ind w:left="40"/>
              <w:spacing w:after="0"/>
              <w:rPr>
                <w:sz w:val="20"/>
                <w:szCs w:val="20"/>
                <w:color w:val="auto"/>
              </w:rPr>
            </w:pPr>
            <w:r>
              <w:rPr>
                <w:rFonts w:ascii="Arial" w:cs="Arial" w:eastAsia="Arial" w:hAnsi="Arial"/>
                <w:sz w:val="18"/>
                <w:szCs w:val="18"/>
                <w:color w:val="auto"/>
              </w:rPr>
              <w:t>Kathleen P. Pepski, Vice President, Chief Financial</w:t>
            </w:r>
          </w:p>
        </w:tc>
        <w:tc>
          <w:tcPr>
            <w:tcW w:w="5920" w:type="dxa"/>
            <w:vAlign w:val="bottom"/>
          </w:tcPr>
          <w:p>
            <w:pPr>
              <w:spacing w:after="0"/>
              <w:rPr>
                <w:sz w:val="19"/>
                <w:szCs w:val="19"/>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Officer, and Treasurer (Principal Financial Officer</w:t>
            </w:r>
          </w:p>
        </w:tc>
        <w:tc>
          <w:tcPr>
            <w:tcW w:w="5920" w:type="dxa"/>
            <w:vAlign w:val="bottom"/>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John S. McKeon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S. McKeon, Director, Chairman of the Board</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Duane M. Jergenson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Duane M. Jergenson,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Daryl I. Skaar</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Daryl I. Skaar,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James A. Faulconbridge</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James A. Faulconbridge,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James T. Thompson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James T. Thompson,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Jeffrey L. Wright</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Jeffrey L. Wright, Director</w:t>
            </w:r>
          </w:p>
        </w:tc>
        <w:tc>
          <w:tcPr>
            <w:tcW w:w="5920" w:type="dxa"/>
            <w:vAlign w:val="bottom"/>
          </w:tcPr>
          <w:p>
            <w:pPr>
              <w:spacing w:after="0"/>
              <w:rPr>
                <w:sz w:val="20"/>
                <w:szCs w:val="20"/>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Mary J. Schumacher</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30, 2013</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Mary J. Schumacher, Director</w:t>
            </w:r>
          </w:p>
        </w:tc>
        <w:tc>
          <w:tcPr>
            <w:tcW w:w="5920" w:type="dxa"/>
            <w:vAlign w:val="bottom"/>
          </w:tcPr>
          <w:p>
            <w:pPr>
              <w:spacing w:after="0"/>
              <w:rPr>
                <w:sz w:val="20"/>
                <w:szCs w:val="20"/>
                <w:color w:val="auto"/>
              </w:rPr>
            </w:pPr>
          </w:p>
        </w:tc>
      </w:tr>
      <w:tr>
        <w:trPr>
          <w:trHeight w:val="783"/>
        </w:trPr>
        <w:tc>
          <w:tcPr>
            <w:tcW w:w="4700" w:type="dxa"/>
            <w:vAlign w:val="bottom"/>
          </w:tcPr>
          <w:p>
            <w:pPr>
              <w:spacing w:after="0"/>
              <w:rPr>
                <w:sz w:val="24"/>
                <w:szCs w:val="24"/>
                <w:color w:val="auto"/>
              </w:rPr>
            </w:pPr>
          </w:p>
        </w:tc>
        <w:tc>
          <w:tcPr>
            <w:tcW w:w="5920" w:type="dxa"/>
            <w:vAlign w:val="bottom"/>
          </w:tcPr>
          <w:p>
            <w:pPr>
              <w:ind w:left="920"/>
              <w:spacing w:after="0"/>
              <w:rPr>
                <w:sz w:val="20"/>
                <w:szCs w:val="20"/>
                <w:color w:val="auto"/>
              </w:rPr>
            </w:pPr>
            <w:r>
              <w:rPr>
                <w:rFonts w:ascii="Arial" w:cs="Arial" w:eastAsia="Arial" w:hAnsi="Arial"/>
                <w:sz w:val="18"/>
                <w:szCs w:val="18"/>
                <w:color w:val="auto"/>
              </w:rPr>
              <w:t>44</w:t>
            </w:r>
          </w:p>
        </w:tc>
      </w:tr>
    </w:tbl>
    <w:p>
      <w:pPr>
        <w:sectPr>
          <w:pgSz w:w="11900" w:h="16838" w:orient="portrait"/>
          <w:cols w:equalWidth="0" w:num="1">
            <w:col w:w="11300"/>
          </w:cols>
          <w:pgMar w:left="24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MARCH 31, 2013, APRIL 1, 2012, AND APRIL 3, 2011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8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4"/>
              </w:rPr>
              <w:t>Charged to</w:t>
            </w:r>
          </w:p>
        </w:tc>
        <w:tc>
          <w:tcPr>
            <w:tcW w:w="40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36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Costs and</w:t>
            </w:r>
          </w:p>
        </w:tc>
        <w:tc>
          <w:tcPr>
            <w:tcW w:w="40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8" w:lineRule="exact"/>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3"/>
                <w:szCs w:val="13"/>
                <w:color w:val="auto"/>
              </w:rPr>
            </w:pPr>
          </w:p>
        </w:tc>
        <w:tc>
          <w:tcPr>
            <w:tcW w:w="1180" w:type="dxa"/>
            <w:vAlign w:val="bottom"/>
          </w:tcPr>
          <w:p>
            <w:pPr>
              <w:jc w:val="center"/>
              <w:ind w:right="159"/>
              <w:spacing w:after="0" w:line="158" w:lineRule="exact"/>
              <w:rPr>
                <w:sz w:val="20"/>
                <w:szCs w:val="20"/>
                <w:color w:val="auto"/>
              </w:rPr>
            </w:pPr>
            <w:r>
              <w:rPr>
                <w:rFonts w:ascii="Arial" w:cs="Arial" w:eastAsia="Arial" w:hAnsi="Arial"/>
                <w:sz w:val="14"/>
                <w:szCs w:val="14"/>
                <w:b w:val="1"/>
                <w:bCs w:val="1"/>
                <w:color w:val="auto"/>
                <w:w w:val="88"/>
              </w:rPr>
              <w:t>Expenses</w:t>
            </w:r>
          </w:p>
        </w:tc>
        <w:tc>
          <w:tcPr>
            <w:tcW w:w="40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4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31, 2013:</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1, 2012:</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3, 2011:</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300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19"/>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11" w:lineRule="exact"/>
        <w:rPr>
          <w:sz w:val="20"/>
          <w:szCs w:val="20"/>
          <w:color w:val="auto"/>
        </w:rPr>
      </w:pPr>
    </w:p>
    <w:tbl>
      <w:tblPr>
        <w:tblLayout w:type="fixed"/>
        <w:tblInd w:w="1360" w:type="dxa"/>
        <w:tblCellMar>
          <w:top w:w="0" w:type="dxa"/>
          <w:left w:w="0" w:type="dxa"/>
          <w:bottom w:w="0" w:type="dxa"/>
          <w:right w:w="0" w:type="dxa"/>
        </w:tblCellMar>
      </w:tblPr>
      <w:tr>
        <w:trPr>
          <w:trHeight w:val="186"/>
        </w:trPr>
        <w:tc>
          <w:tcPr>
            <w:tcW w:w="780" w:type="dxa"/>
            <w:vAlign w:val="bottom"/>
          </w:tcPr>
          <w:p>
            <w:pPr>
              <w:jc w:val="right"/>
              <w:ind w:right="211"/>
              <w:spacing w:after="0"/>
              <w:rPr>
                <w:sz w:val="20"/>
                <w:szCs w:val="20"/>
                <w:color w:val="auto"/>
              </w:rPr>
            </w:pPr>
            <w:r>
              <w:rPr>
                <w:rFonts w:ascii="Arial" w:cs="Arial" w:eastAsia="Arial" w:hAnsi="Arial"/>
                <w:sz w:val="14"/>
                <w:szCs w:val="14"/>
                <w:b w:val="1"/>
                <w:bCs w:val="1"/>
                <w:color w:val="auto"/>
                <w:w w:val="98"/>
              </w:rPr>
              <w:t>Exhibit</w:t>
            </w:r>
          </w:p>
        </w:tc>
        <w:tc>
          <w:tcPr>
            <w:tcW w:w="7120" w:type="dxa"/>
            <w:vAlign w:val="bottom"/>
          </w:tcPr>
          <w:p>
            <w:pPr>
              <w:ind w:left="3240"/>
              <w:spacing w:after="0"/>
              <w:rPr>
                <w:sz w:val="20"/>
                <w:szCs w:val="20"/>
                <w:color w:val="auto"/>
              </w:rPr>
            </w:pPr>
            <w:r>
              <w:rPr>
                <w:rFonts w:ascii="Arial" w:cs="Arial" w:eastAsia="Arial" w:hAnsi="Arial"/>
                <w:sz w:val="14"/>
                <w:szCs w:val="14"/>
                <w:b w:val="1"/>
                <w:bCs w:val="1"/>
                <w:color w:val="auto"/>
              </w:rPr>
              <w:t>Description</w:t>
            </w:r>
          </w:p>
        </w:tc>
        <w:tc>
          <w:tcPr>
            <w:tcW w:w="1900" w:type="dxa"/>
            <w:vAlign w:val="bottom"/>
          </w:tcPr>
          <w:p>
            <w:pPr>
              <w:ind w:left="260"/>
              <w:spacing w:after="0"/>
              <w:rPr>
                <w:sz w:val="20"/>
                <w:szCs w:val="20"/>
                <w:color w:val="auto"/>
              </w:rPr>
            </w:pPr>
            <w:r>
              <w:rPr>
                <w:rFonts w:ascii="Arial" w:cs="Arial" w:eastAsia="Arial" w:hAnsi="Arial"/>
                <w:sz w:val="14"/>
                <w:szCs w:val="14"/>
                <w:b w:val="1"/>
                <w:bCs w:val="1"/>
                <w:color w:val="auto"/>
              </w:rPr>
              <w:t>Method of Filing</w:t>
            </w:r>
          </w:p>
        </w:tc>
      </w:tr>
      <w:tr>
        <w:trPr>
          <w:trHeight w:val="565"/>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7120" w:type="dxa"/>
            <w:vAlign w:val="bottom"/>
          </w:tcPr>
          <w:p>
            <w:pPr>
              <w:ind w:left="320"/>
              <w:spacing w:after="0"/>
              <w:rPr>
                <w:sz w:val="20"/>
                <w:szCs w:val="20"/>
                <w:color w:val="auto"/>
              </w:rPr>
            </w:pPr>
            <w:r>
              <w:rPr>
                <w:rFonts w:ascii="Arial" w:cs="Arial" w:eastAsia="Arial" w:hAnsi="Arial"/>
                <w:sz w:val="18"/>
                <w:szCs w:val="18"/>
                <w:color w:val="auto"/>
              </w:rPr>
              <w:t>Amended and Second Restated Articles of Incorporation.(1)</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7120" w:type="dxa"/>
            <w:vAlign w:val="bottom"/>
          </w:tcPr>
          <w:p>
            <w:pPr>
              <w:ind w:left="320"/>
              <w:spacing w:after="0"/>
              <w:rPr>
                <w:sz w:val="20"/>
                <w:szCs w:val="20"/>
                <w:color w:val="auto"/>
              </w:rPr>
            </w:pPr>
            <w:r>
              <w:rPr>
                <w:rFonts w:ascii="Arial" w:cs="Arial" w:eastAsia="Arial" w:hAnsi="Arial"/>
                <w:sz w:val="18"/>
                <w:szCs w:val="18"/>
                <w:color w:val="auto"/>
              </w:rPr>
              <w:t>Amended and Restated By-Laws.(2)</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120" w:type="dxa"/>
            <w:vAlign w:val="bottom"/>
          </w:tcPr>
          <w:p>
            <w:pPr>
              <w:ind w:left="320"/>
              <w:spacing w:after="0"/>
              <w:rPr>
                <w:sz w:val="20"/>
                <w:szCs w:val="20"/>
                <w:color w:val="auto"/>
              </w:rPr>
            </w:pPr>
            <w:r>
              <w:rPr>
                <w:rFonts w:ascii="Arial" w:cs="Arial" w:eastAsia="Arial" w:hAnsi="Arial"/>
                <w:sz w:val="18"/>
                <w:szCs w:val="18"/>
                <w:color w:val="auto"/>
              </w:rPr>
              <w:t>Description of Consulting Arrangement with John S. McKeon.(3)</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10.2*</w:t>
            </w:r>
          </w:p>
        </w:tc>
        <w:tc>
          <w:tcPr>
            <w:tcW w:w="7120" w:type="dxa"/>
            <w:vAlign w:val="bottom"/>
          </w:tcPr>
          <w:p>
            <w:pPr>
              <w:ind w:left="320"/>
              <w:spacing w:after="0"/>
              <w:rPr>
                <w:sz w:val="20"/>
                <w:szCs w:val="20"/>
                <w:color w:val="auto"/>
              </w:rPr>
            </w:pPr>
            <w:r>
              <w:rPr>
                <w:rFonts w:ascii="Arial" w:cs="Arial" w:eastAsia="Arial" w:hAnsi="Arial"/>
                <w:sz w:val="18"/>
                <w:szCs w:val="18"/>
                <w:color w:val="auto"/>
              </w:rPr>
              <w:t>Hawkins, Inc. 2004 Omnibus Stock Plan.(4)</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10.3*</w:t>
            </w: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Form of Restricted Stock Agreement under the Company’s 2004 Omnibus Stock Plan.(5)</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10.4*</w:t>
            </w:r>
          </w:p>
        </w:tc>
        <w:tc>
          <w:tcPr>
            <w:tcW w:w="7120" w:type="dxa"/>
            <w:vAlign w:val="bottom"/>
          </w:tcPr>
          <w:p>
            <w:pPr>
              <w:ind w:left="320"/>
              <w:spacing w:after="0"/>
              <w:rPr>
                <w:sz w:val="20"/>
                <w:szCs w:val="20"/>
                <w:color w:val="auto"/>
              </w:rPr>
            </w:pPr>
            <w:r>
              <w:rPr>
                <w:rFonts w:ascii="Arial" w:cs="Arial" w:eastAsia="Arial" w:hAnsi="Arial"/>
                <w:sz w:val="18"/>
                <w:szCs w:val="18"/>
                <w:color w:val="auto"/>
                <w:w w:val="99"/>
              </w:rPr>
              <w:t>Form of Restricted Stock Agreement (Directors) under the Company’s 2004 Omnibus</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Stock Plan.(6)</w:t>
            </w: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10.5*</w:t>
            </w:r>
          </w:p>
        </w:tc>
        <w:tc>
          <w:tcPr>
            <w:tcW w:w="7120" w:type="dxa"/>
            <w:vAlign w:val="bottom"/>
          </w:tcPr>
          <w:p>
            <w:pPr>
              <w:ind w:left="320"/>
              <w:spacing w:after="0"/>
              <w:rPr>
                <w:sz w:val="20"/>
                <w:szCs w:val="20"/>
                <w:color w:val="auto"/>
              </w:rPr>
            </w:pPr>
            <w:r>
              <w:rPr>
                <w:rFonts w:ascii="Arial" w:cs="Arial" w:eastAsia="Arial" w:hAnsi="Arial"/>
                <w:sz w:val="18"/>
                <w:szCs w:val="18"/>
                <w:color w:val="auto"/>
              </w:rPr>
              <w:t>Form of Non-Statutory Stock Option Agreement under the Company’s 2004 Omnibus</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Stock Plan.(7)</w:t>
            </w: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10.6*</w:t>
            </w:r>
          </w:p>
        </w:tc>
        <w:tc>
          <w:tcPr>
            <w:tcW w:w="7120" w:type="dxa"/>
            <w:vAlign w:val="bottom"/>
          </w:tcPr>
          <w:p>
            <w:pPr>
              <w:ind w:left="320"/>
              <w:spacing w:after="0"/>
              <w:rPr>
                <w:sz w:val="20"/>
                <w:szCs w:val="20"/>
                <w:color w:val="auto"/>
              </w:rPr>
            </w:pPr>
            <w:r>
              <w:rPr>
                <w:rFonts w:ascii="Arial" w:cs="Arial" w:eastAsia="Arial" w:hAnsi="Arial"/>
                <w:sz w:val="18"/>
                <w:szCs w:val="18"/>
                <w:color w:val="auto"/>
                <w:w w:val="99"/>
              </w:rPr>
              <w:t>Form of Performance-Based Restricted Stock Unit Award Notice and Restricted Stock</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Agreement under the Company’s 2004 Omnibus Stock Plan.(8)</w:t>
            </w: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10.7*</w:t>
            </w:r>
          </w:p>
        </w:tc>
        <w:tc>
          <w:tcPr>
            <w:tcW w:w="7120" w:type="dxa"/>
            <w:vAlign w:val="bottom"/>
          </w:tcPr>
          <w:p>
            <w:pPr>
              <w:ind w:left="320"/>
              <w:spacing w:after="0"/>
              <w:rPr>
                <w:sz w:val="20"/>
                <w:szCs w:val="20"/>
                <w:color w:val="auto"/>
              </w:rPr>
            </w:pPr>
            <w:r>
              <w:rPr>
                <w:rFonts w:ascii="Arial" w:cs="Arial" w:eastAsia="Arial" w:hAnsi="Arial"/>
                <w:sz w:val="18"/>
                <w:szCs w:val="18"/>
                <w:color w:val="auto"/>
              </w:rPr>
              <w:t>Hawkins, Inc. 2010 Omnibus Incentive Plan.(9)</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10.8*</w:t>
            </w:r>
          </w:p>
        </w:tc>
        <w:tc>
          <w:tcPr>
            <w:tcW w:w="7120" w:type="dxa"/>
            <w:vAlign w:val="bottom"/>
          </w:tcPr>
          <w:p>
            <w:pPr>
              <w:ind w:left="320"/>
              <w:spacing w:after="0"/>
              <w:rPr>
                <w:sz w:val="20"/>
                <w:szCs w:val="20"/>
                <w:color w:val="auto"/>
              </w:rPr>
            </w:pPr>
            <w:r>
              <w:rPr>
                <w:rFonts w:ascii="Arial" w:cs="Arial" w:eastAsia="Arial" w:hAnsi="Arial"/>
                <w:sz w:val="18"/>
                <w:szCs w:val="18"/>
                <w:color w:val="auto"/>
                <w:w w:val="93"/>
              </w:rPr>
              <w:t>Form of Performance-Based Unit Award Notice and Restricted Stock Agreement under the</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Company’s 2010 Omnibus Incentive Plan.(10)</w:t>
            </w: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10.9*</w:t>
            </w: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Form of Restricted Stock Agreement under the Company’s 2010 Omnibus Incentive Plan.</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(11)</w:t>
            </w: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w w:val="88"/>
              </w:rPr>
              <w:t>10.10*</w:t>
            </w:r>
          </w:p>
        </w:tc>
        <w:tc>
          <w:tcPr>
            <w:tcW w:w="7120" w:type="dxa"/>
            <w:vAlign w:val="bottom"/>
          </w:tcPr>
          <w:p>
            <w:pPr>
              <w:ind w:left="320"/>
              <w:spacing w:after="0"/>
              <w:rPr>
                <w:sz w:val="20"/>
                <w:szCs w:val="20"/>
                <w:color w:val="auto"/>
              </w:rPr>
            </w:pPr>
            <w:r>
              <w:rPr>
                <w:rFonts w:ascii="Arial" w:cs="Arial" w:eastAsia="Arial" w:hAnsi="Arial"/>
                <w:sz w:val="18"/>
                <w:szCs w:val="18"/>
                <w:color w:val="auto"/>
              </w:rPr>
              <w:t>Hawkins, Inc. Executive Severance Plan.(12)</w:t>
            </w:r>
          </w:p>
        </w:tc>
        <w:tc>
          <w:tcPr>
            <w:tcW w:w="1900" w:type="dxa"/>
            <w:vAlign w:val="bottom"/>
          </w:tcPr>
          <w:p>
            <w:pPr>
              <w:ind w:left="260"/>
              <w:spacing w:after="0"/>
              <w:rPr>
                <w:sz w:val="20"/>
                <w:szCs w:val="20"/>
                <w:color w:val="auto"/>
              </w:rPr>
            </w:pPr>
            <w:r>
              <w:rPr>
                <w:rFonts w:ascii="Arial" w:cs="Arial" w:eastAsia="Arial" w:hAnsi="Arial"/>
                <w:sz w:val="18"/>
                <w:szCs w:val="18"/>
                <w:color w:val="auto"/>
              </w:rPr>
              <w:t>Incorporated by</w:t>
            </w:r>
          </w:p>
        </w:tc>
      </w:tr>
      <w:tr>
        <w:trPr>
          <w:trHeight w:val="230"/>
        </w:trPr>
        <w:tc>
          <w:tcPr>
            <w:tcW w:w="78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900" w:type="dxa"/>
            <w:vAlign w:val="bottom"/>
          </w:tcPr>
          <w:p>
            <w:pPr>
              <w:ind w:left="260"/>
              <w:spacing w:after="0"/>
              <w:rPr>
                <w:sz w:val="20"/>
                <w:szCs w:val="20"/>
                <w:color w:val="auto"/>
              </w:rPr>
            </w:pPr>
            <w:r>
              <w:rPr>
                <w:rFonts w:ascii="Arial" w:cs="Arial" w:eastAsia="Arial" w:hAnsi="Arial"/>
                <w:sz w:val="18"/>
                <w:szCs w:val="18"/>
                <w:color w:val="auto"/>
              </w:rPr>
              <w:t>Reference</w:t>
            </w:r>
          </w:p>
        </w:tc>
      </w:tr>
      <w:tr>
        <w:trPr>
          <w:trHeight w:val="392"/>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7120" w:type="dxa"/>
            <w:vAlign w:val="bottom"/>
          </w:tcPr>
          <w:p>
            <w:pPr>
              <w:ind w:left="320"/>
              <w:spacing w:after="0"/>
              <w:rPr>
                <w:sz w:val="20"/>
                <w:szCs w:val="20"/>
                <w:color w:val="auto"/>
              </w:rPr>
            </w:pPr>
            <w:r>
              <w:rPr>
                <w:rFonts w:ascii="Arial" w:cs="Arial" w:eastAsia="Arial" w:hAnsi="Arial"/>
                <w:sz w:val="18"/>
                <w:szCs w:val="18"/>
                <w:color w:val="auto"/>
              </w:rPr>
              <w:t>Subsidiaries of the registrant</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405"/>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23.1</w:t>
            </w:r>
          </w:p>
        </w:tc>
        <w:tc>
          <w:tcPr>
            <w:tcW w:w="7120" w:type="dxa"/>
            <w:vAlign w:val="bottom"/>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31.1</w:t>
            </w:r>
          </w:p>
        </w:tc>
        <w:tc>
          <w:tcPr>
            <w:tcW w:w="7120" w:type="dxa"/>
            <w:vAlign w:val="bottom"/>
          </w:tcPr>
          <w:p>
            <w:pPr>
              <w:ind w:left="320"/>
              <w:spacing w:after="0"/>
              <w:rPr>
                <w:sz w:val="20"/>
                <w:szCs w:val="20"/>
                <w:color w:val="auto"/>
              </w:rPr>
            </w:pPr>
            <w:r>
              <w:rPr>
                <w:rFonts w:ascii="Arial" w:cs="Arial" w:eastAsia="Arial" w:hAnsi="Arial"/>
                <w:sz w:val="18"/>
                <w:szCs w:val="18"/>
                <w:color w:val="auto"/>
                <w:w w:val="97"/>
              </w:rPr>
              <w:t>Certification by Chief Executive Officer pursuant to Rule 13a-14(a) of the Exchange Act.</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31.2</w:t>
            </w:r>
          </w:p>
        </w:tc>
        <w:tc>
          <w:tcPr>
            <w:tcW w:w="7120" w:type="dxa"/>
            <w:vAlign w:val="bottom"/>
          </w:tcPr>
          <w:p>
            <w:pPr>
              <w:ind w:left="320"/>
              <w:spacing w:after="0"/>
              <w:rPr>
                <w:sz w:val="20"/>
                <w:szCs w:val="20"/>
                <w:color w:val="auto"/>
              </w:rPr>
            </w:pPr>
            <w:r>
              <w:rPr>
                <w:rFonts w:ascii="Arial" w:cs="Arial" w:eastAsia="Arial" w:hAnsi="Arial"/>
                <w:sz w:val="18"/>
                <w:szCs w:val="18"/>
                <w:color w:val="auto"/>
                <w:w w:val="97"/>
              </w:rPr>
              <w:t>Certification by Chief Financial Officer pursuant to Rule 13a-14(a) of the Exchange Act.</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32.1</w:t>
            </w:r>
          </w:p>
        </w:tc>
        <w:tc>
          <w:tcPr>
            <w:tcW w:w="7120" w:type="dxa"/>
            <w:vAlign w:val="bottom"/>
          </w:tcPr>
          <w:p>
            <w:pPr>
              <w:ind w:left="320"/>
              <w:spacing w:after="0"/>
              <w:rPr>
                <w:sz w:val="20"/>
                <w:szCs w:val="20"/>
                <w:color w:val="auto"/>
              </w:rPr>
            </w:pPr>
            <w:r>
              <w:rPr>
                <w:rFonts w:ascii="Arial" w:cs="Arial" w:eastAsia="Arial" w:hAnsi="Arial"/>
                <w:sz w:val="18"/>
                <w:szCs w:val="18"/>
                <w:color w:val="auto"/>
              </w:rPr>
              <w:t>Section 1350 Certification by Chief Executive Officer.</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32.2</w:t>
            </w:r>
          </w:p>
        </w:tc>
        <w:tc>
          <w:tcPr>
            <w:tcW w:w="7120" w:type="dxa"/>
            <w:vAlign w:val="bottom"/>
          </w:tcPr>
          <w:p>
            <w:pPr>
              <w:ind w:left="320"/>
              <w:spacing w:after="0"/>
              <w:rPr>
                <w:sz w:val="20"/>
                <w:szCs w:val="20"/>
                <w:color w:val="auto"/>
              </w:rPr>
            </w:pPr>
            <w:r>
              <w:rPr>
                <w:rFonts w:ascii="Arial" w:cs="Arial" w:eastAsia="Arial" w:hAnsi="Arial"/>
                <w:sz w:val="18"/>
                <w:szCs w:val="18"/>
                <w:color w:val="auto"/>
              </w:rPr>
              <w:t>Section 1350 Certification by Chief Financial Officer.</w:t>
            </w:r>
          </w:p>
        </w:tc>
        <w:tc>
          <w:tcPr>
            <w:tcW w:w="1900" w:type="dxa"/>
            <w:vAlign w:val="bottom"/>
          </w:tcPr>
          <w:p>
            <w:pPr>
              <w:ind w:left="480"/>
              <w:spacing w:after="0"/>
              <w:rPr>
                <w:sz w:val="20"/>
                <w:szCs w:val="20"/>
                <w:color w:val="auto"/>
              </w:rPr>
            </w:pPr>
            <w:r>
              <w:rPr>
                <w:rFonts w:ascii="Arial" w:cs="Arial" w:eastAsia="Arial" w:hAnsi="Arial"/>
                <w:sz w:val="18"/>
                <w:szCs w:val="18"/>
                <w:color w:val="auto"/>
                <w:w w:val="93"/>
              </w:rPr>
              <w:t>Filed Electronically</w:t>
            </w:r>
          </w:p>
        </w:tc>
      </w:tr>
      <w:tr>
        <w:trPr>
          <w:trHeight w:val="377"/>
        </w:trPr>
        <w:tc>
          <w:tcPr>
            <w:tcW w:w="78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120" w:type="dxa"/>
            <w:vAlign w:val="bottom"/>
          </w:tcPr>
          <w:p>
            <w:pPr>
              <w:ind w:left="320"/>
              <w:spacing w:after="0"/>
              <w:rPr>
                <w:sz w:val="20"/>
                <w:szCs w:val="20"/>
                <w:color w:val="auto"/>
              </w:rPr>
            </w:pPr>
            <w:r>
              <w:rPr>
                <w:rFonts w:ascii="Arial" w:cs="Arial" w:eastAsia="Arial" w:hAnsi="Arial"/>
                <w:sz w:val="18"/>
                <w:szCs w:val="18"/>
                <w:color w:val="auto"/>
              </w:rPr>
              <w:t>Financial statements from the Annual Report on Form 10-K of Hawkins, Inc. for the</w:t>
            </w:r>
          </w:p>
        </w:tc>
        <w:tc>
          <w:tcPr>
            <w:tcW w:w="19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period ended March 31, 2013, filed with the SEC on May 30, 2013, formatted in</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Extensible Business Reporting Language (XBRL); (i) the Consolidated Balance Sheets at</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March 31, 2013 and April 1, 2012, (ii) the Consolidated Statements of Income for the</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fiscal years ended March 31, 2013, April 1, 2012, and April 3, 2011, (iii) the Consolidated</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6"/>
              </w:rPr>
              <w:t>Statements of Comprehensive Income (Loss) for the fiscal years ended March 31, 2013,</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April 1, 2012, and April 3, 2011, (iv) the Consolidated Statements of Shareholders' Equity</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rPr>
              <w:t>for the fiscal years ended March 31, 2013, April 1, 2012, and April 3, 2011, (v)</w:t>
            </w:r>
          </w:p>
        </w:tc>
        <w:tc>
          <w:tcPr>
            <w:tcW w:w="1900" w:type="dxa"/>
            <w:vAlign w:val="bottom"/>
          </w:tcPr>
          <w:p>
            <w:pPr>
              <w:spacing w:after="0"/>
              <w:rPr>
                <w:sz w:val="18"/>
                <w:szCs w:val="18"/>
                <w:color w:val="auto"/>
              </w:rPr>
            </w:pPr>
          </w:p>
        </w:tc>
      </w:tr>
      <w:tr>
        <w:trPr>
          <w:trHeight w:val="216"/>
        </w:trPr>
        <w:tc>
          <w:tcPr>
            <w:tcW w:w="780" w:type="dxa"/>
            <w:vAlign w:val="bottom"/>
          </w:tcPr>
          <w:p>
            <w:pPr>
              <w:spacing w:after="0"/>
              <w:rPr>
                <w:sz w:val="18"/>
                <w:szCs w:val="18"/>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3"/>
              </w:rPr>
              <w:t>Consolidated Statements of Cash Flows for the fiscal years ended March 31, 2013, April 1,</w:t>
            </w:r>
          </w:p>
        </w:tc>
        <w:tc>
          <w:tcPr>
            <w:tcW w:w="190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p>
        </w:tc>
        <w:tc>
          <w:tcPr>
            <w:tcW w:w="7120" w:type="dxa"/>
            <w:vAlign w:val="bottom"/>
          </w:tcPr>
          <w:p>
            <w:pPr>
              <w:ind w:left="320"/>
              <w:spacing w:after="0"/>
              <w:rPr>
                <w:sz w:val="20"/>
                <w:szCs w:val="20"/>
                <w:color w:val="auto"/>
              </w:rPr>
            </w:pPr>
            <w:r>
              <w:rPr>
                <w:rFonts w:ascii="Arial" w:cs="Arial" w:eastAsia="Arial" w:hAnsi="Arial"/>
                <w:sz w:val="18"/>
                <w:szCs w:val="18"/>
                <w:color w:val="auto"/>
                <w:w w:val="95"/>
              </w:rPr>
              <w:t>2012, and April 3, 2011, and (iv) Notes to Condensed Consolidated Financial Statements.</w:t>
            </w:r>
          </w:p>
        </w:tc>
        <w:tc>
          <w:tcPr>
            <w:tcW w:w="1900" w:type="dxa"/>
            <w:vAlign w:val="bottom"/>
          </w:tcPr>
          <w:p>
            <w:pPr>
              <w:ind w:left="260"/>
              <w:spacing w:after="0"/>
              <w:rPr>
                <w:sz w:val="20"/>
                <w:szCs w:val="20"/>
                <w:color w:val="auto"/>
              </w:rPr>
            </w:pPr>
            <w:r>
              <w:rPr>
                <w:rFonts w:ascii="Arial" w:cs="Arial" w:eastAsia="Arial" w:hAnsi="Arial"/>
                <w:sz w:val="18"/>
                <w:szCs w:val="18"/>
                <w:color w:val="auto"/>
              </w:rPr>
              <w:t>Filed Electronically</w:t>
            </w:r>
          </w:p>
        </w:tc>
      </w:tr>
    </w:tbl>
    <w:p>
      <w:pPr>
        <w:spacing w:after="0" w:line="200" w:lineRule="exact"/>
        <w:rPr>
          <w:sz w:val="20"/>
          <w:szCs w:val="20"/>
          <w:color w:val="auto"/>
        </w:rPr>
      </w:pPr>
    </w:p>
    <w:p>
      <w:pPr>
        <w:sectPr>
          <w:pgSz w:w="11900" w:h="16838" w:orient="portrait"/>
          <w:cols w:equalWidth="0" w:num="1">
            <w:col w:w="11160"/>
          </w:cols>
          <w:pgMar w:left="240" w:top="125" w:right="499" w:bottom="1440" w:gutter="0" w:footer="0" w:header="0"/>
        </w:sectPr>
      </w:pP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60"/>
          </w:cols>
          <w:pgMar w:left="240" w:top="125" w:right="49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20" w:hanging="685"/>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Management contract or compensation plan or arrangement required to be filed as an exhibit to this Annual Report on Form 10-K.</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13" w:lineRule="exact"/>
        <w:rPr>
          <w:rFonts w:ascii="Arial" w:cs="Arial" w:eastAsia="Arial" w:hAnsi="Arial"/>
          <w:sz w:val="16"/>
          <w:szCs w:val="16"/>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Item 1.01 of the Company’s Current Report on Form 8-K dated August 5, 2009 and filed August 11, 2009.</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113" w:lineRule="exact"/>
        <w:rPr>
          <w:rFonts w:ascii="Arial" w:cs="Arial" w:eastAsia="Arial" w:hAnsi="Arial"/>
          <w:sz w:val="16"/>
          <w:szCs w:val="16"/>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September 30.</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Incorporated by reference to Exhibit 10.1 to the Company’s Quarterly Report on Form 10-Q for the quarterly period ended September 30, 2008.</w:t>
      </w:r>
    </w:p>
    <w:p>
      <w:pPr>
        <w:spacing w:after="0" w:line="113" w:lineRule="exact"/>
        <w:rPr>
          <w:rFonts w:ascii="Arial" w:cs="Arial" w:eastAsia="Arial" w:hAnsi="Arial"/>
          <w:sz w:val="16"/>
          <w:szCs w:val="16"/>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2008.</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101" w:lineRule="exact"/>
        <w:rPr>
          <w:rFonts w:ascii="Arial" w:cs="Arial" w:eastAsia="Arial" w:hAnsi="Arial"/>
          <w:sz w:val="17"/>
          <w:szCs w:val="17"/>
          <w:color w:val="auto"/>
        </w:rPr>
      </w:pPr>
    </w:p>
    <w:p>
      <w:pPr>
        <w:ind w:left="540" w:hanging="316"/>
        <w:spacing w:after="0"/>
        <w:tabs>
          <w:tab w:leader="none" w:pos="540" w:val="left"/>
        </w:tabs>
        <w:numPr>
          <w:ilvl w:val="1"/>
          <w:numId w:val="7"/>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20"/>
          </w:cols>
          <w:pgMar w:left="240" w:top="125" w:right="7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Hawkins,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0"/>
              </w:rPr>
              <w:t>Subsidiary</w:t>
            </w:r>
          </w:p>
        </w:tc>
        <w:tc>
          <w:tcPr>
            <w:tcW w:w="1480" w:type="dxa"/>
            <w:vAlign w:val="bottom"/>
          </w:tcPr>
          <w:p>
            <w:pPr>
              <w:spacing w:after="0"/>
              <w:rPr>
                <w:sz w:val="17"/>
                <w:szCs w:val="17"/>
                <w:color w:val="auto"/>
              </w:rPr>
            </w:pPr>
          </w:p>
        </w:tc>
        <w:tc>
          <w:tcPr>
            <w:tcW w:w="2120" w:type="dxa"/>
            <w:vAlign w:val="bottom"/>
            <w:gridSpan w:val="3"/>
          </w:tcPr>
          <w:p>
            <w:pPr>
              <w:ind w:left="140"/>
              <w:spacing w:after="0"/>
              <w:rPr>
                <w:sz w:val="20"/>
                <w:szCs w:val="20"/>
                <w:color w:val="auto"/>
              </w:rPr>
            </w:pPr>
            <w:r>
              <w:rPr>
                <w:rFonts w:ascii="Arial" w:cs="Arial" w:eastAsia="Arial" w:hAnsi="Arial"/>
                <w:sz w:val="18"/>
                <w:szCs w:val="18"/>
                <w:color w:val="auto"/>
              </w:rPr>
              <w:t>State of Organization</w:t>
            </w:r>
          </w:p>
        </w:tc>
      </w:tr>
      <w:tr>
        <w:trPr>
          <w:trHeight w:val="20"/>
        </w:trPr>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260" w:type="dxa"/>
            <w:vAlign w:val="bottom"/>
            <w:gridSpan w:val="2"/>
          </w:tcPr>
          <w:p>
            <w:pPr>
              <w:spacing w:after="0"/>
              <w:rPr>
                <w:sz w:val="20"/>
                <w:szCs w:val="20"/>
                <w:color w:val="auto"/>
              </w:rPr>
            </w:pPr>
            <w:r>
              <w:rPr>
                <w:rFonts w:ascii="Arial" w:cs="Arial" w:eastAsia="Arial" w:hAnsi="Arial"/>
                <w:sz w:val="18"/>
                <w:szCs w:val="18"/>
                <w:color w:val="auto"/>
                <w:w w:val="96"/>
              </w:rPr>
              <w:t>Vertex Chemical Corporation</w:t>
            </w:r>
          </w:p>
        </w:tc>
        <w:tc>
          <w:tcPr>
            <w:tcW w:w="14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18"/>
                <w:szCs w:val="18"/>
                <w:color w:val="auto"/>
                <w:w w:val="89"/>
              </w:rPr>
              <w:t>Minnesota</w:t>
            </w:r>
          </w:p>
        </w:tc>
      </w:tr>
    </w:tbl>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 dated May 30, 2013, with respect to the balance sheets of Hawkins, Inc. as of March 31, 2013 and April 1, 2012, the related statements of income, comprehensive income, shareholders' equity and cash flows for each of the years in the three-year period ended March 31, 2013, the related financial statement schedule and the effectiveness of internal control over financial reporting as of March 31, 2013 which report appears in the March 31, 2013 annual report on Form 10-K of Hawkins, Inc.</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2013</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2013</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30, 2013</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31, 2013,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30, 2013</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31, 2013,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30, 2013</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2019-12-05T10:58:07Z</dcterms:created>
  <dcterms:modified xsi:type="dcterms:W3CDTF">2019-12-05T10:58:07Z</dcterms:modified>
</cp:coreProperties>
</file>