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31" w:lineRule="exact"/>
        <w:rPr>
          <w:sz w:val="24"/>
          <w:szCs w:val="24"/>
          <w:color w:val="auto"/>
        </w:rPr>
      </w:pPr>
    </w:p>
    <w:p>
      <w:pPr>
        <w:ind w:left="540" w:right="1879" w:hanging="532"/>
        <w:spacing w:after="0" w:line="309" w:lineRule="auto"/>
        <w:tabs>
          <w:tab w:leader="none" w:pos="43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December 31, 1995</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right="2519" w:firstLine="8"/>
        <w:spacing w:after="0" w:line="34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623" w:right="1440" w:bottom="1440" w:gutter="0" w:footer="0" w:header="0"/>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115" w:lineRule="exact"/>
        <w:rPr>
          <w:sz w:val="24"/>
          <w:szCs w:val="24"/>
          <w:color w:val="auto"/>
        </w:rPr>
      </w:pPr>
    </w:p>
    <w:p>
      <w:pPr>
        <w:sectPr>
          <w:pgSz w:w="11900" w:h="16838" w:orient="portrait"/>
          <w:cols w:equalWidth="0" w:num="2">
            <w:col w:w="4980" w:space="720"/>
            <w:col w:w="4519"/>
          </w:cols>
          <w:pgMar w:left="240" w:top="623"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4"/>
          <w:szCs w:val="24"/>
          <w:color w:val="auto"/>
        </w:rPr>
      </w:pPr>
    </w:p>
    <w:p>
      <w:pPr>
        <w:sectPr>
          <w:pgSz w:w="11900" w:h="16838" w:orient="portrait"/>
          <w:cols w:equalWidth="0" w:num="2">
            <w:col w:w="5600" w:space="420"/>
            <w:col w:w="419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Commission file number 0-7647</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23" w:right="1440" w:bottom="1440" w:gutter="0" w:footer="0" w:header="0"/>
          <w:type w:val="continuous"/>
        </w:sectPr>
      </w:pPr>
    </w:p>
    <w:p>
      <w:pPr>
        <w:spacing w:after="0" w:line="19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MINNESOTA</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41-0771293</w:t>
      </w:r>
    </w:p>
    <w:p>
      <w:pPr>
        <w:spacing w:after="0" w:line="2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2" w:lineRule="exact"/>
        <w:rPr>
          <w:sz w:val="24"/>
          <w:szCs w:val="24"/>
          <w:color w:val="auto"/>
        </w:rPr>
      </w:pPr>
    </w:p>
    <w:p>
      <w:pPr>
        <w:sectPr>
          <w:pgSz w:w="11900" w:h="16838" w:orient="portrait"/>
          <w:cols w:equalWidth="0" w:num="2">
            <w:col w:w="5180" w:space="720"/>
            <w:col w:w="4319"/>
          </w:cols>
          <w:pgMar w:left="240" w:top="623"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8"/>
          <w:szCs w:val="18"/>
          <w:color w:val="auto"/>
        </w:rPr>
        <w:t>3100 East Hennepin Avenue, Minneapolis, Minnesota 55413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(612)331-6910</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23" w:right="1440" w:bottom="1440" w:gutter="0" w:footer="0" w:header="0"/>
          <w:type w:val="continuous"/>
        </w:sectPr>
      </w:pPr>
    </w:p>
    <w:p>
      <w:pPr>
        <w:spacing w:after="0" w:line="90"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4">
            <w:col w:w="3700" w:space="0"/>
            <w:col w:w="740" w:space="420"/>
            <w:col w:w="200" w:space="0"/>
            <w:col w:w="5159"/>
          </w:cols>
          <w:pgMar w:left="240" w:top="623" w:right="1440" w:bottom="1440" w:gutter="0" w:footer="0" w:header="0"/>
          <w:type w:val="continuous"/>
        </w:sectPr>
      </w:pPr>
    </w:p>
    <w:p>
      <w:pPr>
        <w:ind w:right="2199"/>
        <w:spacing w:after="0" w:line="347"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17"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420" w:type="dxa"/>
            <w:vAlign w:val="bottom"/>
          </w:tcPr>
          <w:p>
            <w:pPr>
              <w:ind w:left="1780"/>
              <w:spacing w:after="0"/>
              <w:rPr>
                <w:sz w:val="20"/>
                <w:szCs w:val="20"/>
                <w:color w:val="auto"/>
              </w:rPr>
            </w:pPr>
            <w:r>
              <w:rPr>
                <w:rFonts w:ascii="Courier New" w:cs="Courier New" w:eastAsia="Courier New" w:hAnsi="Courier New"/>
                <w:sz w:val="18"/>
                <w:szCs w:val="18"/>
                <w:color w:val="auto"/>
              </w:rPr>
              <w:t>Class</w:t>
            </w:r>
          </w:p>
        </w:tc>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w w:val="96"/>
              </w:rPr>
              <w:t>Outstanding at February 13, 1996</w:t>
            </w:r>
          </w:p>
        </w:tc>
        <w:tc>
          <w:tcPr>
            <w:tcW w:w="0" w:type="dxa"/>
            <w:vAlign w:val="bottom"/>
          </w:tcPr>
          <w:p>
            <w:pPr>
              <w:spacing w:after="0"/>
              <w:rPr>
                <w:sz w:val="1"/>
                <w:szCs w:val="1"/>
                <w:color w:val="auto"/>
              </w:rPr>
            </w:pPr>
          </w:p>
        </w:tc>
      </w:tr>
      <w:tr>
        <w:trPr>
          <w:trHeight w:val="203"/>
        </w:trPr>
        <w:tc>
          <w:tcPr>
            <w:tcW w:w="4420" w:type="dxa"/>
            <w:vAlign w:val="bottom"/>
            <w:vMerge w:val="restart"/>
          </w:tcPr>
          <w:p>
            <w:pPr>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bscript"/>
              </w:rPr>
              <w:t>CommonStock,parvalue$.05pershare</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4420" w:type="dxa"/>
            <w:vAlign w:val="bottom"/>
            <w:vMerge w:val="continue"/>
          </w:tcPr>
          <w:p>
            <w:pPr>
              <w:spacing w:after="0"/>
              <w:rPr>
                <w:sz w:val="24"/>
                <w:szCs w:val="24"/>
                <w:color w:val="auto"/>
              </w:rPr>
            </w:pPr>
          </w:p>
        </w:tc>
        <w:tc>
          <w:tcPr>
            <w:tcW w:w="35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10,525,772</w:t>
            </w:r>
          </w:p>
        </w:tc>
        <w:tc>
          <w:tcPr>
            <w:tcW w:w="0" w:type="dxa"/>
            <w:vAlign w:val="bottom"/>
          </w:tcPr>
          <w:p>
            <w:pPr>
              <w:spacing w:after="0"/>
              <w:rPr>
                <w:sz w:val="1"/>
                <w:szCs w:val="1"/>
                <w:color w:val="auto"/>
              </w:rPr>
            </w:pPr>
          </w:p>
        </w:tc>
      </w:tr>
    </w:tbl>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632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HAWKINS CHEMICAL, INC. AND SUBSIDIARIES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6320" w:type="dxa"/>
            <w:vAlign w:val="bottom"/>
          </w:tcPr>
          <w:p>
            <w:pPr>
              <w:ind w:left="2320"/>
              <w:spacing w:after="0"/>
              <w:rPr>
                <w:sz w:val="20"/>
                <w:szCs w:val="20"/>
                <w:color w:val="auto"/>
              </w:rPr>
            </w:pPr>
            <w:r>
              <w:rPr>
                <w:rFonts w:ascii="Courier New" w:cs="Courier New" w:eastAsia="Courier New" w:hAnsi="Courier New"/>
                <w:sz w:val="18"/>
                <w:szCs w:val="18"/>
                <w:color w:val="auto"/>
              </w:rPr>
              <w:t>INDEX TO FORM 10-Q</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c>
          <w:tcPr>
            <w:tcW w:w="0" w:type="dxa"/>
            <w:vAlign w:val="bottom"/>
          </w:tcPr>
          <w:p>
            <w:pPr>
              <w:spacing w:after="0"/>
              <w:rPr>
                <w:sz w:val="1"/>
                <w:szCs w:val="1"/>
                <w:color w:val="auto"/>
              </w:rPr>
            </w:pPr>
          </w:p>
        </w:tc>
      </w:tr>
      <w:tr>
        <w:trPr>
          <w:trHeight w:val="296"/>
        </w:trPr>
        <w:tc>
          <w:tcPr>
            <w:tcW w:w="72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PART  I.FINANCIAL INFORMATION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Consolidated Condensed Balance Sheets - December 31, 1995 and</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8"/>
              </w:rPr>
              <w:t>October 1, 1995...........................................</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Consolidated Condensed Statements of Income - Three</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8"/>
              </w:rPr>
              <w:t>Months Ended December 31, 1995 and 1994...................</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Consolidated Condensed Statements of Cash Flow - Three Months</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8"/>
              </w:rPr>
              <w:t>Ended December 31, 1995 and 1994..........................</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8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Notes to Consolidated Condensed Financial Statements...........</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9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7-8</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Condition and Results of Operations....................</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8"/>
              </w:rPr>
              <w:t>Exhibits and Reports on Form 8-K..........................</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8"/>
              </w:rPr>
              <w:t>Financial Data Schedule...................................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632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2"/>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 w:name="page3"/>
    <w:bookmarkEnd w:id="2"/>
    <w:p>
      <w:pPr>
        <w:ind w:left="2640"/>
        <w:spacing w:after="0"/>
        <w:tabs>
          <w:tab w:leader="none" w:pos="35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0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31, 1995</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OCTOBER 1, 1995</w:t>
            </w:r>
          </w:p>
        </w:tc>
        <w:tc>
          <w:tcPr>
            <w:tcW w:w="0" w:type="dxa"/>
            <w:vAlign w:val="bottom"/>
          </w:tcPr>
          <w:p>
            <w:pPr>
              <w:spacing w:after="0"/>
              <w:rPr>
                <w:sz w:val="1"/>
                <w:szCs w:val="1"/>
                <w:color w:val="auto"/>
              </w:rPr>
            </w:pPr>
          </w:p>
        </w:tc>
      </w:tr>
      <w:tr>
        <w:trPr>
          <w:trHeight w:val="203"/>
        </w:trPr>
        <w:tc>
          <w:tcPr>
            <w:tcW w:w="574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2020" w:type="dxa"/>
            <w:vAlign w:val="bottom"/>
            <w:gridSpan w:val="2"/>
            <w:vMerge w:val="restart"/>
          </w:tcPr>
          <w:p>
            <w:pPr>
              <w:jc w:val="right"/>
              <w:ind w:right="72"/>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(Unaudited)</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(Derived from Audited</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financial statements)</w:t>
            </w:r>
          </w:p>
        </w:tc>
        <w:tc>
          <w:tcPr>
            <w:tcW w:w="0" w:type="dxa"/>
            <w:vAlign w:val="bottom"/>
          </w:tcPr>
          <w:p>
            <w:pPr>
              <w:spacing w:after="0"/>
              <w:rPr>
                <w:sz w:val="1"/>
                <w:szCs w:val="1"/>
                <w:color w:val="auto"/>
              </w:rPr>
            </w:pPr>
          </w:p>
        </w:tc>
      </w:tr>
      <w:tr>
        <w:trPr>
          <w:trHeight w:val="311"/>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8,150,572</w:t>
            </w:r>
          </w:p>
        </w:tc>
        <w:tc>
          <w:tcPr>
            <w:tcW w:w="2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$ 9,906,107</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Investments (fair value approximates cost).......</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8,066,318</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7,968,761</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receivable-net..........................</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9,643,018</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10,512,260</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 receivable..................................</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208,943</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208,943</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7,578,336</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8,663,959</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995,431</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1,647,660</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 current assets........................</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34,642,618</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38,907,690</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plant and equipment-net.....................</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12,469,561</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11,438,895</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 receivable-non current...........................</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695,045</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715,045</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2,632,644</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2,629,184</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50,439,868</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$53,690,814</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2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5,747,597</w:t>
            </w:r>
          </w:p>
        </w:tc>
        <w:tc>
          <w:tcPr>
            <w:tcW w:w="2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$ 8,691,204</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w:t>
            </w:r>
          </w:p>
        </w:tc>
        <w:tc>
          <w:tcPr>
            <w:tcW w:w="5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56,008</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52,344</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4,320,675</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5,822,383</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 current liabilities...................</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10,124,280</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14,565,931</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Long term debt........................................</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572,453</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628,461</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Deferred income taxes.................................</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382,800</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377,800</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par value $.05 per share; issued</w:t>
            </w: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outstanding, 10,525,772 shares and</w:t>
            </w:r>
          </w:p>
        </w:tc>
        <w:tc>
          <w:tcPr>
            <w:tcW w:w="580" w:type="dxa"/>
            <w:vAlign w:val="bottom"/>
          </w:tcPr>
          <w:p>
            <w:pPr>
              <w:spacing w:after="0"/>
              <w:rPr>
                <w:sz w:val="17"/>
                <w:szCs w:val="17"/>
                <w:color w:val="auto"/>
              </w:rPr>
            </w:pPr>
          </w:p>
        </w:tc>
        <w:tc>
          <w:tcPr>
            <w:tcW w:w="14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526,289</w:t>
            </w:r>
          </w:p>
        </w:tc>
        <w:tc>
          <w:tcPr>
            <w:tcW w:w="2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526,289</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10,525,772 shares respectively...................</w:t>
            </w:r>
          </w:p>
        </w:tc>
        <w:tc>
          <w:tcPr>
            <w:tcW w:w="5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34,235,623</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34,235,623</w:t>
            </w:r>
          </w:p>
        </w:tc>
        <w:tc>
          <w:tcPr>
            <w:tcW w:w="0" w:type="dxa"/>
            <w:vAlign w:val="bottom"/>
          </w:tcPr>
          <w:p>
            <w:pPr>
              <w:spacing w:after="0"/>
              <w:rPr>
                <w:sz w:val="1"/>
                <w:szCs w:val="1"/>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4,598,423</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3,356,710</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 shareholders' equity..................</w:t>
            </w:r>
          </w:p>
        </w:tc>
        <w:tc>
          <w:tcPr>
            <w:tcW w:w="58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39,360,335</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38,118,622</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50,439,868</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$53,690,814</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2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740" w:type="dxa"/>
            <w:vAlign w:val="bottom"/>
          </w:tcPr>
          <w:p>
            <w:pPr>
              <w:spacing w:after="0"/>
              <w:rPr>
                <w:sz w:val="24"/>
                <w:szCs w:val="24"/>
                <w:color w:val="auto"/>
              </w:rPr>
            </w:pPr>
          </w:p>
        </w:tc>
        <w:tc>
          <w:tcPr>
            <w:tcW w:w="20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793"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STATEMENTS OF INCOME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9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960" w:type="dxa"/>
            <w:vAlign w:val="bottom"/>
          </w:tcPr>
          <w:p>
            <w:pPr>
              <w:spacing w:after="0"/>
              <w:rPr>
                <w:sz w:val="24"/>
                <w:szCs w:val="24"/>
                <w:color w:val="auto"/>
              </w:rPr>
            </w:pPr>
          </w:p>
        </w:tc>
        <w:tc>
          <w:tcPr>
            <w:tcW w:w="238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1995</w:t>
            </w: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$17,422,984</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$16,494,477</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13,659,310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12,856,728</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 of sales....................................</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1,961,912</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1,877,800</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 costs and expenses....................</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15,621,222</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14,734,528</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Income from operations................................</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1,801,762</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1,759,949</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Other income (deductions):</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258,500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192,214</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(12,823)</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(13,739)</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Miscellaneous....................................</w:t>
            </w: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29,073</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22,590</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 other income (deductions).............</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274,750</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201,065</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 before</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2,076,512</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1,961,014</w:t>
            </w:r>
          </w:p>
        </w:tc>
        <w:tc>
          <w:tcPr>
            <w:tcW w:w="0" w:type="dxa"/>
            <w:vAlign w:val="bottom"/>
          </w:tcPr>
          <w:p>
            <w:pPr>
              <w:spacing w:after="0"/>
              <w:rPr>
                <w:sz w:val="1"/>
                <w:szCs w:val="1"/>
                <w:color w:val="auto"/>
              </w:rPr>
            </w:pPr>
          </w:p>
        </w:tc>
      </w:tr>
      <w:tr>
        <w:trPr>
          <w:trHeight w:val="296"/>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income taxes........................................</w:t>
            </w:r>
          </w:p>
        </w:tc>
        <w:tc>
          <w:tcPr>
            <w:tcW w:w="23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Provision for income taxes from continuing</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834,800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788,100</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operations..........................................</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405"/>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Income from continuing operations.....................</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1,241,712</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1,172,914</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operations of Tessman Seed, Inc. (less</w:t>
            </w: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applicable income taxes of $0 and</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(56,933)</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($37,900), respectively).........................</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income............................................</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$ 1,241,712</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$ 1,115,981</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Weighted average number of shares</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10,525,772</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10,525,772</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outstanding........................................</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23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$0.12</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$0.11</w:t>
            </w: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2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w:t>
            </w: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$0.12</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$0.11</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5960" w:type="dxa"/>
            <w:vAlign w:val="bottom"/>
          </w:tcPr>
          <w:p>
            <w:pPr>
              <w:spacing w:after="0"/>
              <w:rPr>
                <w:sz w:val="24"/>
                <w:szCs w:val="24"/>
                <w:color w:val="auto"/>
              </w:rPr>
            </w:pPr>
          </w:p>
        </w:tc>
        <w:tc>
          <w:tcPr>
            <w:tcW w:w="2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86"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STATEMENTS OF CASH FLOWS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THREE MONTHS ENDED DECEMBER 31</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1,241,712</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1,115,981</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on discontinued operations of</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56,933</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Tessman Seed, Inc..............................</w:t>
            </w:r>
          </w:p>
        </w:tc>
        <w:tc>
          <w:tcPr>
            <w:tcW w:w="320" w:type="dxa"/>
            <w:vAlign w:val="bottom"/>
          </w:tcPr>
          <w:p>
            <w:pPr>
              <w:spacing w:after="0"/>
              <w:rPr>
                <w:sz w:val="17"/>
                <w:szCs w:val="17"/>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340,800</w:t>
            </w:r>
          </w:p>
        </w:tc>
        <w:tc>
          <w:tcPr>
            <w:tcW w:w="6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323,432</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(19,659)</w:t>
            </w: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19,000</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(19,686)</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certain current assets and</w:t>
            </w:r>
          </w:p>
        </w:tc>
        <w:tc>
          <w:tcPr>
            <w:tcW w:w="320" w:type="dxa"/>
            <w:vAlign w:val="bottom"/>
          </w:tcPr>
          <w:p>
            <w:pPr>
              <w:spacing w:after="0"/>
              <w:rPr>
                <w:sz w:val="17"/>
                <w:szCs w:val="17"/>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(1,096,417)</w:t>
            </w:r>
          </w:p>
        </w:tc>
        <w:tc>
          <w:tcPr>
            <w:tcW w:w="6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(822,707)</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Change in net assets of discontinued operations..</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77,433</w:t>
            </w:r>
          </w:p>
        </w:tc>
        <w:tc>
          <w:tcPr>
            <w:tcW w:w="0" w:type="dxa"/>
            <w:vAlign w:val="bottom"/>
          </w:tcPr>
          <w:p>
            <w:pPr>
              <w:spacing w:after="0"/>
              <w:rPr>
                <w:sz w:val="1"/>
                <w:szCs w:val="1"/>
                <w:color w:val="auto"/>
              </w:rPr>
            </w:pPr>
          </w:p>
        </w:tc>
      </w:tr>
      <w:tr>
        <w:trPr>
          <w:trHeight w:val="203"/>
        </w:trPr>
        <w:tc>
          <w:tcPr>
            <w:tcW w:w="5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466,436</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750,386</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320" w:type="dxa"/>
            <w:vAlign w:val="bottom"/>
          </w:tcPr>
          <w:p>
            <w:pPr>
              <w:spacing w:after="0"/>
              <w:rPr>
                <w:sz w:val="24"/>
                <w:szCs w:val="24"/>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(1,355,266)</w:t>
            </w:r>
          </w:p>
        </w:tc>
        <w:tc>
          <w:tcPr>
            <w:tcW w:w="64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(737,633)</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(97,557)</w:t>
            </w: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(91,335)</w:t>
            </w:r>
          </w:p>
        </w:tc>
        <w:tc>
          <w:tcPr>
            <w:tcW w:w="0" w:type="dxa"/>
            <w:vAlign w:val="bottom"/>
          </w:tcPr>
          <w:p>
            <w:pPr>
              <w:spacing w:after="0"/>
              <w:rPr>
                <w:sz w:val="1"/>
                <w:szCs w:val="1"/>
                <w:color w:val="auto"/>
              </w:rPr>
            </w:pPr>
          </w:p>
        </w:tc>
      </w:tr>
      <w:tr>
        <w:trPr>
          <w:trHeight w:val="203"/>
        </w:trPr>
        <w:tc>
          <w:tcPr>
            <w:tcW w:w="5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(1,452,823)</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(828,968)</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7"/>
              </w:rPr>
              <w:t>CASH FLOWS FROM FINANCING ACTIVITIES:</w:t>
            </w:r>
          </w:p>
        </w:tc>
        <w:tc>
          <w:tcPr>
            <w:tcW w:w="320" w:type="dxa"/>
            <w:vAlign w:val="bottom"/>
          </w:tcPr>
          <w:p>
            <w:pPr>
              <w:spacing w:after="0"/>
              <w:rPr>
                <w:sz w:val="24"/>
                <w:szCs w:val="24"/>
                <w:color w:val="auto"/>
              </w:rPr>
            </w:pP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(736,804)</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(48,919)</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Debt repayment...................................</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(52,344)</w:t>
            </w:r>
          </w:p>
        </w:tc>
        <w:tc>
          <w:tcPr>
            <w:tcW w:w="6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Payments received on note receivable.............</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Net cash used in financing activities.......</w:t>
            </w:r>
          </w:p>
        </w:tc>
        <w:tc>
          <w:tcPr>
            <w:tcW w:w="3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(769,148)</w:t>
            </w: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(48,919)</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DECREASE IN CASH AND CASH EQUIVALENTS.................</w:t>
            </w:r>
          </w:p>
        </w:tc>
        <w:tc>
          <w:tcPr>
            <w:tcW w:w="32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(1,755,535)</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(127,501)</w:t>
            </w:r>
          </w:p>
        </w:tc>
        <w:tc>
          <w:tcPr>
            <w:tcW w:w="0" w:type="dxa"/>
            <w:vAlign w:val="bottom"/>
          </w:tcPr>
          <w:p>
            <w:pPr>
              <w:spacing w:after="0"/>
              <w:rPr>
                <w:sz w:val="1"/>
                <w:szCs w:val="1"/>
                <w:color w:val="auto"/>
              </w:rPr>
            </w:pPr>
          </w:p>
        </w:tc>
      </w:tr>
      <w:tr>
        <w:trPr>
          <w:trHeight w:val="311"/>
        </w:trPr>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AND CASH EQUIVALENTS, BEGINNING OF YEAR..........</w:t>
            </w:r>
          </w:p>
        </w:tc>
        <w:tc>
          <w:tcPr>
            <w:tcW w:w="32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9,906,107</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6,908,007</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AND CASH EQUIVALENTS, END OF PERIOD..............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8,150,572</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6,780,506</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7"/>
              </w:rPr>
              <w:t>SUPPLEMENTAL DISCLOSURES OF CASH FLOW</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INFORMATION: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50,559</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53,994</w:t>
            </w:r>
          </w:p>
        </w:tc>
        <w:tc>
          <w:tcPr>
            <w:tcW w:w="0" w:type="dxa"/>
            <w:vAlign w:val="bottom"/>
          </w:tcPr>
          <w:p>
            <w:pPr>
              <w:spacing w:after="0"/>
              <w:rPr>
                <w:sz w:val="1"/>
                <w:szCs w:val="1"/>
                <w:color w:val="auto"/>
              </w:rPr>
            </w:pPr>
          </w:p>
        </w:tc>
      </w:tr>
      <w:tr>
        <w:trPr>
          <w:trHeight w:val="203"/>
        </w:trPr>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Cash paid for interest...........................</w:t>
            </w:r>
          </w:p>
        </w:tc>
        <w:tc>
          <w:tcPr>
            <w:tcW w:w="3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Cash paid for income taxes.......................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187,333</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162,000</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372" w:lineRule="exact"/>
        <w:rPr>
          <w:sz w:val="20"/>
          <w:szCs w:val="20"/>
          <w:color w:val="auto"/>
        </w:rPr>
      </w:pPr>
    </w:p>
    <w:p>
      <w:pPr>
        <w:ind w:right="1779" w:firstLine="8"/>
        <w:spacing w:after="0" w:line="248"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1995,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05"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accounting policies followed by the Company are set forth in Note 1 to the Company's financial statements in the 1995 Hawkins Chemical, Inc. Annual Report which is incorporated by reference to Form 10-K filed with the Commission on December 28, 1995.</w:t>
      </w:r>
    </w:p>
    <w:p>
      <w:pPr>
        <w:spacing w:after="0" w:line="82" w:lineRule="exact"/>
        <w:rPr>
          <w:sz w:val="20"/>
          <w:szCs w:val="20"/>
          <w:color w:val="auto"/>
        </w:rPr>
      </w:pPr>
    </w:p>
    <w:p>
      <w:pPr>
        <w:jc w:val="both"/>
        <w:ind w:right="2099" w:firstLine="8"/>
        <w:spacing w:after="0" w:line="402"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December 31, 1995 are not necessarily indicative of the results that may be expected for the full year.</w:t>
      </w:r>
    </w:p>
    <w:p>
      <w:pPr>
        <w:ind w:right="1779" w:firstLine="8"/>
        <w:spacing w:after="0" w:line="265"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principally valued by the LIFO method, are less than current cost by approximately $1,833,435 at December 31, 1995. Inventory consists principally of finished goods. Inventory quantities fluctuate during the year. No material amounts of interim liquidation of inventory quantities have occurred that are not expected to be replaced by year-end.</w:t>
      </w:r>
    </w:p>
    <w:p>
      <w:pPr>
        <w:spacing w:after="0" w:line="89" w:lineRule="exact"/>
        <w:rPr>
          <w:rFonts w:ascii="Courier New" w:cs="Courier New" w:eastAsia="Courier New" w:hAnsi="Courier New"/>
          <w:sz w:val="18"/>
          <w:szCs w:val="18"/>
          <w:color w:val="auto"/>
        </w:rPr>
      </w:pPr>
    </w:p>
    <w:p>
      <w:pPr>
        <w:ind w:right="1879" w:firstLine="8"/>
        <w:spacing w:after="0" w:line="265"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cash dividends per common share are based upon the weighted average number of shares outstanding after giving retroactive effect to a 10% stock dividend declared February 15, 1995 to shareholders of record at the close of business on March 31, 1995. The dividend payment date was April 12, 1995.</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6" w:name="page7"/>
    <w:bookmarkEnd w:id="6"/>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Net sales increased $928,507, 5.6%, in the first quarter of this fiscal year as compared to the same quarter a year ago. This increase is primarily due to volume increases in most of the Company's divisions and subsidiaries.</w:t>
      </w:r>
    </w:p>
    <w:p>
      <w:pPr>
        <w:spacing w:after="0" w:line="66"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The gross margin, as a percentage of net sales, for the first quarter of fiscal 1996 was 21.6% compared to 22.1% for the same quarter one year ago. This decrease is attributable to the increased cost of a single large-volume product and the increased costs of operations. The Company has generally been able to, and expects to continue to, adjust its selling prices as the cost of materials and other expenses change, thereby maintaining relatively stable gross margins.</w:t>
      </w:r>
    </w:p>
    <w:p>
      <w:pPr>
        <w:spacing w:after="0" w:line="6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Selling, general and administrative expenses, as a percentage of net sales, for the first quarter of fiscal 1996 were 11.3% compared to 11.4% for the same quarter one year ago. Most of the expenses in this category are fixed, with the remaining expenses fluctuating only slightly with net sales.</w:t>
      </w:r>
    </w:p>
    <w:p>
      <w:pPr>
        <w:spacing w:after="0" w:line="82"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Income from operations increased $41,813, 2.4%, in the first quarter of fiscal 1996, compared to fiscal 1995. This increase is primarily attributable to an increase net sales, partially offset by a decrease in gross margin.</w:t>
      </w:r>
    </w:p>
    <w:p>
      <w:pPr>
        <w:spacing w:after="0" w:line="3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Interest income increased $66,286, 34.5%, compared to the same period one year ago. This increase is due to an increase in the amount of cash available for investments and to a higher rate of return earned on cash equivalents and investments. Interest expense decreased slightly due to decline in long-term debt.</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For the first quarter ended December 31, 1995, cash flows from operations were $466,436. This amount was lower than cash provided by operations during the same period one year ago, due mainly to the decreases in certain current assets and liability accounts discussed below. During the three months ended December 31, 1995, the Company invested $1,355,266 in property and equipment additions and added $97,577 to investments.</w:t>
      </w:r>
    </w:p>
    <w:p>
      <w:pPr>
        <w:spacing w:after="0" w:line="9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Accounts receivable and accounts payable decreased during the first three months of fiscal 1995, which is normal for the first quarter of our fiscal year. Inventory levels decreased due to management's decision to discontinue sales to mass merchandisers by The Lynde Company subsidiary, as that business involved high volumes and high inventory levels with a very low profit margin. Other current assets decreased due to the receipt of insurance proceeds during the firsts quarter of fiscal 1996. Other current liabilities decreased at quarter end and is the result of the payment of benefit plan accruals that existed at fiscal year end. The Company did not issue any securities during the quarter ended December 31, 1995.</w:t>
      </w:r>
    </w:p>
    <w:p>
      <w:pPr>
        <w:spacing w:after="0" w:line="10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Since 1985, the Company has been paying an annual cash dividend each year. In the fourth quarter of fiscal 1995 this was changed to a semi-annual cash dividend policy, of which the first half of the 1996 dividend was paid in October 1995.</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53"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the Company in a position to issue both debt and equity securities on favorable terms.</w:t>
      </w:r>
    </w:p>
    <w:p>
      <w:pPr>
        <w:spacing w:after="0" w:line="104"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low-risk investment contracts with highly rated, stable insurance companies, and marketable securities consisting of investment grade municipal securities, all of which are carried at fair value which approximates cost. All cash equivalents and investments are highly liquid and are available upon demand with a minor penalty.</w:t>
      </w:r>
    </w:p>
    <w:p>
      <w:pPr>
        <w:spacing w:after="0" w:line="104"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three months of fiscal 1996, but are not expected to materially affect future periods, nor is management aware of other matters not affecting this period that are expected to materially affect future periods.</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8" w:name="page9"/>
    <w:bookmarkEnd w:id="8"/>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0" w:lineRule="exact"/>
        <w:rPr>
          <w:rFonts w:ascii="Courier New" w:cs="Courier New" w:eastAsia="Courier New" w:hAnsi="Courier New"/>
          <w:sz w:val="18"/>
          <w:szCs w:val="18"/>
          <w:color w:val="auto"/>
        </w:rPr>
      </w:pPr>
    </w:p>
    <w:p>
      <w:pPr>
        <w:ind w:left="540" w:right="1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260" w:type="dxa"/>
            <w:vAlign w:val="bottom"/>
          </w:tcPr>
          <w:p>
            <w:pPr>
              <w:ind w:left="1200"/>
              <w:spacing w:after="0"/>
              <w:rPr>
                <w:sz w:val="20"/>
                <w:szCs w:val="20"/>
                <w:color w:val="auto"/>
              </w:rPr>
            </w:pPr>
            <w:r>
              <w:rPr>
                <w:rFonts w:ascii="Courier New" w:cs="Courier New" w:eastAsia="Courier New" w:hAnsi="Courier New"/>
                <w:sz w:val="18"/>
                <w:szCs w:val="18"/>
                <w:color w:val="auto"/>
              </w:rPr>
              <w:t>Description</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w w:val="97"/>
              </w:rPr>
              <w:t>Page No.</w:t>
            </w:r>
          </w:p>
        </w:tc>
        <w:tc>
          <w:tcPr>
            <w:tcW w:w="0" w:type="dxa"/>
            <w:vAlign w:val="bottom"/>
          </w:tcPr>
          <w:p>
            <w:pPr>
              <w:spacing w:after="0"/>
              <w:rPr>
                <w:sz w:val="1"/>
                <w:szCs w:val="1"/>
                <w:color w:val="auto"/>
              </w:rPr>
            </w:pPr>
          </w:p>
        </w:tc>
      </w:tr>
      <w:tr>
        <w:trPr>
          <w:trHeight w:val="203"/>
        </w:trPr>
        <w:tc>
          <w:tcPr>
            <w:tcW w:w="1640" w:type="dxa"/>
            <w:vAlign w:val="bottom"/>
            <w:vMerge w:val="restart"/>
          </w:tcPr>
          <w:p>
            <w:pPr>
              <w:spacing w:after="0"/>
              <w:rPr>
                <w:sz w:val="20"/>
                <w:szCs w:val="20"/>
                <w:color w:val="auto"/>
              </w:rPr>
            </w:pP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27</w:t>
            </w:r>
          </w:p>
        </w:tc>
        <w:tc>
          <w:tcPr>
            <w:tcW w:w="3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1640" w:type="dxa"/>
            <w:vAlign w:val="bottom"/>
            <w:vMerge w:val="continue"/>
          </w:tcPr>
          <w:p>
            <w:pPr>
              <w:spacing w:after="0"/>
              <w:rPr>
                <w:sz w:val="24"/>
                <w:szCs w:val="24"/>
                <w:color w:val="auto"/>
              </w:rPr>
            </w:pPr>
          </w:p>
        </w:tc>
        <w:tc>
          <w:tcPr>
            <w:tcW w:w="3260" w:type="dxa"/>
            <w:vAlign w:val="bottom"/>
          </w:tcPr>
          <w:p>
            <w:pPr>
              <w:ind w:left="460"/>
              <w:spacing w:after="0"/>
              <w:rPr>
                <w:sz w:val="20"/>
                <w:szCs w:val="20"/>
                <w:color w:val="auto"/>
              </w:rPr>
            </w:pPr>
            <w:r>
              <w:rPr>
                <w:rFonts w:ascii="Courier New" w:cs="Courier New" w:eastAsia="Courier New" w:hAnsi="Courier New"/>
                <w:sz w:val="18"/>
                <w:szCs w:val="18"/>
                <w:color w:val="auto"/>
              </w:rPr>
              <w:t>Financial Data Schedule</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ind w:left="540" w:right="23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December 31, 1995.</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Howard M. Hawkins, Treasurer</w:t>
      </w:r>
    </w:p>
    <w:p>
      <w:pPr>
        <w:ind w:left="4640"/>
        <w:spacing w:after="0" w:line="238" w:lineRule="auto"/>
        <w:rPr>
          <w:sz w:val="20"/>
          <w:szCs w:val="20"/>
          <w:color w:val="auto"/>
        </w:rPr>
      </w:pPr>
      <w:r>
        <w:rPr>
          <w:rFonts w:ascii="Courier New" w:cs="Courier New" w:eastAsia="Courier New" w:hAnsi="Courier New"/>
          <w:sz w:val="18"/>
          <w:szCs w:val="18"/>
          <w:color w:val="auto"/>
        </w:rPr>
        <w:t>(Chief Financial and Accounting</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1996</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SEP-29-1996</w:t>
      </w:r>
    </w:p>
    <w:p>
      <w:pPr>
        <w:ind w:left="2940"/>
        <w:spacing w:after="0" w:line="238" w:lineRule="auto"/>
        <w:rPr>
          <w:sz w:val="20"/>
          <w:szCs w:val="20"/>
          <w:color w:val="auto"/>
        </w:rPr>
      </w:pPr>
      <w:r>
        <w:rPr>
          <w:rFonts w:ascii="Courier New" w:cs="Courier New" w:eastAsia="Courier New" w:hAnsi="Courier New"/>
          <w:sz w:val="18"/>
          <w:szCs w:val="18"/>
          <w:color w:val="auto"/>
        </w:rPr>
        <w:t>OCT-02-1995</w:t>
      </w:r>
    </w:p>
    <w:p>
      <w:pPr>
        <w:ind w:left="3160"/>
        <w:spacing w:after="0"/>
        <w:rPr>
          <w:sz w:val="20"/>
          <w:szCs w:val="20"/>
          <w:color w:val="auto"/>
        </w:rPr>
      </w:pPr>
      <w:r>
        <w:rPr>
          <w:rFonts w:ascii="Courier New" w:cs="Courier New" w:eastAsia="Courier New" w:hAnsi="Courier New"/>
          <w:sz w:val="18"/>
          <w:szCs w:val="18"/>
          <w:color w:val="auto"/>
        </w:rPr>
        <w:t>DEC-31-1995</w:t>
      </w:r>
    </w:p>
    <w:p>
      <w:pPr>
        <w:ind w:left="4000"/>
        <w:spacing w:after="0" w:line="238" w:lineRule="auto"/>
        <w:rPr>
          <w:sz w:val="20"/>
          <w:szCs w:val="20"/>
          <w:color w:val="auto"/>
        </w:rPr>
      </w:pPr>
      <w:r>
        <w:rPr>
          <w:rFonts w:ascii="Courier New" w:cs="Courier New" w:eastAsia="Courier New" w:hAnsi="Courier New"/>
          <w:sz w:val="18"/>
          <w:szCs w:val="18"/>
          <w:color w:val="auto"/>
        </w:rPr>
        <w:t>8,150,572</w:t>
      </w:r>
    </w:p>
    <w:p>
      <w:pPr>
        <w:ind w:left="3360"/>
        <w:spacing w:after="0"/>
        <w:rPr>
          <w:sz w:val="20"/>
          <w:szCs w:val="20"/>
          <w:color w:val="auto"/>
        </w:rPr>
      </w:pPr>
      <w:r>
        <w:rPr>
          <w:rFonts w:ascii="Courier New" w:cs="Courier New" w:eastAsia="Courier New" w:hAnsi="Courier New"/>
          <w:sz w:val="18"/>
          <w:szCs w:val="18"/>
          <w:color w:val="auto"/>
        </w:rPr>
        <w:t>8,066,318</w:t>
      </w:r>
    </w:p>
    <w:p>
      <w:pPr>
        <w:ind w:left="3260"/>
        <w:spacing w:after="0" w:line="238" w:lineRule="auto"/>
        <w:rPr>
          <w:sz w:val="20"/>
          <w:szCs w:val="20"/>
          <w:color w:val="auto"/>
        </w:rPr>
      </w:pPr>
      <w:r>
        <w:rPr>
          <w:rFonts w:ascii="Courier New" w:cs="Courier New" w:eastAsia="Courier New" w:hAnsi="Courier New"/>
          <w:sz w:val="18"/>
          <w:szCs w:val="18"/>
          <w:color w:val="auto"/>
        </w:rPr>
        <w:t>9,643,018</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8" w:lineRule="auto"/>
        <w:rPr>
          <w:sz w:val="20"/>
          <w:szCs w:val="20"/>
          <w:color w:val="auto"/>
        </w:rPr>
      </w:pPr>
      <w:r>
        <w:rPr>
          <w:rFonts w:ascii="Courier New" w:cs="Courier New" w:eastAsia="Courier New" w:hAnsi="Courier New"/>
          <w:sz w:val="18"/>
          <w:szCs w:val="18"/>
          <w:color w:val="auto"/>
        </w:rPr>
        <w:t>7,578,336</w:t>
      </w:r>
    </w:p>
    <w:p>
      <w:pPr>
        <w:ind w:left="2840"/>
        <w:spacing w:after="0"/>
        <w:rPr>
          <w:sz w:val="20"/>
          <w:szCs w:val="20"/>
          <w:color w:val="auto"/>
        </w:rPr>
      </w:pPr>
      <w:r>
        <w:rPr>
          <w:rFonts w:ascii="Courier New" w:cs="Courier New" w:eastAsia="Courier New" w:hAnsi="Courier New"/>
          <w:sz w:val="18"/>
          <w:szCs w:val="18"/>
          <w:color w:val="auto"/>
        </w:rPr>
        <w:t>34,642,618</w:t>
      </w:r>
    </w:p>
    <w:p>
      <w:pPr>
        <w:ind w:left="3900"/>
        <w:spacing w:after="0" w:line="238" w:lineRule="auto"/>
        <w:rPr>
          <w:sz w:val="20"/>
          <w:szCs w:val="20"/>
          <w:color w:val="auto"/>
        </w:rPr>
      </w:pPr>
      <w:r>
        <w:rPr>
          <w:rFonts w:ascii="Courier New" w:cs="Courier New" w:eastAsia="Courier New" w:hAnsi="Courier New"/>
          <w:sz w:val="18"/>
          <w:szCs w:val="18"/>
          <w:color w:val="auto"/>
        </w:rPr>
        <w:t>12,469,561</w:t>
      </w:r>
    </w:p>
    <w:p>
      <w:pPr>
        <w:ind w:left="4000"/>
        <w:spacing w:after="0"/>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50,439,868</w:t>
      </w:r>
    </w:p>
    <w:p>
      <w:pPr>
        <w:ind w:left="2320"/>
        <w:spacing w:after="0"/>
        <w:rPr>
          <w:sz w:val="20"/>
          <w:szCs w:val="20"/>
          <w:color w:val="auto"/>
        </w:rPr>
      </w:pPr>
      <w:r>
        <w:rPr>
          <w:rFonts w:ascii="Courier New" w:cs="Courier New" w:eastAsia="Courier New" w:hAnsi="Courier New"/>
          <w:sz w:val="18"/>
          <w:szCs w:val="18"/>
          <w:color w:val="auto"/>
        </w:rPr>
        <w:t>10,124,280</w:t>
      </w:r>
    </w:p>
    <w:p>
      <w:pPr>
        <w:jc w:val="center"/>
        <w:ind w:right="539"/>
        <w:spacing w:after="0" w:line="238"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526,289</w:t>
      </w:r>
    </w:p>
    <w:p>
      <w:pPr>
        <w:ind w:left="3460"/>
        <w:spacing w:after="0" w:line="238" w:lineRule="auto"/>
        <w:rPr>
          <w:sz w:val="20"/>
          <w:szCs w:val="20"/>
          <w:color w:val="auto"/>
        </w:rPr>
      </w:pPr>
      <w:r>
        <w:rPr>
          <w:rFonts w:ascii="Courier New" w:cs="Courier New" w:eastAsia="Courier New" w:hAnsi="Courier New"/>
          <w:sz w:val="18"/>
          <w:szCs w:val="18"/>
          <w:color w:val="auto"/>
        </w:rPr>
        <w:t>38,834,046</w:t>
      </w:r>
    </w:p>
    <w:p>
      <w:pPr>
        <w:ind w:left="1580"/>
        <w:spacing w:after="0"/>
        <w:rPr>
          <w:sz w:val="20"/>
          <w:szCs w:val="20"/>
          <w:color w:val="auto"/>
        </w:rPr>
      </w:pPr>
      <w:r>
        <w:rPr>
          <w:rFonts w:ascii="Courier New" w:cs="Courier New" w:eastAsia="Courier New" w:hAnsi="Courier New"/>
          <w:sz w:val="18"/>
          <w:szCs w:val="18"/>
          <w:color w:val="auto"/>
        </w:rPr>
        <w:t>50,439,868</w:t>
      </w:r>
    </w:p>
    <w:p>
      <w:pPr>
        <w:ind w:left="3780"/>
        <w:spacing w:after="0" w:line="238" w:lineRule="auto"/>
        <w:rPr>
          <w:sz w:val="20"/>
          <w:szCs w:val="20"/>
          <w:color w:val="auto"/>
        </w:rPr>
      </w:pPr>
      <w:r>
        <w:rPr>
          <w:rFonts w:ascii="Courier New" w:cs="Courier New" w:eastAsia="Courier New" w:hAnsi="Courier New"/>
          <w:sz w:val="18"/>
          <w:szCs w:val="18"/>
          <w:color w:val="auto"/>
        </w:rPr>
        <w:t>17,422,984</w:t>
      </w:r>
    </w:p>
    <w:p>
      <w:pPr>
        <w:ind w:left="2840"/>
        <w:spacing w:after="0"/>
        <w:rPr>
          <w:sz w:val="20"/>
          <w:szCs w:val="20"/>
          <w:color w:val="auto"/>
        </w:rPr>
      </w:pPr>
      <w:r>
        <w:rPr>
          <w:rFonts w:ascii="Courier New" w:cs="Courier New" w:eastAsia="Courier New" w:hAnsi="Courier New"/>
          <w:sz w:val="18"/>
          <w:szCs w:val="18"/>
          <w:color w:val="auto"/>
        </w:rPr>
        <w:t>17,422,984</w:t>
      </w:r>
    </w:p>
    <w:p>
      <w:pPr>
        <w:jc w:val="right"/>
        <w:ind w:right="5059"/>
        <w:spacing w:after="0" w:line="238" w:lineRule="auto"/>
        <w:rPr>
          <w:sz w:val="20"/>
          <w:szCs w:val="20"/>
          <w:color w:val="auto"/>
        </w:rPr>
      </w:pPr>
      <w:r>
        <w:rPr>
          <w:rFonts w:ascii="Courier New" w:cs="Courier New" w:eastAsia="Courier New" w:hAnsi="Courier New"/>
          <w:sz w:val="18"/>
          <w:szCs w:val="18"/>
          <w:color w:val="auto"/>
        </w:rPr>
        <w:t>13,659,310</w:t>
      </w:r>
    </w:p>
    <w:p>
      <w:pPr>
        <w:ind w:left="3160"/>
        <w:spacing w:after="0"/>
        <w:rPr>
          <w:sz w:val="20"/>
          <w:szCs w:val="20"/>
          <w:color w:val="auto"/>
        </w:rPr>
      </w:pPr>
      <w:r>
        <w:rPr>
          <w:rFonts w:ascii="Courier New" w:cs="Courier New" w:eastAsia="Courier New" w:hAnsi="Courier New"/>
          <w:sz w:val="18"/>
          <w:szCs w:val="18"/>
          <w:color w:val="auto"/>
        </w:rPr>
        <w:t>15,621,222</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12,823</w:t>
      </w:r>
    </w:p>
    <w:p>
      <w:pPr>
        <w:ind w:left="3040"/>
        <w:spacing w:after="0"/>
        <w:rPr>
          <w:sz w:val="20"/>
          <w:szCs w:val="20"/>
          <w:color w:val="auto"/>
        </w:rPr>
      </w:pPr>
      <w:r>
        <w:rPr>
          <w:rFonts w:ascii="Courier New" w:cs="Courier New" w:eastAsia="Courier New" w:hAnsi="Courier New"/>
          <w:sz w:val="18"/>
          <w:szCs w:val="18"/>
          <w:color w:val="auto"/>
        </w:rPr>
        <w:t>2,076,512</w:t>
      </w:r>
    </w:p>
    <w:p>
      <w:pPr>
        <w:ind w:left="3580"/>
        <w:spacing w:after="0" w:line="238" w:lineRule="auto"/>
        <w:rPr>
          <w:sz w:val="20"/>
          <w:szCs w:val="20"/>
          <w:color w:val="auto"/>
        </w:rPr>
      </w:pPr>
      <w:r>
        <w:rPr>
          <w:rFonts w:ascii="Courier New" w:cs="Courier New" w:eastAsia="Courier New" w:hAnsi="Courier New"/>
          <w:sz w:val="18"/>
          <w:szCs w:val="18"/>
          <w:color w:val="auto"/>
        </w:rPr>
        <w:t>834,800</w:t>
      </w:r>
    </w:p>
    <w:p>
      <w:pPr>
        <w:ind w:left="2620"/>
        <w:spacing w:after="0"/>
        <w:rPr>
          <w:sz w:val="20"/>
          <w:szCs w:val="20"/>
          <w:color w:val="auto"/>
        </w:rPr>
      </w:pPr>
      <w:r>
        <w:rPr>
          <w:rFonts w:ascii="Courier New" w:cs="Courier New" w:eastAsia="Courier New" w:hAnsi="Courier New"/>
          <w:sz w:val="18"/>
          <w:szCs w:val="18"/>
          <w:color w:val="auto"/>
        </w:rPr>
        <w:t>1,241,712</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8"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1,241,712</w:t>
      </w:r>
    </w:p>
    <w:p>
      <w:pPr>
        <w:ind w:left="4000"/>
        <w:spacing w:after="0" w:line="238" w:lineRule="auto"/>
        <w:rPr>
          <w:sz w:val="20"/>
          <w:szCs w:val="20"/>
          <w:color w:val="auto"/>
        </w:rPr>
      </w:pPr>
      <w:r>
        <w:rPr>
          <w:rFonts w:ascii="Courier New" w:cs="Courier New" w:eastAsia="Courier New" w:hAnsi="Courier New"/>
          <w:sz w:val="18"/>
          <w:szCs w:val="18"/>
          <w:color w:val="auto"/>
        </w:rPr>
        <w:t>12</w:t>
      </w:r>
    </w:p>
    <w:p>
      <w:pPr>
        <w:ind w:left="410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2019-12-13T01:39:38Z</dcterms:created>
  <dcterms:modified xsi:type="dcterms:W3CDTF">2019-12-13T01:39:38Z</dcterms:modified>
</cp:coreProperties>
</file>