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27)*</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(Name of Issuer)</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(Title of Class of Securities)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(CUSIP Number)</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5"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13d-1(b)</w:t>
      </w:r>
    </w:p>
    <w:p>
      <w:pPr>
        <w:spacing w:after="0" w:line="223"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13d-1(c)</w:t>
      </w:r>
    </w:p>
    <w:p>
      <w:pPr>
        <w:spacing w:after="0" w:line="220"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13d-1(d)</w:t>
      </w:r>
    </w:p>
    <w:p>
      <w:pPr>
        <w:spacing w:after="0" w:line="212" w:lineRule="exact"/>
        <w:rPr>
          <w:sz w:val="24"/>
          <w:szCs w:val="24"/>
          <w:color w:val="auto"/>
        </w:rPr>
      </w:pPr>
    </w:p>
    <w:p>
      <w:pPr>
        <w:ind w:left="340" w:right="20" w:hanging="332"/>
        <w:spacing w:after="0" w:line="261" w:lineRule="auto"/>
        <w:tabs>
          <w:tab w:leader="none" w:pos="33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873" w:right="33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228028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1631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420261109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288925</wp:posOffset>
            </wp:positionV>
            <wp:extent cx="7063740" cy="4620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3740" cy="4620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-114300</wp:posOffset>
            </wp:positionV>
            <wp:extent cx="240030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0" cy="1631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560" w:space="720"/>
            <w:col w:w="2540" w:space="720"/>
            <w:col w:w="2560"/>
          </w:cols>
          <w:pgMar w:left="480" w:top="1053" w:right="319" w:bottom="1440" w:gutter="0" w:footer="0" w:header="0"/>
        </w:sectPr>
      </w:pPr>
    </w:p>
    <w:p>
      <w:pPr>
        <w:spacing w:after="0" w:line="239" w:lineRule="exact"/>
        <w:rPr>
          <w:sz w:val="20"/>
          <w:szCs w:val="20"/>
          <w:color w:val="auto"/>
        </w:rPr>
      </w:pPr>
    </w:p>
    <w:p>
      <w:pPr>
        <w:ind w:left="740" w:hanging="437"/>
        <w:spacing w:after="0"/>
        <w:tabs>
          <w:tab w:leader="none" w:pos="7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112"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Hawkins, Inc. Employee Stock Ownership Plan and Trust (Tax ID: 41-0771293)</w:t>
      </w: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Hawkins, Inc. Employee Stock Ownership Plan for Certain Collectively Bargained Employees and Trust (Tax ID: 41-0771293)</w:t>
      </w:r>
    </w:p>
    <w:p>
      <w:pPr>
        <w:ind w:left="740" w:hanging="437"/>
        <w:spacing w:after="0" w:line="221" w:lineRule="auto"/>
        <w:tabs>
          <w:tab w:leader="none" w:pos="740" w:val="left"/>
        </w:tabs>
        <w:numPr>
          <w:ilvl w:val="0"/>
          <w:numId w:val="4"/>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o</w:t>
      </w:r>
    </w:p>
    <w:p>
      <w:pPr>
        <w:spacing w:after="0" w:line="254"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p>
      <w:pPr>
        <w:spacing w:after="0" w:line="88" w:lineRule="exact"/>
        <w:rPr>
          <w:sz w:val="20"/>
          <w:szCs w:val="20"/>
          <w:color w:val="auto"/>
        </w:rPr>
      </w:pPr>
    </w:p>
    <w:p>
      <w:pPr>
        <w:ind w:left="740" w:hanging="437"/>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740" w:right="6680" w:hanging="437"/>
        <w:spacing w:after="0" w:line="342" w:lineRule="auto"/>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Minnesota</w:t>
      </w:r>
    </w:p>
    <w:p>
      <w:pPr>
        <w:spacing w:after="0" w:line="4" w:lineRule="exact"/>
        <w:rPr>
          <w:sz w:val="20"/>
          <w:szCs w:val="20"/>
          <w:color w:val="auto"/>
        </w:rPr>
      </w:pPr>
    </w:p>
    <w:p>
      <w:pPr>
        <w:ind w:left="3800" w:hanging="521"/>
        <w:spacing w:after="0"/>
        <w:tabs>
          <w:tab w:leader="none" w:pos="3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14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080" w:type="dxa"/>
            <w:vAlign w:val="bottom"/>
            <w:vMerge w:val="restart"/>
          </w:tcPr>
          <w:p>
            <w:pPr>
              <w:jc w:val="center"/>
              <w:ind w:right="752"/>
              <w:spacing w:after="0"/>
              <w:rPr>
                <w:sz w:val="20"/>
                <w:szCs w:val="20"/>
                <w:color w:val="auto"/>
              </w:rPr>
            </w:pPr>
            <w:r>
              <w:rPr>
                <w:rFonts w:ascii="Arial" w:cs="Arial" w:eastAsia="Arial" w:hAnsi="Arial"/>
                <w:sz w:val="18"/>
                <w:szCs w:val="18"/>
                <w:color w:val="auto"/>
                <w:w w:val="96"/>
              </w:rPr>
              <w:t>NUMBER OF</w:t>
            </w:r>
          </w:p>
        </w:tc>
        <w:tc>
          <w:tcPr>
            <w:tcW w:w="700" w:type="dxa"/>
            <w:vAlign w:val="bottom"/>
            <w:tcBorders>
              <w:bottom w:val="single" w:sz="8" w:color="auto"/>
            </w:tcBorders>
          </w:tcPr>
          <w:p>
            <w:pPr>
              <w:spacing w:after="0"/>
              <w:rPr>
                <w:sz w:val="20"/>
                <w:szCs w:val="20"/>
                <w:color w:val="auto"/>
              </w:rPr>
            </w:pPr>
          </w:p>
        </w:tc>
        <w:tc>
          <w:tcPr>
            <w:tcW w:w="7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2080" w:type="dxa"/>
            <w:vAlign w:val="bottom"/>
            <w:vMerge w:val="continue"/>
          </w:tcPr>
          <w:p>
            <w:pPr>
              <w:spacing w:after="0" w:line="20" w:lineRule="exact"/>
              <w:rPr>
                <w:sz w:val="1"/>
                <w:szCs w:val="1"/>
                <w:color w:val="auto"/>
              </w:rPr>
            </w:pPr>
          </w:p>
        </w:tc>
        <w:tc>
          <w:tcPr>
            <w:tcW w:w="700" w:type="dxa"/>
            <w:vAlign w:val="bottom"/>
            <w:vMerge w:val="restart"/>
          </w:tcPr>
          <w:p>
            <w:pPr>
              <w:jc w:val="right"/>
              <w:ind w:right="130"/>
              <w:spacing w:after="0" w:line="196" w:lineRule="exact"/>
              <w:rPr>
                <w:sz w:val="20"/>
                <w:szCs w:val="20"/>
                <w:color w:val="auto"/>
              </w:rPr>
            </w:pPr>
            <w:r>
              <w:rPr>
                <w:rFonts w:ascii="Arial" w:cs="Arial" w:eastAsia="Arial" w:hAnsi="Arial"/>
                <w:sz w:val="18"/>
                <w:szCs w:val="18"/>
                <w:b w:val="1"/>
                <w:bCs w:val="1"/>
                <w:color w:val="auto"/>
              </w:rPr>
              <w:t>6</w:t>
            </w:r>
          </w:p>
        </w:tc>
        <w:tc>
          <w:tcPr>
            <w:tcW w:w="7520" w:type="dxa"/>
            <w:vAlign w:val="bottom"/>
            <w:vMerge w:val="restart"/>
          </w:tcPr>
          <w:p>
            <w:pPr>
              <w:ind w:left="220"/>
              <w:spacing w:after="0" w:line="19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line="20" w:lineRule="exact"/>
              <w:rPr>
                <w:sz w:val="1"/>
                <w:szCs w:val="1"/>
                <w:color w:val="auto"/>
              </w:rPr>
            </w:pPr>
          </w:p>
        </w:tc>
      </w:tr>
      <w:tr>
        <w:trPr>
          <w:trHeight w:val="175"/>
        </w:trPr>
        <w:tc>
          <w:tcPr>
            <w:tcW w:w="2080" w:type="dxa"/>
            <w:vAlign w:val="bottom"/>
          </w:tcPr>
          <w:p>
            <w:pPr>
              <w:jc w:val="center"/>
              <w:ind w:right="732"/>
              <w:spacing w:after="0" w:line="176" w:lineRule="exact"/>
              <w:rPr>
                <w:sz w:val="20"/>
                <w:szCs w:val="20"/>
                <w:color w:val="auto"/>
              </w:rPr>
            </w:pPr>
            <w:r>
              <w:rPr>
                <w:rFonts w:ascii="Arial" w:cs="Arial" w:eastAsia="Arial" w:hAnsi="Arial"/>
                <w:sz w:val="18"/>
                <w:szCs w:val="18"/>
                <w:color w:val="auto"/>
                <w:w w:val="94"/>
              </w:rPr>
              <w:t>SHARES</w:t>
            </w:r>
          </w:p>
        </w:tc>
        <w:tc>
          <w:tcPr>
            <w:tcW w:w="700" w:type="dxa"/>
            <w:vAlign w:val="bottom"/>
            <w:vMerge w:val="continue"/>
          </w:tcPr>
          <w:p>
            <w:pPr>
              <w:spacing w:after="0"/>
              <w:rPr>
                <w:sz w:val="15"/>
                <w:szCs w:val="15"/>
                <w:color w:val="auto"/>
              </w:rPr>
            </w:pPr>
          </w:p>
        </w:tc>
        <w:tc>
          <w:tcPr>
            <w:tcW w:w="7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jc w:val="center"/>
              <w:ind w:right="732"/>
              <w:spacing w:after="0" w:line="176" w:lineRule="exact"/>
              <w:rPr>
                <w:sz w:val="20"/>
                <w:szCs w:val="20"/>
                <w:color w:val="auto"/>
              </w:rPr>
            </w:pPr>
            <w:r>
              <w:rPr>
                <w:rFonts w:ascii="Arial" w:cs="Arial" w:eastAsia="Arial" w:hAnsi="Arial"/>
                <w:sz w:val="18"/>
                <w:szCs w:val="18"/>
                <w:color w:val="auto"/>
                <w:w w:val="99"/>
              </w:rPr>
              <w:t>BENEFICIALLY</w:t>
            </w:r>
          </w:p>
        </w:tc>
        <w:tc>
          <w:tcPr>
            <w:tcW w:w="700" w:type="dxa"/>
            <w:vAlign w:val="bottom"/>
          </w:tcPr>
          <w:p>
            <w:pPr>
              <w:spacing w:after="0"/>
              <w:rPr>
                <w:sz w:val="15"/>
                <w:szCs w:val="15"/>
                <w:color w:val="auto"/>
              </w:rPr>
            </w:pPr>
          </w:p>
        </w:tc>
        <w:tc>
          <w:tcPr>
            <w:tcW w:w="7520" w:type="dxa"/>
            <w:vAlign w:val="bottom"/>
            <w:vMerge w:val="restart"/>
          </w:tcPr>
          <w:p>
            <w:pPr>
              <w:ind w:left="220"/>
              <w:spacing w:after="0"/>
              <w:rPr>
                <w:sz w:val="20"/>
                <w:szCs w:val="20"/>
                <w:color w:val="auto"/>
              </w:rPr>
            </w:pPr>
            <w:r>
              <w:rPr>
                <w:rFonts w:ascii="Arial" w:cs="Arial" w:eastAsia="Arial" w:hAnsi="Arial"/>
                <w:sz w:val="18"/>
                <w:szCs w:val="18"/>
                <w:color w:val="auto"/>
              </w:rPr>
              <w:t>617,801.25</w:t>
            </w:r>
          </w:p>
        </w:tc>
        <w:tc>
          <w:tcPr>
            <w:tcW w:w="0" w:type="dxa"/>
            <w:vAlign w:val="bottom"/>
          </w:tcPr>
          <w:p>
            <w:pPr>
              <w:spacing w:after="0"/>
              <w:rPr>
                <w:sz w:val="1"/>
                <w:szCs w:val="1"/>
                <w:color w:val="auto"/>
              </w:rPr>
            </w:pPr>
          </w:p>
        </w:tc>
      </w:tr>
      <w:tr>
        <w:trPr>
          <w:trHeight w:val="175"/>
        </w:trPr>
        <w:tc>
          <w:tcPr>
            <w:tcW w:w="2080" w:type="dxa"/>
            <w:vAlign w:val="bottom"/>
          </w:tcPr>
          <w:p>
            <w:pPr>
              <w:jc w:val="center"/>
              <w:ind w:right="752"/>
              <w:spacing w:after="0" w:line="176" w:lineRule="exact"/>
              <w:rPr>
                <w:sz w:val="20"/>
                <w:szCs w:val="20"/>
                <w:color w:val="auto"/>
              </w:rPr>
            </w:pPr>
            <w:r>
              <w:rPr>
                <w:rFonts w:ascii="Arial" w:cs="Arial" w:eastAsia="Arial" w:hAnsi="Arial"/>
                <w:sz w:val="18"/>
                <w:szCs w:val="18"/>
                <w:color w:val="auto"/>
                <w:w w:val="97"/>
              </w:rPr>
              <w:t>OWNED BY</w:t>
            </w:r>
          </w:p>
        </w:tc>
        <w:tc>
          <w:tcPr>
            <w:tcW w:w="700" w:type="dxa"/>
            <w:vAlign w:val="bottom"/>
          </w:tcPr>
          <w:p>
            <w:pPr>
              <w:spacing w:after="0"/>
              <w:rPr>
                <w:sz w:val="15"/>
                <w:szCs w:val="15"/>
                <w:color w:val="auto"/>
              </w:rPr>
            </w:pPr>
          </w:p>
        </w:tc>
        <w:tc>
          <w:tcPr>
            <w:tcW w:w="7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80" w:type="dxa"/>
            <w:vAlign w:val="bottom"/>
            <w:vMerge w:val="restart"/>
          </w:tcPr>
          <w:p>
            <w:pPr>
              <w:jc w:val="center"/>
              <w:ind w:right="732"/>
              <w:spacing w:after="0"/>
              <w:rPr>
                <w:sz w:val="20"/>
                <w:szCs w:val="20"/>
                <w:color w:val="auto"/>
              </w:rPr>
            </w:pPr>
            <w:r>
              <w:rPr>
                <w:rFonts w:ascii="Arial" w:cs="Arial" w:eastAsia="Arial" w:hAnsi="Arial"/>
                <w:sz w:val="18"/>
                <w:szCs w:val="18"/>
                <w:color w:val="auto"/>
                <w:w w:val="99"/>
              </w:rPr>
              <w:t>EACH</w:t>
            </w:r>
          </w:p>
        </w:tc>
        <w:tc>
          <w:tcPr>
            <w:tcW w:w="70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80" w:type="dxa"/>
            <w:vAlign w:val="bottom"/>
            <w:vMerge w:val="continue"/>
          </w:tcPr>
          <w:p>
            <w:pPr>
              <w:spacing w:after="0"/>
              <w:rPr>
                <w:sz w:val="14"/>
                <w:szCs w:val="14"/>
                <w:color w:val="auto"/>
              </w:rPr>
            </w:pPr>
          </w:p>
        </w:tc>
        <w:tc>
          <w:tcPr>
            <w:tcW w:w="7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7</w:t>
            </w:r>
          </w:p>
        </w:tc>
        <w:tc>
          <w:tcPr>
            <w:tcW w:w="7520" w:type="dxa"/>
            <w:vAlign w:val="bottom"/>
          </w:tcPr>
          <w:p>
            <w:pPr>
              <w:ind w:left="22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2080" w:type="dxa"/>
            <w:vAlign w:val="bottom"/>
          </w:tcPr>
          <w:p>
            <w:pPr>
              <w:jc w:val="center"/>
              <w:ind w:right="752"/>
              <w:spacing w:after="0" w:line="135" w:lineRule="exact"/>
              <w:rPr>
                <w:sz w:val="20"/>
                <w:szCs w:val="20"/>
                <w:color w:val="auto"/>
              </w:rPr>
            </w:pPr>
            <w:r>
              <w:rPr>
                <w:rFonts w:ascii="Arial" w:cs="Arial" w:eastAsia="Arial" w:hAnsi="Arial"/>
                <w:sz w:val="15"/>
                <w:szCs w:val="15"/>
                <w:color w:val="auto"/>
              </w:rPr>
              <w:t>REPORTING</w:t>
            </w:r>
          </w:p>
        </w:tc>
        <w:tc>
          <w:tcPr>
            <w:tcW w:w="70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80" w:type="dxa"/>
            <w:vAlign w:val="bottom"/>
          </w:tcPr>
          <w:p>
            <w:pPr>
              <w:jc w:val="center"/>
              <w:ind w:right="732"/>
              <w:spacing w:after="0" w:line="191" w:lineRule="exact"/>
              <w:rPr>
                <w:sz w:val="20"/>
                <w:szCs w:val="20"/>
                <w:color w:val="auto"/>
              </w:rPr>
            </w:pPr>
            <w:r>
              <w:rPr>
                <w:rFonts w:ascii="Arial" w:cs="Arial" w:eastAsia="Arial" w:hAnsi="Arial"/>
                <w:sz w:val="18"/>
                <w:szCs w:val="18"/>
                <w:color w:val="auto"/>
                <w:w w:val="92"/>
              </w:rPr>
              <w:t>PERSON</w:t>
            </w:r>
          </w:p>
        </w:tc>
        <w:tc>
          <w:tcPr>
            <w:tcW w:w="700" w:type="dxa"/>
            <w:vAlign w:val="bottom"/>
          </w:tcPr>
          <w:p>
            <w:pPr>
              <w:spacing w:after="0"/>
              <w:rPr>
                <w:sz w:val="16"/>
                <w:szCs w:val="16"/>
                <w:color w:val="auto"/>
              </w:rPr>
            </w:pPr>
          </w:p>
        </w:tc>
        <w:tc>
          <w:tcPr>
            <w:tcW w:w="7520" w:type="dxa"/>
            <w:vAlign w:val="bottom"/>
          </w:tcPr>
          <w:p>
            <w:pPr>
              <w:ind w:left="220"/>
              <w:spacing w:after="0" w:line="19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9"/>
        </w:trPr>
        <w:tc>
          <w:tcPr>
            <w:tcW w:w="2080" w:type="dxa"/>
            <w:vAlign w:val="bottom"/>
            <w:vMerge w:val="restart"/>
          </w:tcPr>
          <w:p>
            <w:pPr>
              <w:jc w:val="center"/>
              <w:ind w:right="752"/>
              <w:spacing w:after="0"/>
              <w:rPr>
                <w:sz w:val="20"/>
                <w:szCs w:val="20"/>
                <w:color w:val="auto"/>
              </w:rPr>
            </w:pPr>
            <w:r>
              <w:rPr>
                <w:rFonts w:ascii="Arial" w:cs="Arial" w:eastAsia="Arial" w:hAnsi="Arial"/>
                <w:sz w:val="18"/>
                <w:szCs w:val="18"/>
                <w:color w:val="auto"/>
              </w:rPr>
              <w:t>WITH:</w:t>
            </w:r>
          </w:p>
        </w:tc>
        <w:tc>
          <w:tcPr>
            <w:tcW w:w="700" w:type="dxa"/>
            <w:vAlign w:val="bottom"/>
            <w:tcBorders>
              <w:bottom w:val="single" w:sz="8" w:color="auto"/>
            </w:tcBorders>
          </w:tcPr>
          <w:p>
            <w:pPr>
              <w:spacing w:after="0"/>
              <w:rPr>
                <w:sz w:val="6"/>
                <w:szCs w:val="6"/>
                <w:color w:val="auto"/>
              </w:rPr>
            </w:pPr>
          </w:p>
        </w:tc>
        <w:tc>
          <w:tcPr>
            <w:tcW w:w="7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80" w:type="dxa"/>
            <w:vAlign w:val="bottom"/>
            <w:vMerge w:val="continue"/>
          </w:tcPr>
          <w:p>
            <w:pPr>
              <w:spacing w:after="0"/>
              <w:rPr>
                <w:sz w:val="11"/>
                <w:szCs w:val="11"/>
                <w:color w:val="auto"/>
              </w:rPr>
            </w:pPr>
          </w:p>
        </w:tc>
        <w:tc>
          <w:tcPr>
            <w:tcW w:w="700" w:type="dxa"/>
            <w:vAlign w:val="bottom"/>
            <w:vMerge w:val="restart"/>
          </w:tcPr>
          <w:p>
            <w:pPr>
              <w:jc w:val="right"/>
              <w:ind w:right="130"/>
              <w:spacing w:after="0" w:line="169" w:lineRule="exact"/>
              <w:rPr>
                <w:sz w:val="20"/>
                <w:szCs w:val="20"/>
                <w:color w:val="auto"/>
              </w:rPr>
            </w:pPr>
            <w:r>
              <w:rPr>
                <w:rFonts w:ascii="Arial" w:cs="Arial" w:eastAsia="Arial" w:hAnsi="Arial"/>
                <w:sz w:val="18"/>
                <w:szCs w:val="18"/>
                <w:b w:val="1"/>
                <w:bCs w:val="1"/>
                <w:color w:val="auto"/>
              </w:rPr>
              <w:t>8</w:t>
            </w:r>
          </w:p>
        </w:tc>
        <w:tc>
          <w:tcPr>
            <w:tcW w:w="7520" w:type="dxa"/>
            <w:vAlign w:val="bottom"/>
            <w:vMerge w:val="restart"/>
          </w:tcPr>
          <w:p>
            <w:pPr>
              <w:ind w:left="220"/>
              <w:spacing w:after="0" w:line="16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20" w:type="dxa"/>
            <w:vAlign w:val="bottom"/>
          </w:tcPr>
          <w:p>
            <w:pPr>
              <w:ind w:left="220"/>
              <w:spacing w:after="0"/>
              <w:rPr>
                <w:sz w:val="20"/>
                <w:szCs w:val="20"/>
                <w:color w:val="auto"/>
              </w:rPr>
            </w:pPr>
            <w:r>
              <w:rPr>
                <w:rFonts w:ascii="Arial" w:cs="Arial" w:eastAsia="Arial" w:hAnsi="Arial"/>
                <w:sz w:val="18"/>
                <w:szCs w:val="18"/>
                <w:color w:val="auto"/>
              </w:rPr>
              <w:t>617,801.25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40" w:right="3800" w:hanging="437"/>
        <w:spacing w:after="0" w:line="342" w:lineRule="auto"/>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617,801.25</w:t>
      </w:r>
    </w:p>
    <w:p>
      <w:pPr>
        <w:ind w:left="740" w:hanging="483"/>
        <w:spacing w:after="0" w:line="212" w:lineRule="auto"/>
        <w:tabs>
          <w:tab w:leader="none" w:pos="740" w:val="left"/>
        </w:tabs>
        <w:numPr>
          <w:ilvl w:val="0"/>
          <w:numId w:val="9"/>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CHECK IF THE AGGREGATE AMOUNT IN ROW (9) EXCLUDES CERTAIN SHARES </w:t>
      </w:r>
      <w:r>
        <w:rPr>
          <w:rFonts w:ascii="Arial" w:cs="Arial" w:eastAsia="Arial" w:hAnsi="Arial"/>
          <w:sz w:val="21"/>
          <w:szCs w:val="21"/>
          <w:color w:val="auto"/>
        </w:rPr>
        <w:t>o</w:t>
      </w:r>
    </w:p>
    <w:p>
      <w:pPr>
        <w:spacing w:after="0" w:line="32" w:lineRule="exact"/>
        <w:rPr>
          <w:rFonts w:ascii="Arial" w:cs="Arial" w:eastAsia="Arial" w:hAnsi="Arial"/>
          <w:sz w:val="36"/>
          <w:szCs w:val="36"/>
          <w:b w:val="1"/>
          <w:bCs w:val="1"/>
          <w:color w:val="auto"/>
          <w:vertAlign w:val="superscript"/>
        </w:rPr>
      </w:pPr>
    </w:p>
    <w:p>
      <w:pPr>
        <w:ind w:left="740" w:right="5300" w:hanging="478"/>
        <w:spacing w:after="0" w:line="332" w:lineRule="auto"/>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5.8%</w:t>
      </w:r>
    </w:p>
    <w:p>
      <w:pPr>
        <w:spacing w:after="0" w:line="5" w:lineRule="exact"/>
        <w:rPr>
          <w:rFonts w:ascii="Arial" w:cs="Arial" w:eastAsia="Arial" w:hAnsi="Arial"/>
          <w:sz w:val="18"/>
          <w:szCs w:val="18"/>
          <w:b w:val="1"/>
          <w:bCs w:val="1"/>
          <w:color w:val="auto"/>
        </w:rPr>
      </w:pPr>
    </w:p>
    <w:p>
      <w:pPr>
        <w:ind w:left="740" w:right="7860" w:hanging="483"/>
        <w:spacing w:after="0" w:line="434" w:lineRule="auto"/>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EP</w:t>
      </w:r>
    </w:p>
    <w:p>
      <w:pPr>
        <w:sectPr>
          <w:pgSz w:w="11900" w:h="16838" w:orient="portrait"/>
          <w:cols w:equalWidth="0" w:num="1">
            <w:col w:w="11100"/>
          </w:cols>
          <w:pgMar w:left="480" w:top="1053" w:right="319" w:bottom="1440" w:gutter="0" w:footer="0" w:header="0"/>
          <w:type w:val="continuous"/>
        </w:sectPr>
      </w:pPr>
    </w:p>
    <w:bookmarkStart w:id="2" w:name="page3"/>
    <w:bookmarkEnd w:id="2"/>
    <w:p>
      <w:pPr>
        <w:spacing w:after="0"/>
        <w:tabs>
          <w:tab w:leader="none" w:pos="700" w:val="left"/>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Hawkins, Inc.</w:t>
      </w:r>
    </w:p>
    <w:p>
      <w:pPr>
        <w:spacing w:after="0" w:line="238" w:lineRule="exact"/>
        <w:rPr>
          <w:sz w:val="20"/>
          <w:szCs w:val="20"/>
          <w:color w:val="auto"/>
        </w:rPr>
      </w:pPr>
    </w:p>
    <w:p>
      <w:pPr>
        <w:ind w:left="1300" w:right="6740" w:hanging="644"/>
        <w:spacing w:after="0" w:line="258" w:lineRule="auto"/>
        <w:tabs>
          <w:tab w:leader="none" w:pos="10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2381 Rosegate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Roseville, MN 55113</w:t>
      </w:r>
    </w:p>
    <w:p>
      <w:pPr>
        <w:spacing w:after="0" w:line="232" w:lineRule="exact"/>
        <w:rPr>
          <w:sz w:val="20"/>
          <w:szCs w:val="20"/>
          <w:color w:val="auto"/>
        </w:rPr>
      </w:pPr>
    </w:p>
    <w:p>
      <w:pPr>
        <w:spacing w:after="0"/>
        <w:tabs>
          <w:tab w:leader="none" w:pos="700" w:val="left"/>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Name of Person Filing: </w:t>
      </w:r>
      <w:r>
        <w:rPr>
          <w:rFonts w:ascii="Arial" w:cs="Arial" w:eastAsia="Arial" w:hAnsi="Arial"/>
          <w:sz w:val="20"/>
          <w:szCs w:val="20"/>
          <w:color w:val="auto"/>
          <w:vertAlign w:val="superscript"/>
        </w:rPr>
        <w:t>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Hawkins, Inc. Employee Stock Ownership Plan and Trust</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w:t>
      </w:r>
    </w:p>
    <w:p>
      <w:pPr>
        <w:spacing w:after="0" w:line="238" w:lineRule="exact"/>
        <w:rPr>
          <w:sz w:val="20"/>
          <w:szCs w:val="20"/>
          <w:color w:val="auto"/>
        </w:rPr>
      </w:pPr>
    </w:p>
    <w:p>
      <w:pPr>
        <w:ind w:left="1300" w:right="5880" w:hanging="644"/>
        <w:spacing w:after="0" w:line="258" w:lineRule="auto"/>
        <w:tabs>
          <w:tab w:leader="none" w:pos="10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c/o Hawkins, Inc.</w:t>
      </w:r>
    </w:p>
    <w:p>
      <w:pPr>
        <w:spacing w:after="0" w:line="1" w:lineRule="exact"/>
        <w:rPr>
          <w:rFonts w:ascii="Arial" w:cs="Arial" w:eastAsia="Arial" w:hAnsi="Arial"/>
          <w:sz w:val="18"/>
          <w:szCs w:val="18"/>
          <w:color w:val="auto"/>
        </w:rPr>
      </w:pPr>
    </w:p>
    <w:p>
      <w:pPr>
        <w:ind w:left="1300" w:right="8380"/>
        <w:spacing w:after="0" w:line="323" w:lineRule="auto"/>
        <w:rPr>
          <w:rFonts w:ascii="Arial" w:cs="Arial" w:eastAsia="Arial" w:hAnsi="Arial"/>
          <w:sz w:val="18"/>
          <w:szCs w:val="18"/>
          <w:color w:val="auto"/>
        </w:rPr>
      </w:pPr>
      <w:r>
        <w:rPr>
          <w:rFonts w:ascii="Arial" w:cs="Arial" w:eastAsia="Arial" w:hAnsi="Arial"/>
          <w:sz w:val="16"/>
          <w:szCs w:val="16"/>
          <w:color w:val="auto"/>
        </w:rPr>
        <w:t>2381 Rosegate Roseville, MN 55113</w:t>
      </w:r>
    </w:p>
    <w:p>
      <w:pPr>
        <w:spacing w:after="0" w:line="165"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Minnesota</w:t>
      </w:r>
    </w:p>
    <w:p>
      <w:pPr>
        <w:spacing w:after="0" w:line="23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Title of Class of Securities: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$.05 per share</w:t>
      </w:r>
    </w:p>
    <w:p>
      <w:pPr>
        <w:spacing w:after="0" w:line="238" w:lineRule="exact"/>
        <w:rPr>
          <w:sz w:val="20"/>
          <w:szCs w:val="20"/>
          <w:color w:val="auto"/>
        </w:rPr>
      </w:pPr>
    </w:p>
    <w:p>
      <w:pPr>
        <w:ind w:left="1300" w:right="9000" w:hanging="644"/>
        <w:spacing w:after="0" w:line="342" w:lineRule="auto"/>
        <w:tabs>
          <w:tab w:leader="none" w:pos="10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0" w:lineRule="exact"/>
        <w:rPr>
          <w:sz w:val="20"/>
          <w:szCs w:val="20"/>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Broker or dealer registered under section 15 of the Act;</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Bank as defined in section 3(a)(6) of the Act;</w:t>
      </w:r>
    </w:p>
    <w:p>
      <w:pPr>
        <w:spacing w:after="0" w:line="192"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Insurance company as defined in section 3(a)(19) of the Act;</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Investment company registered under section 8 of the Investment Company Act of 1940;</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An investment adviser in accordance with § 240.13d-1(b)(1)(ii)(E);</w:t>
      </w:r>
    </w:p>
    <w:p>
      <w:pPr>
        <w:spacing w:after="0" w:line="137" w:lineRule="exact"/>
        <w:rPr>
          <w:rFonts w:ascii="Arial" w:cs="Arial" w:eastAsia="Arial" w:hAnsi="Arial"/>
          <w:sz w:val="18"/>
          <w:szCs w:val="18"/>
          <w:color w:val="auto"/>
        </w:rPr>
      </w:pPr>
    </w:p>
    <w:p>
      <w:pPr>
        <w:ind w:left="1020" w:hanging="364"/>
        <w:spacing w:after="0" w:line="242" w:lineRule="exact"/>
        <w:tabs>
          <w:tab w:leader="none" w:pos="1020" w:val="left"/>
        </w:tabs>
        <w:numPr>
          <w:ilvl w:val="0"/>
          <w:numId w:val="13"/>
        </w:numPr>
        <w:rPr>
          <w:rFonts w:ascii="Arial" w:cs="Arial" w:eastAsia="Arial" w:hAnsi="Arial"/>
          <w:sz w:val="18"/>
          <w:szCs w:val="18"/>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An employee benefit plan or endowment fund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1(b)(1)(ii)(F);</w:t>
      </w:r>
    </w:p>
    <w:p>
      <w:pPr>
        <w:spacing w:after="0" w:line="245" w:lineRule="exact"/>
        <w:rPr>
          <w:rFonts w:ascii="Arial" w:cs="Arial" w:eastAsia="Arial" w:hAnsi="Arial"/>
          <w:sz w:val="18"/>
          <w:szCs w:val="18"/>
          <w:color w:val="auto"/>
        </w:rPr>
      </w:pPr>
    </w:p>
    <w:p>
      <w:pPr>
        <w:ind w:left="1040" w:hanging="384"/>
        <w:spacing w:after="0" w:line="253" w:lineRule="exact"/>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parent holding company or control person in accordance with § 240.13d</w:t>
      </w:r>
      <w:r>
        <w:rPr>
          <w:rFonts w:ascii="MS PGothic" w:cs="MS PGothic" w:eastAsia="MS PGothic" w:hAnsi="MS PGothic"/>
          <w:sz w:val="17"/>
          <w:szCs w:val="17"/>
          <w:color w:val="auto"/>
        </w:rPr>
        <w:t>‑</w:t>
      </w:r>
      <w:r>
        <w:rPr>
          <w:rFonts w:ascii="Arial" w:cs="Arial" w:eastAsia="Arial" w:hAnsi="Arial"/>
          <w:sz w:val="17"/>
          <w:szCs w:val="17"/>
          <w:color w:val="auto"/>
        </w:rPr>
        <w:t>1(b)(1)(ii)(G);</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savings association as defined in Section 3(b) of the Federal Deposit Insurance Act;</w:t>
      </w:r>
    </w:p>
    <w:p>
      <w:pPr>
        <w:spacing w:after="0" w:line="192" w:lineRule="exact"/>
        <w:rPr>
          <w:rFonts w:ascii="Arial" w:cs="Arial" w:eastAsia="Arial" w:hAnsi="Arial"/>
          <w:sz w:val="18"/>
          <w:szCs w:val="18"/>
          <w:color w:val="auto"/>
        </w:rPr>
      </w:pPr>
    </w:p>
    <w:p>
      <w:pPr>
        <w:ind w:left="1620" w:right="2300" w:hanging="964"/>
        <w:spacing w:after="0" w:line="220" w:lineRule="auto"/>
        <w:tabs>
          <w:tab w:leader="none" w:pos="998"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church plan that is excluded from the definition of an investment company under section 3(c)(14) of the</w:t>
      </w:r>
      <w:r>
        <w:rPr>
          <w:rFonts w:ascii="Arial" w:cs="Arial" w:eastAsia="Arial" w:hAnsi="Arial"/>
          <w:sz w:val="22"/>
          <w:szCs w:val="22"/>
          <w:color w:val="auto"/>
        </w:rPr>
        <w:t xml:space="preserve"> </w:t>
      </w:r>
      <w:r>
        <w:rPr>
          <w:rFonts w:ascii="Arial" w:cs="Arial" w:eastAsia="Arial" w:hAnsi="Arial"/>
          <w:sz w:val="17"/>
          <w:szCs w:val="17"/>
          <w:color w:val="auto"/>
        </w:rPr>
        <w:t>Investment Company Act;</w:t>
      </w:r>
    </w:p>
    <w:p>
      <w:pPr>
        <w:spacing w:after="0" w:line="251" w:lineRule="exact"/>
        <w:rPr>
          <w:rFonts w:ascii="Arial" w:cs="Arial" w:eastAsia="Arial" w:hAnsi="Arial"/>
          <w:sz w:val="18"/>
          <w:szCs w:val="18"/>
          <w:color w:val="auto"/>
        </w:rPr>
      </w:pPr>
    </w:p>
    <w:p>
      <w:pPr>
        <w:ind w:left="1000" w:hanging="344"/>
        <w:spacing w:after="0" w:line="253" w:lineRule="exact"/>
        <w:tabs>
          <w:tab w:leader="none" w:pos="100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non-U.S. institution in accordance with § 240.13d</w:t>
      </w:r>
      <w:r>
        <w:rPr>
          <w:rFonts w:ascii="MS PGothic" w:cs="MS PGothic" w:eastAsia="MS PGothic" w:hAnsi="MS PGothic"/>
          <w:sz w:val="17"/>
          <w:szCs w:val="17"/>
          <w:color w:val="auto"/>
        </w:rPr>
        <w:t>‑</w:t>
      </w:r>
      <w:r>
        <w:rPr>
          <w:rFonts w:ascii="Arial" w:cs="Arial" w:eastAsia="Arial" w:hAnsi="Arial"/>
          <w:sz w:val="17"/>
          <w:szCs w:val="17"/>
          <w:color w:val="auto"/>
        </w:rPr>
        <w:t>1(b)(1)(ii)(J);</w:t>
      </w:r>
    </w:p>
    <w:p>
      <w:pPr>
        <w:spacing w:after="0" w:line="200" w:lineRule="exact"/>
        <w:rPr>
          <w:sz w:val="20"/>
          <w:szCs w:val="20"/>
          <w:color w:val="auto"/>
        </w:rPr>
      </w:pPr>
    </w:p>
    <w:p>
      <w:pPr>
        <w:spacing w:after="0" w:line="201" w:lineRule="exact"/>
        <w:rPr>
          <w:sz w:val="20"/>
          <w:szCs w:val="20"/>
          <w:color w:val="auto"/>
        </w:rPr>
      </w:pPr>
    </w:p>
    <w:p>
      <w:pPr>
        <w:ind w:firstLine="8"/>
        <w:spacing w:after="0" w:line="277" w:lineRule="auto"/>
        <w:tabs>
          <w:tab w:leader="none" w:pos="8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Trustee of the Hawkins, Inc. Employee Stock Ownership Plan and Trust and the Hawkins, Inc. Employee Stock Ownership Plan for Certain Collectively Bargained Employees and Trust (together, the “ESOP”) is BMO Harris Bank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769" w:right="339" w:bottom="1440" w:gutter="0" w:footer="0" w:header="0"/>
          <w:type w:val="continuous"/>
        </w:sectPr>
      </w:pPr>
    </w:p>
    <w:bookmarkStart w:id="3" w:name="page4"/>
    <w:bookmarkEnd w:id="3"/>
    <w:p>
      <w:pPr>
        <w:ind w:left="1620" w:hanging="964"/>
        <w:spacing w:after="0" w:line="232" w:lineRule="exact"/>
        <w:tabs>
          <w:tab w:leader="none" w:pos="1038" w:val="left"/>
        </w:tabs>
        <w:numPr>
          <w:ilvl w:val="0"/>
          <w:numId w:val="1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Group, in accordance with § 240.13d</w:t>
      </w:r>
      <w:r>
        <w:rPr>
          <w:rFonts w:ascii="MS PGothic" w:cs="MS PGothic" w:eastAsia="MS PGothic" w:hAnsi="MS PGothic"/>
          <w:sz w:val="17"/>
          <w:szCs w:val="17"/>
          <w:color w:val="auto"/>
        </w:rPr>
        <w:t>‑</w:t>
      </w:r>
      <w:r>
        <w:rPr>
          <w:rFonts w:ascii="Arial" w:cs="Arial" w:eastAsia="Arial" w:hAnsi="Arial"/>
          <w:sz w:val="17"/>
          <w:szCs w:val="17"/>
          <w:color w:val="auto"/>
        </w:rPr>
        <w:t>1(b)(1)(ii)(K). If filing as a non-U.S. institution in accordance with §240.13d-1(b)(1)(ii)(J), please</w:t>
      </w:r>
      <w:r>
        <w:rPr>
          <w:rFonts w:ascii="Arial" w:cs="Arial" w:eastAsia="Arial" w:hAnsi="Arial"/>
          <w:sz w:val="22"/>
          <w:szCs w:val="22"/>
          <w:color w:val="auto"/>
        </w:rPr>
        <w:t xml:space="preserve"> </w:t>
      </w:r>
      <w:r>
        <w:rPr>
          <w:rFonts w:ascii="Arial" w:cs="Arial" w:eastAsia="Arial" w:hAnsi="Arial"/>
          <w:sz w:val="17"/>
          <w:szCs w:val="17"/>
          <w:color w:val="auto"/>
        </w:rPr>
        <w:t>specify the type of institution:</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020" w:hanging="36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617,801.25</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5.8%.</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617,801.25.</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617,801.25.</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66" w:lineRule="exact"/>
        <w:rPr>
          <w:sz w:val="20"/>
          <w:szCs w:val="20"/>
          <w:color w:val="auto"/>
        </w:rPr>
      </w:pPr>
    </w:p>
    <w:p>
      <w:pPr>
        <w:ind w:left="660" w:right="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795" w:right="43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0"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Date: February 9, 2021</w:t>
      </w:r>
      <w:r>
        <w:rPr>
          <w:sz w:val="20"/>
          <w:szCs w:val="20"/>
          <w:color w:val="auto"/>
        </w:rPr>
        <w:tab/>
      </w:r>
      <w:r>
        <w:rPr>
          <w:rFonts w:ascii="Arial" w:cs="Arial" w:eastAsia="Arial" w:hAnsi="Arial"/>
          <w:sz w:val="18"/>
          <w:szCs w:val="18"/>
          <w:b w:val="1"/>
          <w:bCs w:val="1"/>
          <w:color w:val="auto"/>
        </w:rPr>
        <w:t>HAWKINS, INC. EMPLOYEE STOCK OWNERSHIP TRUST</w:t>
      </w:r>
    </w:p>
    <w:p>
      <w:pPr>
        <w:spacing w:after="0" w:line="252" w:lineRule="exact"/>
        <w:rPr>
          <w:sz w:val="20"/>
          <w:szCs w:val="20"/>
          <w:color w:val="auto"/>
        </w:rPr>
      </w:pPr>
    </w:p>
    <w:p>
      <w:pPr>
        <w:jc w:val="center"/>
        <w:ind w:right="-33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HAWKINS, INC., AS ADMINISTRATOR</w:t>
      </w:r>
    </w:p>
    <w:p>
      <w:pPr>
        <w:spacing w:after="0" w:line="256" w:lineRule="exact"/>
        <w:rPr>
          <w:sz w:val="20"/>
          <w:szCs w:val="20"/>
          <w:color w:val="auto"/>
        </w:rPr>
      </w:pPr>
    </w:p>
    <w:p>
      <w:pPr>
        <w:ind w:left="422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G. Erstad</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Richard G. Erstad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140"/>
      </w:cols>
      <w:pgMar w:left="320" w:top="7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lowerLetter"/>
      <w:start w:val="11"/>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2021-02-09T15:22:09Z</dcterms:created>
  <dcterms:modified xsi:type="dcterms:W3CDTF">2021-02-09T15:22:09Z</dcterms:modified>
</cp:coreProperties>
</file>