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26, 2020</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Hawkins,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46" w:right="339" w:bottom="1440" w:gutter="0" w:footer="0" w:header="0"/>
        </w:sectPr>
      </w:pPr>
    </w:p>
    <w:p>
      <w:pPr>
        <w:spacing w:after="0" w:line="232"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120" w:space="720"/>
            <w:col w:w="2460" w:space="720"/>
            <w:col w:w="2220"/>
          </w:cols>
          <w:pgMar w:left="320" w:top="1246" w:right="339" w:bottom="1440" w:gutter="0" w:footer="0" w:header="0"/>
          <w:type w:val="continuous"/>
        </w:sectPr>
      </w:pPr>
    </w:p>
    <w:p>
      <w:pPr>
        <w:ind w:left="70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540" w:space="720"/>
            <w:col w:w="2420" w:space="720"/>
            <w:col w:w="2840"/>
          </w:cols>
          <w:pgMar w:left="320" w:top="1246" w:right="339" w:bottom="1440" w:gutter="0" w:footer="0" w:header="0"/>
          <w:type w:val="continuous"/>
        </w:sectPr>
      </w:pPr>
    </w:p>
    <w:p>
      <w:pPr>
        <w:spacing w:after="0" w:line="289" w:lineRule="exact"/>
        <w:rPr>
          <w:sz w:val="24"/>
          <w:szCs w:val="24"/>
          <w:color w:val="auto"/>
        </w:rPr>
      </w:pPr>
    </w:p>
    <w:p>
      <w:pPr>
        <w:ind w:left="1140"/>
        <w:spacing w:after="0"/>
        <w:rPr>
          <w:sz w:val="20"/>
          <w:szCs w:val="20"/>
          <w:color w:val="auto"/>
        </w:rPr>
      </w:pPr>
      <w:r>
        <w:rPr>
          <w:rFonts w:ascii="Arial" w:cs="Arial" w:eastAsia="Arial" w:hAnsi="Arial"/>
          <w:sz w:val="15"/>
          <w:szCs w:val="15"/>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3" w:lineRule="exact"/>
        <w:rPr>
          <w:sz w:val="24"/>
          <w:szCs w:val="24"/>
          <w:color w:val="auto"/>
        </w:rPr>
      </w:pPr>
    </w:p>
    <w:p>
      <w:pPr>
        <w:sectPr>
          <w:pgSz w:w="11900" w:h="16838" w:orient="portrait"/>
          <w:cols w:equalWidth="0" w:num="3">
            <w:col w:w="3040" w:space="340"/>
            <w:col w:w="4540" w:space="720"/>
            <w:col w:w="2600"/>
          </w:cols>
          <w:pgMar w:left="320" w:top="1246" w:right="339" w:bottom="1440" w:gutter="0" w:footer="0" w:header="0"/>
          <w:type w:val="continuous"/>
        </w:sectPr>
      </w:pPr>
    </w:p>
    <w:p>
      <w:pPr>
        <w:ind w:left="13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1246" w:right="339" w:bottom="1440" w:gutter="0" w:footer="0" w:header="0"/>
          <w:type w:val="continuous"/>
        </w:sect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91" w:lineRule="exact"/>
        <w:rPr>
          <w:sz w:val="24"/>
          <w:szCs w:val="24"/>
          <w:color w:val="auto"/>
        </w:rPr>
      </w:pPr>
    </w:p>
    <w:p>
      <w:pPr>
        <w:ind w:right="240" w:firstLine="445"/>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tbl>
      <w:tblPr>
        <w:tblLayout w:type="fixed"/>
        <w:tblInd w:w="340" w:type="dxa"/>
        <w:tblCellMar>
          <w:top w:w="0" w:type="dxa"/>
          <w:left w:w="0" w:type="dxa"/>
          <w:bottom w:w="0" w:type="dxa"/>
          <w:right w:w="0" w:type="dxa"/>
        </w:tblCellMar>
      </w:tblPr>
      <w:tr>
        <w:trPr>
          <w:trHeight w:val="228"/>
        </w:trPr>
        <w:tc>
          <w:tcPr>
            <w:tcW w:w="354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Title of each class</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5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4"/>
        </w:trPr>
        <w:tc>
          <w:tcPr>
            <w:tcW w:w="354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460" w:type="dxa"/>
            <w:vAlign w:val="bottom"/>
          </w:tcPr>
          <w:p>
            <w:pPr>
              <w:jc w:val="center"/>
              <w:spacing w:after="0"/>
              <w:rPr>
                <w:sz w:val="20"/>
                <w:szCs w:val="20"/>
                <w:color w:val="auto"/>
              </w:rPr>
            </w:pPr>
            <w:r>
              <w:rPr>
                <w:rFonts w:ascii="Arial" w:cs="Arial" w:eastAsia="Arial" w:hAnsi="Arial"/>
                <w:sz w:val="16"/>
                <w:szCs w:val="16"/>
                <w:color w:val="auto"/>
              </w:rPr>
              <w:t>HWKN</w:t>
            </w:r>
          </w:p>
        </w:tc>
        <w:tc>
          <w:tcPr>
            <w:tcW w:w="4580" w:type="dxa"/>
            <w:vAlign w:val="bottom"/>
          </w:tcPr>
          <w:p>
            <w:pPr>
              <w:jc w:val="center"/>
              <w:ind w:right="11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16"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On May 20, 2020, Hawkins, Inc. (the “Company”) engaged Grant Thornton LLP (“GT”) to serve as the Company’s independent registered public accounting firm to audit its financial statements for the fiscal year ending March 28, 2021. As previously announced, the engagement of GT was approved by the Audit Committee of the Company’s Board of Directors after conducting a competitive process. During the fiscal years ended April 1, 2018 and March 31, 2019 and the subsequent interim period through and including May 20, 2020, the Company did not consult with Grant Thornton LLP with respect to any of the matters or reportable events set forth in Item 304(a)(2)(i) or (ii)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HAWKINS, INC.</w:t>
      </w:r>
    </w:p>
    <w:p>
      <w:pPr>
        <w:spacing w:after="0" w:line="333" w:lineRule="exact"/>
        <w:rPr>
          <w:sz w:val="20"/>
          <w:szCs w:val="20"/>
          <w:color w:val="auto"/>
        </w:rPr>
      </w:pPr>
    </w:p>
    <w:p>
      <w:pPr>
        <w:ind w:left="20"/>
        <w:spacing w:after="0"/>
        <w:tabs>
          <w:tab w:leader="none" w:pos="4560" w:val="left"/>
          <w:tab w:leader="none" w:pos="7280" w:val="left"/>
        </w:tabs>
        <w:rPr>
          <w:sz w:val="20"/>
          <w:szCs w:val="20"/>
          <w:color w:val="auto"/>
        </w:rPr>
      </w:pPr>
      <w:r>
        <w:rPr>
          <w:rFonts w:ascii="Arial" w:cs="Arial" w:eastAsia="Arial" w:hAnsi="Arial"/>
          <w:sz w:val="18"/>
          <w:szCs w:val="18"/>
          <w:color w:val="auto"/>
        </w:rPr>
        <w:t>Date: May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31750</wp:posOffset>
            </wp:positionV>
            <wp:extent cx="3874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57"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0920"/>
      </w:cols>
      <w:pgMar w:left="320" w:top="109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2020-05-26T15:34:48Z</dcterms:created>
  <dcterms:modified xsi:type="dcterms:W3CDTF">2020-05-26T15:34:48Z</dcterms:modified>
</cp:coreProperties>
</file>