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32"/>
          <w:szCs w:val="32"/>
          <w:b w:val="1"/>
          <w:bCs w:val="1"/>
          <w:color w:val="auto"/>
        </w:rPr>
        <w:t>UNITED STATES</w:t>
      </w:r>
    </w:p>
    <w:p>
      <w:pPr>
        <w:spacing w:after="0" w:line="1"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Washington, D.C. 20549</w:t>
      </w: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FORM 8-K</w:t>
      </w: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Calibri" w:cs="Calibri" w:eastAsia="Calibri" w:hAnsi="Calibri"/>
          <w:sz w:val="25"/>
          <w:szCs w:val="25"/>
          <w:b w:val="1"/>
          <w:bCs w:val="1"/>
          <w:color w:val="auto"/>
        </w:rPr>
        <w:t>CURRENT REPORT</w:t>
      </w:r>
    </w:p>
    <w:p>
      <w:pPr>
        <w:spacing w:after="0" w:line="169"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Pursuant to Secton 13 or 15(d) of the</w:t>
      </w:r>
    </w:p>
    <w:p>
      <w:pPr>
        <w:jc w:val="center"/>
        <w:spacing w:after="0" w:line="229" w:lineRule="auto"/>
        <w:rPr>
          <w:sz w:val="20"/>
          <w:szCs w:val="20"/>
          <w:color w:val="auto"/>
        </w:rPr>
      </w:pPr>
      <w:r>
        <w:rPr>
          <w:rFonts w:ascii="Calibri" w:cs="Calibri" w:eastAsia="Calibri" w:hAnsi="Calibri"/>
          <w:sz w:val="22"/>
          <w:szCs w:val="22"/>
          <w:b w:val="1"/>
          <w:bCs w:val="1"/>
          <w:color w:val="auto"/>
        </w:rPr>
        <w:t>Securites Exchange Act of 1934</w:t>
      </w:r>
    </w:p>
    <w:p>
      <w:pPr>
        <w:spacing w:after="0" w:line="150"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Date of Report (Date of earliest event reported) July 31, 2024</w:t>
      </w:r>
    </w:p>
    <w:p>
      <w:pPr>
        <w:spacing w:after="0" w:line="353" w:lineRule="exact"/>
        <w:rPr>
          <w:sz w:val="24"/>
          <w:szCs w:val="24"/>
          <w:color w:val="auto"/>
        </w:rPr>
      </w:pPr>
    </w:p>
    <w:p>
      <w:pPr>
        <w:jc w:val="center"/>
        <w:spacing w:after="0"/>
        <w:rPr>
          <w:sz w:val="20"/>
          <w:szCs w:val="20"/>
          <w:color w:val="auto"/>
        </w:rPr>
      </w:pPr>
      <w:r>
        <w:rPr>
          <w:rFonts w:ascii="Calibri" w:cs="Calibri" w:eastAsia="Calibri" w:hAnsi="Calibri"/>
          <w:sz w:val="43"/>
          <w:szCs w:val="43"/>
          <w:b w:val="1"/>
          <w:bCs w:val="1"/>
          <w:color w:val="auto"/>
        </w:rPr>
        <w:t>Hawkins, Inc.</w:t>
      </w:r>
    </w:p>
    <w:p>
      <w:pPr>
        <w:spacing w:after="0" w:line="27"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ectPr>
          <w:pgSz w:w="11900" w:h="16838" w:orient="portrait"/>
          <w:cols w:equalWidth="0" w:num="1">
            <w:col w:w="11240"/>
          </w:cols>
          <w:pgMar w:left="320" w:top="1030" w:right="339" w:bottom="1440" w:gutter="0" w:footer="0" w:header="0"/>
        </w:sectPr>
      </w:pPr>
    </w:p>
    <w:p>
      <w:pPr>
        <w:spacing w:after="0" w:line="42" w:lineRule="exact"/>
        <w:rPr>
          <w:sz w:val="24"/>
          <w:szCs w:val="24"/>
          <w:color w:val="auto"/>
        </w:rPr>
      </w:pPr>
    </w:p>
    <w:p>
      <w:pPr>
        <w:ind w:left="1200"/>
        <w:spacing w:after="0"/>
        <w:rPr>
          <w:sz w:val="20"/>
          <w:szCs w:val="20"/>
          <w:color w:val="auto"/>
        </w:rPr>
      </w:pPr>
      <w:r>
        <w:rPr>
          <w:rFonts w:ascii="Calibri" w:cs="Calibri" w:eastAsia="Calibri" w:hAnsi="Calibri"/>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2320"/>
        <w:spacing w:after="0"/>
        <w:rPr>
          <w:sz w:val="20"/>
          <w:szCs w:val="20"/>
          <w:color w:val="auto"/>
        </w:rPr>
      </w:pPr>
      <w:r>
        <w:rPr>
          <w:rFonts w:ascii="Calibri" w:cs="Calibri" w:eastAsia="Calibri" w:hAnsi="Calibri"/>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41-0771293</w:t>
      </w:r>
    </w:p>
    <w:p>
      <w:pPr>
        <w:spacing w:after="0" w:line="16" w:lineRule="exact"/>
        <w:rPr>
          <w:sz w:val="24"/>
          <w:szCs w:val="24"/>
          <w:color w:val="auto"/>
        </w:rPr>
      </w:pPr>
    </w:p>
    <w:p>
      <w:pPr>
        <w:sectPr>
          <w:pgSz w:w="11900" w:h="16838" w:orient="portrait"/>
          <w:cols w:equalWidth="0" w:num="3">
            <w:col w:w="4540" w:space="720"/>
            <w:col w:w="2820" w:space="720"/>
            <w:col w:w="2440"/>
          </w:cols>
          <w:pgMar w:left="320" w:top="1030" w:right="339" w:bottom="1440" w:gutter="0" w:footer="0" w:header="0"/>
          <w:type w:val="continuous"/>
        </w:sectPr>
      </w:pPr>
    </w:p>
    <w:p>
      <w:pPr>
        <w:ind w:left="900"/>
        <w:spacing w:after="0"/>
        <w:rPr>
          <w:sz w:val="20"/>
          <w:szCs w:val="20"/>
          <w:color w:val="auto"/>
        </w:rPr>
      </w:pPr>
      <w:r>
        <w:rPr>
          <w:rFonts w:ascii="Calibri" w:cs="Calibri" w:eastAsia="Calibri" w:hAnsi="Calibri"/>
          <w:sz w:val="14"/>
          <w:szCs w:val="14"/>
          <w:b w:val="1"/>
          <w:bCs w:val="1"/>
          <w:color w:val="auto"/>
        </w:rPr>
        <w:t>(State of Incorporaton)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(IRS Employer Identfcaton No.)</w:t>
      </w:r>
    </w:p>
    <w:p>
      <w:pPr>
        <w:spacing w:after="0" w:line="200" w:lineRule="exact"/>
        <w:rPr>
          <w:sz w:val="24"/>
          <w:szCs w:val="24"/>
          <w:color w:val="auto"/>
        </w:rPr>
      </w:pPr>
    </w:p>
    <w:p>
      <w:pPr>
        <w:sectPr>
          <w:pgSz w:w="11900" w:h="16838" w:orient="portrait"/>
          <w:cols w:equalWidth="0" w:num="3">
            <w:col w:w="4000" w:space="720"/>
            <w:col w:w="2820" w:space="720"/>
            <w:col w:w="2980"/>
          </w:cols>
          <w:pgMar w:left="320" w:top="1030" w:right="339" w:bottom="1440" w:gutter="0" w:footer="0" w:header="0"/>
          <w:type w:val="continuous"/>
        </w:sectPr>
      </w:pPr>
    </w:p>
    <w:p>
      <w:pPr>
        <w:spacing w:after="0" w:line="27" w:lineRule="exact"/>
        <w:rPr>
          <w:sz w:val="24"/>
          <w:szCs w:val="24"/>
          <w:color w:val="auto"/>
        </w:rPr>
      </w:pPr>
    </w:p>
    <w:p>
      <w:pPr>
        <w:ind w:left="900"/>
        <w:spacing w:after="0"/>
        <w:rPr>
          <w:sz w:val="20"/>
          <w:szCs w:val="20"/>
          <w:color w:val="auto"/>
        </w:rPr>
      </w:pPr>
      <w:r>
        <w:rPr>
          <w:rFonts w:ascii="Calibri" w:cs="Calibri" w:eastAsia="Calibri" w:hAnsi="Calibri"/>
          <w:sz w:val="17"/>
          <w:szCs w:val="17"/>
          <w:b w:val="1"/>
          <w:bCs w:val="1"/>
          <w:color w:val="auto"/>
        </w:rPr>
        <w:t>2381 Rosegate, Roseville,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Calibri" w:cs="Calibri" w:eastAsia="Calibri" w:hAnsi="Calibri"/>
          <w:sz w:val="18"/>
          <w:szCs w:val="18"/>
          <w:b w:val="1"/>
          <w:bCs w:val="1"/>
          <w:color w:val="auto"/>
        </w:rPr>
        <w:t>55113</w:t>
      </w:r>
    </w:p>
    <w:p>
      <w:pPr>
        <w:spacing w:after="0" w:line="8" w:lineRule="exact"/>
        <w:rPr>
          <w:sz w:val="24"/>
          <w:szCs w:val="24"/>
          <w:color w:val="auto"/>
        </w:rPr>
      </w:pPr>
    </w:p>
    <w:p>
      <w:pPr>
        <w:sectPr>
          <w:pgSz w:w="11900" w:h="16838" w:orient="portrait"/>
          <w:cols w:equalWidth="0" w:num="3">
            <w:col w:w="2740" w:space="380"/>
            <w:col w:w="5480" w:space="720"/>
            <w:col w:w="1920"/>
          </w:cols>
          <w:pgMar w:left="320" w:top="1030" w:right="339" w:bottom="1440" w:gutter="0" w:footer="0" w:header="0"/>
          <w:type w:val="continuous"/>
        </w:sectPr>
      </w:pPr>
    </w:p>
    <w:p>
      <w:pPr>
        <w:ind w:left="1200"/>
        <w:spacing w:after="0"/>
        <w:rPr>
          <w:sz w:val="20"/>
          <w:szCs w:val="20"/>
          <w:color w:val="auto"/>
        </w:rPr>
      </w:pPr>
      <w:r>
        <w:rPr>
          <w:rFonts w:ascii="Calibri" w:cs="Calibri" w:eastAsia="Calibri" w:hAnsi="Calibri"/>
          <w:sz w:val="14"/>
          <w:szCs w:val="14"/>
          <w:b w:val="1"/>
          <w:bCs w:val="1"/>
          <w:color w:val="auto"/>
        </w:rPr>
        <w:t>(Address of Principal Executve Ofces)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20" w:space="720"/>
            <w:col w:w="2000"/>
          </w:cols>
          <w:pgMar w:left="320" w:top="1030" w:right="339" w:bottom="1440" w:gutter="0" w:footer="0" w:header="0"/>
          <w:type w:val="continuous"/>
        </w:sectPr>
      </w:pPr>
    </w:p>
    <w:p>
      <w:pPr>
        <w:spacing w:after="0" w:line="306" w:lineRule="exact"/>
        <w:rPr>
          <w:sz w:val="24"/>
          <w:szCs w:val="24"/>
          <w:color w:val="auto"/>
        </w:rPr>
      </w:pPr>
    </w:p>
    <w:p>
      <w:pPr>
        <w:jc w:val="center"/>
        <w:ind w:right="-19"/>
        <w:spacing w:after="0"/>
        <w:rPr>
          <w:sz w:val="20"/>
          <w:szCs w:val="20"/>
          <w:color w:val="auto"/>
        </w:rPr>
      </w:pPr>
      <w:r>
        <w:rPr>
          <w:rFonts w:ascii="Calibri" w:cs="Calibri" w:eastAsia="Calibri" w:hAnsi="Calibri"/>
          <w:sz w:val="18"/>
          <w:szCs w:val="18"/>
          <w:b w:val="1"/>
          <w:bCs w:val="1"/>
          <w:color w:val="auto"/>
        </w:rPr>
        <w:t>Registrant’s Telephone Number, Including Area Code (612) 331-6910</w:t>
      </w:r>
    </w:p>
    <w:p>
      <w:pPr>
        <w:spacing w:after="0" w:line="325" w:lineRule="exact"/>
        <w:rPr>
          <w:sz w:val="24"/>
          <w:szCs w:val="24"/>
          <w:color w:val="auto"/>
        </w:rPr>
      </w:pPr>
    </w:p>
    <w:p>
      <w:pPr>
        <w:ind w:right="500" w:firstLine="445"/>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 (</w:t>
      </w:r>
      <w:r>
        <w:rPr>
          <w:rFonts w:ascii="Calibri" w:cs="Calibri" w:eastAsia="Calibri" w:hAnsi="Calibri"/>
          <w:sz w:val="18"/>
          <w:szCs w:val="18"/>
          <w:i w:val="1"/>
          <w:iCs w:val="1"/>
          <w:color w:val="auto"/>
        </w:rPr>
        <w:t>see</w:t>
      </w:r>
      <w:r>
        <w:rPr>
          <w:rFonts w:ascii="Calibri" w:cs="Calibri" w:eastAsia="Calibri" w:hAnsi="Calibri"/>
          <w:sz w:val="18"/>
          <w:szCs w:val="18"/>
          <w:color w:val="auto"/>
        </w:rPr>
        <w:t xml:space="preserve"> General Instructon A.2. below):</w:t>
      </w:r>
    </w:p>
    <w:p>
      <w:pPr>
        <w:spacing w:after="0" w:line="3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w:t>
      </w:r>
    </w:p>
    <w:p>
      <w:pPr>
        <w:spacing w:after="0" w:line="253" w:lineRule="exact"/>
        <w:rPr>
          <w:sz w:val="24"/>
          <w:szCs w:val="24"/>
          <w:color w:val="auto"/>
        </w:rPr>
      </w:pPr>
    </w:p>
    <w:p>
      <w:pPr>
        <w:spacing w:after="0"/>
        <w:rPr>
          <w:sz w:val="20"/>
          <w:szCs w:val="20"/>
          <w:color w:val="auto"/>
        </w:rPr>
      </w:pPr>
      <w:r>
        <w:rPr>
          <w:rFonts w:ascii="Calibri" w:cs="Calibri" w:eastAsia="Calibri" w:hAnsi="Calibri"/>
          <w:sz w:val="18"/>
          <w:szCs w:val="18"/>
          <w:color w:val="auto"/>
        </w:rPr>
        <w:t>Securites registered pursuant to Secton 12(b) of the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ind w:left="1160"/>
              <w:spacing w:after="0"/>
              <w:rPr>
                <w:sz w:val="20"/>
                <w:szCs w:val="20"/>
                <w:color w:val="auto"/>
              </w:rPr>
            </w:pPr>
            <w:r>
              <w:rPr>
                <w:rFonts w:ascii="Calibri" w:cs="Calibri" w:eastAsia="Calibri" w:hAnsi="Calibri"/>
                <w:sz w:val="16"/>
                <w:szCs w:val="16"/>
                <w:b w:val="1"/>
                <w:bCs w:val="1"/>
                <w:color w:val="auto"/>
              </w:rPr>
              <w:t>Title of each class</w:t>
            </w:r>
          </w:p>
        </w:tc>
        <w:tc>
          <w:tcPr>
            <w:tcW w:w="3080" w:type="dxa"/>
            <w:vAlign w:val="bottom"/>
          </w:tcPr>
          <w:p>
            <w:pPr>
              <w:jc w:val="center"/>
              <w:ind w:left="79"/>
              <w:spacing w:after="0"/>
              <w:rPr>
                <w:sz w:val="20"/>
                <w:szCs w:val="20"/>
                <w:color w:val="auto"/>
              </w:rPr>
            </w:pPr>
            <w:r>
              <w:rPr>
                <w:rFonts w:ascii="Calibri" w:cs="Calibri" w:eastAsia="Calibri" w:hAnsi="Calibri"/>
                <w:sz w:val="16"/>
                <w:szCs w:val="16"/>
                <w:b w:val="1"/>
                <w:bCs w:val="1"/>
                <w:color w:val="auto"/>
              </w:rPr>
              <w:t>Trading Symbol(s)</w:t>
            </w:r>
          </w:p>
        </w:tc>
        <w:tc>
          <w:tcPr>
            <w:tcW w:w="4240" w:type="dxa"/>
            <w:vAlign w:val="bottom"/>
          </w:tcPr>
          <w:p>
            <w:pPr>
              <w:jc w:val="center"/>
              <w:ind w:left="319"/>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55"/>
        </w:trPr>
        <w:tc>
          <w:tcPr>
            <w:tcW w:w="370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r>
      <w:tr>
        <w:trPr>
          <w:trHeight w:val="187"/>
        </w:trPr>
        <w:tc>
          <w:tcPr>
            <w:tcW w:w="3700" w:type="dxa"/>
            <w:vAlign w:val="bottom"/>
          </w:tcPr>
          <w:p>
            <w:pPr>
              <w:ind w:left="20"/>
              <w:spacing w:after="0" w:line="187" w:lineRule="exact"/>
              <w:rPr>
                <w:sz w:val="20"/>
                <w:szCs w:val="20"/>
                <w:color w:val="auto"/>
              </w:rPr>
            </w:pPr>
            <w:r>
              <w:rPr>
                <w:rFonts w:ascii="Calibri" w:cs="Calibri" w:eastAsia="Calibri" w:hAnsi="Calibri"/>
                <w:sz w:val="16"/>
                <w:szCs w:val="16"/>
                <w:color w:val="auto"/>
              </w:rPr>
              <w:t>Common Stock, par value $.01 per share</w:t>
            </w:r>
          </w:p>
        </w:tc>
        <w:tc>
          <w:tcPr>
            <w:tcW w:w="3080" w:type="dxa"/>
            <w:vAlign w:val="bottom"/>
          </w:tcPr>
          <w:p>
            <w:pPr>
              <w:jc w:val="center"/>
              <w:ind w:left="99"/>
              <w:spacing w:after="0" w:line="187" w:lineRule="exact"/>
              <w:rPr>
                <w:sz w:val="20"/>
                <w:szCs w:val="20"/>
                <w:color w:val="auto"/>
              </w:rPr>
            </w:pPr>
            <w:r>
              <w:rPr>
                <w:rFonts w:ascii="Calibri" w:cs="Calibri" w:eastAsia="Calibri" w:hAnsi="Calibri"/>
                <w:sz w:val="16"/>
                <w:szCs w:val="16"/>
                <w:color w:val="auto"/>
                <w:w w:val="97"/>
              </w:rPr>
              <w:t>HWKN</w:t>
            </w:r>
          </w:p>
        </w:tc>
        <w:tc>
          <w:tcPr>
            <w:tcW w:w="4240" w:type="dxa"/>
            <w:vAlign w:val="bottom"/>
          </w:tcPr>
          <w:p>
            <w:pPr>
              <w:jc w:val="center"/>
              <w:ind w:left="299"/>
              <w:spacing w:after="0" w:line="187" w:lineRule="exact"/>
              <w:rPr>
                <w:sz w:val="20"/>
                <w:szCs w:val="20"/>
                <w:color w:val="auto"/>
              </w:rPr>
            </w:pPr>
            <w:r>
              <w:rPr>
                <w:rFonts w:ascii="Calibri" w:cs="Calibri" w:eastAsia="Calibri" w:hAnsi="Calibri"/>
                <w:sz w:val="16"/>
                <w:szCs w:val="16"/>
                <w:color w:val="auto"/>
              </w:rPr>
              <w:t>Nasdaq Stock Market LLC</w:t>
            </w:r>
          </w:p>
        </w:tc>
      </w:tr>
    </w:tbl>
    <w:p>
      <w:pPr>
        <w:spacing w:after="0" w:line="365" w:lineRule="exact"/>
        <w:rPr>
          <w:sz w:val="24"/>
          <w:szCs w:val="24"/>
          <w:color w:val="auto"/>
        </w:rPr>
      </w:pPr>
    </w:p>
    <w:p>
      <w:pPr>
        <w:ind w:right="12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(17 CFR 230.405) or Rule 12b-2 of the Exchange Act (17 CFR 240.12b 2).</w:t>
      </w:r>
    </w:p>
    <w:p>
      <w:pPr>
        <w:spacing w:after="0" w:line="203" w:lineRule="exact"/>
        <w:rPr>
          <w:sz w:val="24"/>
          <w:szCs w:val="24"/>
          <w:color w:val="auto"/>
        </w:rPr>
      </w:pPr>
    </w:p>
    <w:p>
      <w:pPr>
        <w:ind w:left="8980"/>
        <w:spacing w:after="0" w:line="220" w:lineRule="exact"/>
        <w:tabs>
          <w:tab w:leader="none" w:pos="11060" w:val="left"/>
        </w:tabs>
        <w:rPr>
          <w:sz w:val="20"/>
          <w:szCs w:val="20"/>
          <w:color w:val="auto"/>
        </w:rPr>
      </w:pPr>
      <w:r>
        <w:rPr>
          <w:rFonts w:ascii="Calibri" w:cs="Calibri" w:eastAsia="Calibri" w:hAnsi="Calibri"/>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86" w:lineRule="exact"/>
        <w:rPr>
          <w:sz w:val="24"/>
          <w:szCs w:val="24"/>
          <w:color w:val="auto"/>
        </w:rPr>
      </w:pPr>
    </w:p>
    <w:p>
      <w:pPr>
        <w:ind w:right="100"/>
        <w:spacing w:after="0" w:line="241"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8"/>
          <w:szCs w:val="18"/>
          <w:b w:val="1"/>
          <w:bCs w:val="1"/>
          <w:color w:val="auto"/>
        </w:rPr>
        <w:t>Item 2.02. Results of Operatons and Financial Conditon.</w:t>
      </w:r>
    </w:p>
    <w:p>
      <w:pPr>
        <w:spacing w:after="0" w:line="96" w:lineRule="exact"/>
        <w:rPr>
          <w:sz w:val="20"/>
          <w:szCs w:val="20"/>
          <w:color w:val="auto"/>
        </w:rPr>
      </w:pPr>
    </w:p>
    <w:p>
      <w:pPr>
        <w:ind w:right="340" w:firstLine="405"/>
        <w:spacing w:after="0" w:line="235" w:lineRule="auto"/>
        <w:rPr>
          <w:sz w:val="20"/>
          <w:szCs w:val="20"/>
          <w:color w:val="auto"/>
        </w:rPr>
      </w:pPr>
      <w:r>
        <w:rPr>
          <w:rFonts w:ascii="Calibri" w:cs="Calibri" w:eastAsia="Calibri" w:hAnsi="Calibri"/>
          <w:sz w:val="18"/>
          <w:szCs w:val="18"/>
          <w:color w:val="auto"/>
        </w:rPr>
        <w:t>On July 31, 2024, Hawkins, Inc. issued a press release announcing fnancial results for its fscal 2025 frst quarter ended June 30, 2024. A copy of the press release issued by the Registrant is furnished herewith as Exhibit 99.1 hereto and is incorporated herein by reference.</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9.01. Financial Statements and Exhibits.</w:t>
      </w:r>
    </w:p>
    <w:p>
      <w:pPr>
        <w:spacing w:after="0" w:line="104"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 xml:space="preserve">(d) </w:t>
      </w:r>
      <w:r>
        <w:rPr>
          <w:rFonts w:ascii="Calibri" w:cs="Calibri" w:eastAsia="Calibri" w:hAnsi="Calibri"/>
          <w:sz w:val="18"/>
          <w:szCs w:val="18"/>
          <w:u w:val="single" w:color="auto"/>
          <w:color w:val="auto"/>
        </w:rPr>
        <w:t>Exhibits</w:t>
      </w:r>
      <w:r>
        <w:rPr>
          <w:rFonts w:ascii="Calibri" w:cs="Calibri" w:eastAsia="Calibri" w:hAnsi="Calibri"/>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gridSpan w:val="4"/>
          </w:tcPr>
          <w:p>
            <w:pPr>
              <w:ind w:left="20"/>
              <w:spacing w:after="0"/>
              <w:rPr>
                <w:sz w:val="20"/>
                <w:szCs w:val="20"/>
                <w:color w:val="auto"/>
              </w:rPr>
            </w:pPr>
            <w:r>
              <w:rPr>
                <w:rFonts w:ascii="Calibri" w:cs="Calibri" w:eastAsia="Calibri" w:hAnsi="Calibri"/>
                <w:sz w:val="14"/>
                <w:szCs w:val="14"/>
                <w:color w:val="auto"/>
              </w:rPr>
              <w:t>Exhibit No.</w:t>
            </w:r>
          </w:p>
        </w:tc>
        <w:tc>
          <w:tcPr>
            <w:tcW w:w="7360" w:type="dxa"/>
            <w:vAlign w:val="bottom"/>
            <w:gridSpan w:val="2"/>
          </w:tcPr>
          <w:p>
            <w:pPr>
              <w:ind w:left="20"/>
              <w:spacing w:after="0"/>
              <w:rPr>
                <w:sz w:val="20"/>
                <w:szCs w:val="20"/>
                <w:color w:val="auto"/>
              </w:rPr>
            </w:pPr>
            <w:r>
              <w:rPr>
                <w:rFonts w:ascii="Calibri" w:cs="Calibri" w:eastAsia="Calibri" w:hAnsi="Calibri"/>
                <w:sz w:val="14"/>
                <w:szCs w:val="14"/>
                <w:color w:val="auto"/>
              </w:rPr>
              <w:t>Descripton</w:t>
            </w:r>
          </w:p>
        </w:tc>
        <w:tc>
          <w:tcPr>
            <w:tcW w:w="1720" w:type="dxa"/>
            <w:vAlign w:val="bottom"/>
            <w:gridSpan w:val="2"/>
          </w:tcPr>
          <w:p>
            <w:pPr>
              <w:jc w:val="center"/>
              <w:ind w:right="40"/>
              <w:spacing w:after="0"/>
              <w:rPr>
                <w:sz w:val="20"/>
                <w:szCs w:val="20"/>
                <w:color w:val="auto"/>
              </w:rPr>
            </w:pPr>
            <w:r>
              <w:rPr>
                <w:rFonts w:ascii="Calibri" w:cs="Calibri" w:eastAsia="Calibri" w:hAnsi="Calibri"/>
                <w:sz w:val="14"/>
                <w:szCs w:val="14"/>
                <w:color w:val="auto"/>
              </w:rPr>
              <w:t>Method of Filing</w:t>
            </w:r>
          </w:p>
        </w:tc>
      </w:tr>
      <w:tr>
        <w:trPr>
          <w:trHeight w:val="47"/>
        </w:trPr>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10"/>
        </w:trPr>
        <w:tc>
          <w:tcPr>
            <w:tcW w:w="1660" w:type="dxa"/>
            <w:vAlign w:val="bottom"/>
            <w:gridSpan w:val="3"/>
          </w:tcPr>
          <w:p>
            <w:pPr>
              <w:ind w:left="1320"/>
              <w:spacing w:after="0" w:line="209" w:lineRule="exact"/>
              <w:rPr>
                <w:sz w:val="20"/>
                <w:szCs w:val="20"/>
                <w:color w:val="auto"/>
              </w:rPr>
            </w:pPr>
            <w:r>
              <w:rPr>
                <w:rFonts w:ascii="Calibri" w:cs="Calibri" w:eastAsia="Calibri" w:hAnsi="Calibri"/>
                <w:sz w:val="18"/>
                <w:szCs w:val="18"/>
                <w:color w:val="0000FF"/>
              </w:rPr>
              <w:t>99.</w:t>
            </w:r>
            <w:r>
              <w:rPr>
                <w:rFonts w:ascii="Calibri" w:cs="Calibri" w:eastAsia="Calibri" w:hAnsi="Calibri"/>
                <w:sz w:val="18"/>
                <w:szCs w:val="18"/>
                <w:u w:val="single" w:color="auto"/>
                <w:color w:val="0000FF"/>
              </w:rPr>
              <w:t>1</w:t>
            </w:r>
          </w:p>
        </w:tc>
        <w:tc>
          <w:tcPr>
            <w:tcW w:w="500" w:type="dxa"/>
            <w:vAlign w:val="bottom"/>
          </w:tcPr>
          <w:p>
            <w:pPr>
              <w:spacing w:after="0"/>
              <w:rPr>
                <w:sz w:val="18"/>
                <w:szCs w:val="18"/>
                <w:color w:val="auto"/>
              </w:rPr>
            </w:pPr>
          </w:p>
        </w:tc>
        <w:tc>
          <w:tcPr>
            <w:tcW w:w="7360" w:type="dxa"/>
            <w:vAlign w:val="bottom"/>
            <w:gridSpan w:val="2"/>
          </w:tcPr>
          <w:p>
            <w:pPr>
              <w:ind w:left="20"/>
              <w:spacing w:after="0" w:line="209" w:lineRule="exact"/>
              <w:rPr>
                <w:sz w:val="20"/>
                <w:szCs w:val="20"/>
                <w:color w:val="auto"/>
              </w:rPr>
            </w:pPr>
            <w:r>
              <w:rPr>
                <w:rFonts w:ascii="Calibri" w:cs="Calibri" w:eastAsia="Calibri" w:hAnsi="Calibri"/>
                <w:sz w:val="18"/>
                <w:szCs w:val="18"/>
                <w:color w:val="auto"/>
              </w:rPr>
              <w:t>Press Release, dated July 31, 2024, announcing fnancial results of Hawkins, Inc. for its fscal</w:t>
            </w:r>
          </w:p>
        </w:tc>
        <w:tc>
          <w:tcPr>
            <w:tcW w:w="1720" w:type="dxa"/>
            <w:vAlign w:val="bottom"/>
            <w:gridSpan w:val="2"/>
          </w:tcPr>
          <w:p>
            <w:pPr>
              <w:jc w:val="center"/>
              <w:ind w:right="40"/>
              <w:spacing w:after="0" w:line="209" w:lineRule="exact"/>
              <w:rPr>
                <w:sz w:val="20"/>
                <w:szCs w:val="20"/>
                <w:color w:val="auto"/>
              </w:rPr>
            </w:pPr>
            <w:r>
              <w:rPr>
                <w:rFonts w:ascii="Calibri" w:cs="Calibri" w:eastAsia="Calibri" w:hAnsi="Calibri"/>
                <w:sz w:val="18"/>
                <w:szCs w:val="18"/>
                <w:color w:val="auto"/>
                <w:w w:val="96"/>
              </w:rPr>
              <w:t>Filed Electronically</w:t>
            </w:r>
          </w:p>
        </w:tc>
      </w:tr>
      <w:tr>
        <w:trPr>
          <w:trHeight w:val="195"/>
        </w:trPr>
        <w:tc>
          <w:tcPr>
            <w:tcW w:w="13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360" w:type="dxa"/>
            <w:vAlign w:val="bottom"/>
            <w:gridSpan w:val="2"/>
          </w:tcPr>
          <w:p>
            <w:pPr>
              <w:ind w:left="20"/>
              <w:spacing w:after="0" w:line="195" w:lineRule="exact"/>
              <w:rPr>
                <w:sz w:val="20"/>
                <w:szCs w:val="20"/>
                <w:color w:val="auto"/>
              </w:rPr>
            </w:pPr>
            <w:r>
              <w:rPr>
                <w:rFonts w:ascii="Calibri" w:cs="Calibri" w:eastAsia="Calibri" w:hAnsi="Calibri"/>
                <w:sz w:val="18"/>
                <w:szCs w:val="18"/>
                <w:color w:val="auto"/>
              </w:rPr>
              <w:t>2025 frst quarter ended June 30, 2024.</w:t>
            </w: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1640" w:type="dxa"/>
            <w:vAlign w:val="bottom"/>
            <w:gridSpan w:val="2"/>
          </w:tcPr>
          <w:p>
            <w:pPr>
              <w:ind w:left="1320"/>
              <w:spacing w:after="0"/>
              <w:rPr>
                <w:sz w:val="20"/>
                <w:szCs w:val="20"/>
                <w:color w:val="auto"/>
              </w:rPr>
            </w:pPr>
            <w:r>
              <w:rPr>
                <w:rFonts w:ascii="Calibri" w:cs="Calibri" w:eastAsia="Calibri" w:hAnsi="Calibri"/>
                <w:sz w:val="18"/>
                <w:szCs w:val="18"/>
                <w:color w:val="auto"/>
              </w:rPr>
              <w:t>104</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360" w:type="dxa"/>
            <w:vAlign w:val="bottom"/>
            <w:gridSpan w:val="2"/>
          </w:tcPr>
          <w:p>
            <w:pPr>
              <w:ind w:left="20"/>
              <w:spacing w:after="0"/>
              <w:rPr>
                <w:sz w:val="20"/>
                <w:szCs w:val="20"/>
                <w:color w:val="auto"/>
              </w:rPr>
            </w:pPr>
            <w:r>
              <w:rPr>
                <w:rFonts w:ascii="Calibri" w:cs="Calibri" w:eastAsia="Calibri" w:hAnsi="Calibri"/>
                <w:sz w:val="18"/>
                <w:szCs w:val="18"/>
                <w:color w:val="auto"/>
              </w:rPr>
              <w:t>Cover Page Interactve Data File (embedded within the inline XBRL document)</w:t>
            </w:r>
          </w:p>
        </w:tc>
        <w:tc>
          <w:tcPr>
            <w:tcW w:w="1720" w:type="dxa"/>
            <w:vAlign w:val="bottom"/>
            <w:gridSpan w:val="2"/>
          </w:tcPr>
          <w:p>
            <w:pPr>
              <w:jc w:val="center"/>
              <w:ind w:right="40"/>
              <w:spacing w:after="0"/>
              <w:rPr>
                <w:sz w:val="20"/>
                <w:szCs w:val="20"/>
                <w:color w:val="auto"/>
              </w:rPr>
            </w:pPr>
            <w:r>
              <w:rPr>
                <w:rFonts w:ascii="Calibri" w:cs="Calibri" w:eastAsia="Calibri" w:hAnsi="Calibri"/>
                <w:sz w:val="18"/>
                <w:szCs w:val="18"/>
                <w:color w:val="auto"/>
                <w:w w:val="96"/>
              </w:rPr>
              <w:t>Filed Electronically</w:t>
            </w:r>
          </w:p>
        </w:tc>
      </w:tr>
      <w:tr>
        <w:trPr>
          <w:trHeight w:val="1246"/>
        </w:trPr>
        <w:tc>
          <w:tcPr>
            <w:tcW w:w="1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1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sz w:val="20"/>
          <w:szCs w:val="20"/>
          <w:color w:val="auto"/>
        </w:rPr>
      </w:pPr>
    </w:p>
    <w:p>
      <w:pPr>
        <w:ind w:right="560" w:firstLine="445"/>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hereunto duly authorized.</w:t>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2920" w:type="dxa"/>
            <w:vAlign w:val="bottom"/>
          </w:tcPr>
          <w:p>
            <w:pPr>
              <w:spacing w:after="0"/>
              <w:rPr>
                <w:sz w:val="19"/>
                <w:szCs w:val="19"/>
                <w:color w:val="auto"/>
              </w:rPr>
            </w:pPr>
          </w:p>
        </w:tc>
        <w:tc>
          <w:tcPr>
            <w:tcW w:w="3000" w:type="dxa"/>
            <w:vAlign w:val="bottom"/>
            <w:gridSpan w:val="2"/>
          </w:tcPr>
          <w:p>
            <w:pPr>
              <w:ind w:left="1560"/>
              <w:spacing w:after="0"/>
              <w:rPr>
                <w:sz w:val="20"/>
                <w:szCs w:val="20"/>
                <w:color w:val="auto"/>
              </w:rPr>
            </w:pPr>
            <w:r>
              <w:rPr>
                <w:rFonts w:ascii="Calibri" w:cs="Calibri" w:eastAsia="Calibri" w:hAnsi="Calibri"/>
                <w:sz w:val="18"/>
                <w:szCs w:val="18"/>
                <w:color w:val="auto"/>
              </w:rPr>
              <w:t>HAWKINS, INC.</w:t>
            </w:r>
          </w:p>
        </w:tc>
        <w:tc>
          <w:tcPr>
            <w:tcW w:w="5260" w:type="dxa"/>
            <w:vAlign w:val="bottom"/>
          </w:tcPr>
          <w:p>
            <w:pPr>
              <w:spacing w:after="0"/>
              <w:rPr>
                <w:sz w:val="19"/>
                <w:szCs w:val="19"/>
                <w:color w:val="auto"/>
              </w:rPr>
            </w:pPr>
          </w:p>
        </w:tc>
      </w:tr>
      <w:tr>
        <w:trPr>
          <w:trHeight w:val="284"/>
        </w:trPr>
        <w:tc>
          <w:tcPr>
            <w:tcW w:w="2920" w:type="dxa"/>
            <w:vAlign w:val="bottom"/>
          </w:tcPr>
          <w:p>
            <w:pPr>
              <w:spacing w:after="0"/>
              <w:rPr>
                <w:sz w:val="20"/>
                <w:szCs w:val="20"/>
                <w:color w:val="auto"/>
              </w:rPr>
            </w:pPr>
            <w:r>
              <w:rPr>
                <w:rFonts w:ascii="Calibri" w:cs="Calibri" w:eastAsia="Calibri" w:hAnsi="Calibri"/>
                <w:sz w:val="18"/>
                <w:szCs w:val="18"/>
                <w:color w:val="auto"/>
              </w:rPr>
              <w:t>Date: July 31, 2024</w:t>
            </w:r>
          </w:p>
        </w:tc>
        <w:tc>
          <w:tcPr>
            <w:tcW w:w="3000" w:type="dxa"/>
            <w:vAlign w:val="bottom"/>
            <w:gridSpan w:val="2"/>
          </w:tcPr>
          <w:p>
            <w:pPr>
              <w:ind w:left="1560"/>
              <w:spacing w:after="0"/>
              <w:rPr>
                <w:sz w:val="20"/>
                <w:szCs w:val="20"/>
                <w:color w:val="auto"/>
              </w:rPr>
            </w:pPr>
            <w:r>
              <w:rPr>
                <w:rFonts w:ascii="Calibri" w:cs="Calibri" w:eastAsia="Calibri" w:hAnsi="Calibri"/>
                <w:sz w:val="18"/>
                <w:szCs w:val="18"/>
                <w:color w:val="auto"/>
              </w:rPr>
              <w:t>By:</w:t>
            </w:r>
          </w:p>
        </w:tc>
        <w:tc>
          <w:tcPr>
            <w:tcW w:w="5260" w:type="dxa"/>
            <w:vAlign w:val="bottom"/>
          </w:tcPr>
          <w:p>
            <w:pPr>
              <w:jc w:val="center"/>
              <w:ind w:right="810"/>
              <w:spacing w:after="0"/>
              <w:rPr>
                <w:sz w:val="20"/>
                <w:szCs w:val="20"/>
                <w:color w:val="auto"/>
              </w:rPr>
            </w:pPr>
            <w:r>
              <w:rPr>
                <w:rFonts w:ascii="Calibri" w:cs="Calibri" w:eastAsia="Calibri" w:hAnsi="Calibri"/>
                <w:sz w:val="18"/>
                <w:szCs w:val="18"/>
                <w:color w:val="auto"/>
                <w:w w:val="98"/>
              </w:rPr>
              <w:t>/s/ Jefrey P. Oldenkamp</w:t>
            </w:r>
          </w:p>
        </w:tc>
      </w:tr>
      <w:tr>
        <w:trPr>
          <w:trHeight w:val="23"/>
        </w:trPr>
        <w:tc>
          <w:tcPr>
            <w:tcW w:w="29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08"/>
        </w:trPr>
        <w:tc>
          <w:tcPr>
            <w:tcW w:w="29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60" w:type="dxa"/>
            <w:vAlign w:val="bottom"/>
          </w:tcPr>
          <w:p>
            <w:pPr>
              <w:jc w:val="center"/>
              <w:ind w:right="810"/>
              <w:spacing w:after="0" w:line="208" w:lineRule="exact"/>
              <w:rPr>
                <w:sz w:val="20"/>
                <w:szCs w:val="20"/>
                <w:color w:val="auto"/>
              </w:rPr>
            </w:pPr>
            <w:r>
              <w:rPr>
                <w:rFonts w:ascii="Calibri" w:cs="Calibri" w:eastAsia="Calibri" w:hAnsi="Calibri"/>
                <w:sz w:val="18"/>
                <w:szCs w:val="18"/>
                <w:color w:val="auto"/>
                <w:w w:val="98"/>
              </w:rPr>
              <w:t>Jefrey P. Oldenkamp</w:t>
            </w:r>
          </w:p>
        </w:tc>
      </w:tr>
      <w:tr>
        <w:trPr>
          <w:trHeight w:val="221"/>
        </w:trPr>
        <w:tc>
          <w:tcPr>
            <w:tcW w:w="29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60" w:type="dxa"/>
            <w:vAlign w:val="bottom"/>
          </w:tcPr>
          <w:p>
            <w:pPr>
              <w:jc w:val="center"/>
              <w:ind w:right="810"/>
              <w:spacing w:after="0"/>
              <w:rPr>
                <w:sz w:val="20"/>
                <w:szCs w:val="20"/>
                <w:color w:val="auto"/>
              </w:rPr>
            </w:pPr>
            <w:r>
              <w:rPr>
                <w:rFonts w:ascii="Calibri" w:cs="Calibri" w:eastAsia="Calibri" w:hAnsi="Calibri"/>
                <w:sz w:val="18"/>
                <w:szCs w:val="18"/>
                <w:color w:val="auto"/>
              </w:rPr>
              <w:t>Executve Vice President and Chief Financial Ofcer</w:t>
            </w:r>
          </w:p>
        </w:tc>
      </w:tr>
    </w:tbl>
    <w:p>
      <w:pPr>
        <w:sectPr>
          <w:pgSz w:w="11900" w:h="16838" w:orient="portrait"/>
          <w:cols w:equalWidth="0" w:num="1">
            <w:col w:w="11240"/>
          </w:cols>
          <w:pgMar w:left="320" w:top="882" w:right="339" w:bottom="1440" w:gutter="0" w:footer="0" w:header="0"/>
        </w:sectPr>
      </w:pPr>
    </w:p>
    <w:bookmarkStart w:id="3" w:name="page4"/>
    <w:bookmarkEnd w:id="3"/>
    <w:p>
      <w:pPr>
        <w:ind w:left="10360"/>
        <w:spacing w:after="0"/>
        <w:rPr>
          <w:sz w:val="20"/>
          <w:szCs w:val="20"/>
          <w:color w:val="auto"/>
        </w:rPr>
      </w:pPr>
      <w:r>
        <w:rPr>
          <w:rFonts w:ascii="Calibri" w:cs="Calibri" w:eastAsia="Calibri" w:hAnsi="Calibri"/>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Hawkins, Inc. Reports</w:t>
      </w:r>
    </w:p>
    <w:p>
      <w:pPr>
        <w:jc w:val="center"/>
        <w:spacing w:after="0" w:line="235" w:lineRule="auto"/>
        <w:rPr>
          <w:sz w:val="20"/>
          <w:szCs w:val="20"/>
          <w:color w:val="auto"/>
        </w:rPr>
      </w:pPr>
      <w:r>
        <w:rPr>
          <w:rFonts w:ascii="Calibri" w:cs="Calibri" w:eastAsia="Calibri" w:hAnsi="Calibri"/>
          <w:sz w:val="18"/>
          <w:szCs w:val="18"/>
          <w:b w:val="1"/>
          <w:bCs w:val="1"/>
          <w:color w:val="auto"/>
        </w:rPr>
        <w:t>First Quarter Fiscal 2025 Results</w:t>
      </w:r>
    </w:p>
    <w:p>
      <w:pPr>
        <w:spacing w:after="0" w:line="24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Roseville, Minn., July 31, 2024 – Hawkins, Inc. (Nasdaq: HWKN) today announced results for the three months ended June 30, 2024, its frst quarter of fscal 2025.</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First Quarter Fiscal Year 2025 Highlights:</w:t>
      </w:r>
    </w:p>
    <w:p>
      <w:pPr>
        <w:spacing w:after="0" w:line="231" w:lineRule="exact"/>
        <w:rPr>
          <w:sz w:val="20"/>
          <w:szCs w:val="20"/>
          <w:color w:val="auto"/>
        </w:rPr>
      </w:pPr>
    </w:p>
    <w:p>
      <w:pPr>
        <w:ind w:left="660" w:right="300" w:hanging="328"/>
        <w:spacing w:after="0" w:line="227" w:lineRule="auto"/>
        <w:tabs>
          <w:tab w:leader="none" w:pos="653"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Record quarterly results for revenue, gross proft, operatng income, net income, diluted earnings per share (“EPS”) and adjusted Earnings Before Interest, Taxes, Depreciaton and Amortzaton (“adjusted EBITDA”), a non-GAAP measure.</w:t>
      </w:r>
    </w:p>
    <w:p>
      <w:pPr>
        <w:spacing w:after="0" w:line="1" w:lineRule="exact"/>
        <w:rPr>
          <w:rFonts w:ascii="Calibri" w:cs="Calibri" w:eastAsia="Calibri" w:hAnsi="Calibri"/>
          <w:sz w:val="18"/>
          <w:szCs w:val="18"/>
          <w:color w:val="auto"/>
        </w:rPr>
      </w:pPr>
    </w:p>
    <w:p>
      <w:pPr>
        <w:ind w:left="640" w:hanging="308"/>
        <w:spacing w:after="0" w:line="221"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Revenue growth of 2% driven by Water Treatment segment growth of 25% over the same period of the prior year.</w:t>
      </w:r>
    </w:p>
    <w:p>
      <w:pPr>
        <w:ind w:left="640" w:hanging="308"/>
        <w:spacing w:after="0" w:line="206"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Gross proft increase of 24% over the same period of the prior year, with all three segments having double-digit growth.</w:t>
      </w:r>
    </w:p>
    <w:p>
      <w:pPr>
        <w:ind w:left="640" w:hanging="308"/>
        <w:spacing w:after="0" w:line="221"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Diluted EPS increase of $0.26, or 23%, to $1.38 per share.</w:t>
      </w:r>
    </w:p>
    <w:p>
      <w:pPr>
        <w:ind w:left="660" w:right="160" w:hanging="328"/>
        <w:spacing w:after="0" w:line="221" w:lineRule="auto"/>
        <w:tabs>
          <w:tab w:leader="none" w:pos="653"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Adjusted EBITDA, a non-GAAP measure, of $50.9 million, a 25% increase over the same period of the prior year. Trailing 12-month adjusted EBITDA exceeds $153 million.</w:t>
      </w:r>
    </w:p>
    <w:p>
      <w:pPr>
        <w:ind w:left="660" w:right="580" w:hanging="328"/>
        <w:spacing w:after="0" w:line="221" w:lineRule="auto"/>
        <w:tabs>
          <w:tab w:leader="none" w:pos="653"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As previously announced, closed on two acquisitons in the frst quarter, further expanding our geographic reach within our Water Treatment segment.</w:t>
      </w:r>
    </w:p>
    <w:p>
      <w:pPr>
        <w:ind w:left="640" w:hanging="308"/>
        <w:spacing w:after="0" w:line="221" w:lineRule="auto"/>
        <w:tabs>
          <w:tab w:leader="none" w:pos="64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For the fourth year in a row, Hawkins was certfed as a Great Place to Work.</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Executve Commentary – Patrick H. Hawkins, Chief Executve Ofcer and President:</w:t>
      </w:r>
    </w:p>
    <w:p>
      <w:pPr>
        <w:spacing w:after="0" w:line="231" w:lineRule="exact"/>
        <w:rPr>
          <w:sz w:val="20"/>
          <w:szCs w:val="20"/>
          <w:color w:val="auto"/>
        </w:rPr>
      </w:pPr>
    </w:p>
    <w:p>
      <w:pPr>
        <w:spacing w:after="0" w:line="221" w:lineRule="auto"/>
        <w:rPr>
          <w:sz w:val="20"/>
          <w:szCs w:val="20"/>
          <w:color w:val="auto"/>
        </w:rPr>
      </w:pPr>
      <w:r>
        <w:rPr>
          <w:rFonts w:ascii="Calibri" w:cs="Calibri" w:eastAsia="Calibri" w:hAnsi="Calibri"/>
          <w:sz w:val="18"/>
          <w:szCs w:val="18"/>
          <w:color w:val="auto"/>
        </w:rPr>
        <w:t>“We are extremely pleased with our strong frst quarter results with Water Treatment becoming our largest reportng segment, and our proftability contnuing to grow by over 20% as we again experienced revenue and volume growth," said Patrick Hawkins, Chief Executve Ofcer and President. "Our record revenue of $256 million was driven by our acquired businesses in our Water Treatment segment. Revenue was down in our Industrial segment due primarily to reduced selling prices driven by lower commodity costs, with volumes relatvely fat year over year. Revenue in our Health and Nutriton segment was also down slightly due to product mix changes. Gross proft increased double digits in all three of our segments due to the product mix and our contnued focus on pricing discipline. Our contnuing strategy of investng in higher margin business has helped drive the growth results we have experienced over the last fve years. I am extremely proud of the entre Hawkins team, and the commitment of each and every employee has contributed to the success of our company.”</w:t>
      </w:r>
    </w:p>
    <w:p>
      <w:pPr>
        <w:spacing w:after="0" w:line="244"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Mr. Hawkins, contnued, “We closed two acquisitons in our Water Treatment segment in the frst quarter, and have now completed six acquisitons in the last 12 months, expanding our geographic reach in this segment. We are also happy that we contnue to realize synergies with each deal. Our balance sheet contnues to be strong, and our leverage rato at the end of the frst quarter was 0.84x. Looking to the future, we expect all three segments to contnue to grow proftability and we will contnue to deliver on our strategy of investng in our higher margin businesses, while servicing the needs of our customers to the highest level possible.”</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First Quarter Financial Highlights: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NET INCOME</w:t>
      </w:r>
    </w:p>
    <w:p>
      <w:pPr>
        <w:spacing w:after="0" w:line="109" w:lineRule="exact"/>
        <w:rPr>
          <w:sz w:val="20"/>
          <w:szCs w:val="20"/>
          <w:color w:val="auto"/>
        </w:rPr>
      </w:pPr>
    </w:p>
    <w:p>
      <w:pPr>
        <w:ind w:right="560"/>
        <w:spacing w:after="0" w:line="235" w:lineRule="auto"/>
        <w:rPr>
          <w:sz w:val="20"/>
          <w:szCs w:val="20"/>
          <w:color w:val="auto"/>
        </w:rPr>
      </w:pPr>
      <w:r>
        <w:rPr>
          <w:rFonts w:ascii="Calibri" w:cs="Calibri" w:eastAsia="Calibri" w:hAnsi="Calibri"/>
          <w:sz w:val="18"/>
          <w:szCs w:val="18"/>
          <w:color w:val="auto"/>
        </w:rPr>
        <w:t>For the frst quarter of fscal 2025, the Company reported net income of $28.9 million, or $1.38 per diluted share, compared to net income for the frst quarter of fscal 2024 of $23.4 million, or $1.12 per diluted share.</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w:t>
      </w:r>
    </w:p>
    <w:p>
      <w:pPr>
        <w:spacing w:after="0" w:line="10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Sales were $255.9 million for the frst quarter of fscal 2025, an increase of $4.8 million, or 2%, from sales of $251.1 million in the same period a year ago. Increased sales in our Water Treatment segment more than ofset decreased sales in our Industrial and Health and Nutriton segments. Water Treatment segment sales increased $23.5 million, or 25%, to $117.2 million for the current quarter, from $93.7 million in the same period a year ago. Water Treatment sales increased as a result of added sales from our acquired businesses. Industrial segment sales decreased $17.7 million, or 15%, to $103.2 million for the current quarter, from $120.9 million in the same period a year ago. The decrease in sales was primarily driven by lower selling prices on certain products driven by lower raw material costs and volume pressure. Health and Nutriton segment sales decreased $1.1 million, or 3.0%, to $35.5 million for the current quarter, from $36.6 million in the same period a year ago. Health and Nutriton sales decreased as a result of lower sales of our manufactured products, largely ofset by increased sales of our specialty distributed products.</w:t>
      </w:r>
    </w:p>
    <w:p>
      <w:pPr>
        <w:sectPr>
          <w:pgSz w:w="11900" w:h="16838" w:orient="portrait"/>
          <w:cols w:equalWidth="0" w:num="1">
            <w:col w:w="11240"/>
          </w:cols>
          <w:pgMar w:left="320" w:top="598" w:right="33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b w:val="1"/>
          <w:bCs w:val="1"/>
          <w:color w:val="auto"/>
        </w:rPr>
        <w:t>GROSS PROFIT</w:t>
      </w:r>
    </w:p>
    <w:p>
      <w:pPr>
        <w:spacing w:after="0" w:line="16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Gross proft increased $12.7 million, or 24%, to $64.7 million, or 25% of sales, for the current quarter, from $52.0 million, or 21% of sales, in the same period a year ago. During the current quarter, the LIFO reserve increased, and gross proft decreased, by $0.4 million due primarily to an increase in our forecasted year-end quanttes. In the same quarter a year ago, the LIFO reserve decreased, and gross proft increased, by $0.2 million. Gross proft for the Water Treatment segment increased $8.6 million, or 33%, to $35.0 million, or 30% of sales, for the current quarter, from $26.4 million, or 28% of sales, in the same period a year ago. Water Treatment segment gross proft increased primarily as a result of increased sales from our acquired businesses. Gross proft for the Industrial segment increased $2.6 million, or 13%, to $21.9 million, or 21% of sales, for the current quarter, from $19.3 million, or 16% of sales, in the same period a year ago. Industrial segment gross proft increased as a result of improved unit margins on certain products. Gross proft for our Health and Nutriton segment increased $1.5 million, or 24%, to $7.8 million, or 22% of sales, for the current quarter, from $6.3 million, or 17% of sales, in the same period a year ago. Health and Nutriton segment gross proft increased as a result of improved margins on certain products.</w:t>
      </w:r>
    </w:p>
    <w:p>
      <w:pPr>
        <w:spacing w:after="0" w:line="1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SELLING, GENERAL AND ADMINISTRATIVE EXPENSES</w:t>
      </w:r>
    </w:p>
    <w:p>
      <w:pPr>
        <w:spacing w:after="0" w:line="109" w:lineRule="exact"/>
        <w:rPr>
          <w:sz w:val="20"/>
          <w:szCs w:val="20"/>
          <w:color w:val="auto"/>
        </w:rPr>
      </w:pPr>
    </w:p>
    <w:p>
      <w:pPr>
        <w:jc w:val="both"/>
        <w:ind w:right="200"/>
        <w:spacing w:after="0" w:line="235" w:lineRule="auto"/>
        <w:rPr>
          <w:sz w:val="20"/>
          <w:szCs w:val="20"/>
          <w:color w:val="auto"/>
        </w:rPr>
      </w:pPr>
      <w:r>
        <w:rPr>
          <w:rFonts w:ascii="Calibri" w:cs="Calibri" w:eastAsia="Calibri" w:hAnsi="Calibri"/>
          <w:sz w:val="18"/>
          <w:szCs w:val="18"/>
          <w:color w:val="auto"/>
        </w:rPr>
        <w:t>Selling, general and administratve expenses increased $5.4 million, or 28%, to $24.9 million, or 10% of sales, for the current quarter, from $19.5 million, or 8% of sales, in the same period a year ago. Expenses increased primarily due to added costs from the acquired businesses in our Water Treatment segment and increased variable pay.</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ADJUSTED EBITDA</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Adjusted EBITDA, a non-GAAP fnancial measure, is an important performance indicator and a key compliance measure under the terms of our credit agreement. An explanaton of the computaton of adjusted EBITDA is presented below. Adjusted EBITDA for the three months ended June 30, 2024 was $50.9 million, an increase of $10.0 million, or 25%, from $40.9 million in the same period a year ago.</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INCOME TAXES</w:t>
      </w:r>
    </w:p>
    <w:p>
      <w:pPr>
        <w:spacing w:after="0" w:line="10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Our efectve income tax rate was 25% for the current quarter and 26% for the same period a year ago. The efectve tax rate in the frst quarter of both years was impacted by favorable tax provision adjustments recorded. The efectve tax rate is impacted by projected levels of annual taxable income, permanent items, and state taxes. Our efectve tax rate for the full year is currently expected to be approximately 26-27%.</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BALANCE SHEET</w:t>
      </w:r>
    </w:p>
    <w:p>
      <w:pPr>
        <w:spacing w:after="0" w:line="96" w:lineRule="exact"/>
        <w:rPr>
          <w:sz w:val="20"/>
          <w:szCs w:val="20"/>
          <w:color w:val="auto"/>
        </w:rPr>
      </w:pPr>
    </w:p>
    <w:p>
      <w:pPr>
        <w:ind w:right="240"/>
        <w:spacing w:after="0" w:line="223" w:lineRule="auto"/>
        <w:rPr>
          <w:sz w:val="20"/>
          <w:szCs w:val="20"/>
          <w:color w:val="auto"/>
        </w:rPr>
      </w:pPr>
      <w:r>
        <w:rPr>
          <w:rFonts w:ascii="Calibri" w:cs="Calibri" w:eastAsia="Calibri" w:hAnsi="Calibri"/>
          <w:sz w:val="18"/>
          <w:szCs w:val="18"/>
          <w:color w:val="auto"/>
        </w:rPr>
        <w:t>During the frst quarter, our working capital was $24 million higher than the end of fscal 2024 due primarily to increased customer receivable balances, increased inventory and lower liabilites due to the payment of certain year-end accruals in the frst quarter. During the quarter, net borrowings of $35.0 million and $17.6 million of operatng cash fow was used to fund $25.4 million of acquisiton spending for the acquisitons of Intercoastal Trading, Inc. and Woford Water Service, Inc., capital spending of $10.6 million, stock repurchases of $9.1 million and dividend payments of $3.4 million. Our total debt outstanding at the end of the frst quarter was $134.0 million and our leverage rato was 0.84x our trailing twelve-month proforma adjusted EBITDA, as compared to 0.66x of trailing twelve-month adjusted EBITDA at the end of fscal 2024.</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About Hawkins, Inc.</w:t>
      </w:r>
    </w:p>
    <w:p>
      <w:pPr>
        <w:spacing w:after="0" w:line="217" w:lineRule="exact"/>
        <w:rPr>
          <w:sz w:val="20"/>
          <w:szCs w:val="20"/>
          <w:color w:val="auto"/>
        </w:rPr>
      </w:pPr>
    </w:p>
    <w:p>
      <w:pPr>
        <w:ind w:right="220"/>
        <w:spacing w:after="0" w:line="223" w:lineRule="auto"/>
        <w:rPr>
          <w:sz w:val="20"/>
          <w:szCs w:val="20"/>
          <w:color w:val="auto"/>
        </w:rPr>
      </w:pPr>
      <w:r>
        <w:rPr>
          <w:rFonts w:ascii="Calibri" w:cs="Calibri" w:eastAsia="Calibri" w:hAnsi="Calibri"/>
          <w:sz w:val="18"/>
          <w:szCs w:val="18"/>
          <w:color w:val="auto"/>
        </w:rPr>
        <w:t>Hawkins, Inc. was founded in 1938 and is a leading specialty chemical and ingredients company that formulates, distributes, blends, and manufactures products for its Industrial, Water Treatment, and Health &amp; Nutriton customers. Headquartered in Roseville, Minnesota, the Company has 60 facilites in 27 states and creates value for its customers through superb customer service and support, quality products and personalized applicatons. Hawkins, Inc. generated $919 million of revenue in fscal 2024 and has approximately 950 employees. For more informaton, including registering to receive email alerts, please visit www.hawkinsinc.com/investors.</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Reconciliaton of Non-GAAP Financial Measures</w:t>
      </w:r>
    </w:p>
    <w:p>
      <w:pPr>
        <w:spacing w:after="0" w:line="17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We report our consolidated fnancial results in accordance with U.S. generally accepted accountng principles (GAAP). To assist investors in understanding our fnancial performance between periods, we have provided certain fnancial measures not computed according to GAAP, including adjusted EBITDA. This non-GAAP fnancial measure is not meant to be considered in isolaton or as a substtute for comparable GAAP measures. The method we use to produce non-GAAP results is not computed according to GAAP and may difer from the methods used by other companies.</w:t>
      </w:r>
    </w:p>
    <w:p>
      <w:pPr>
        <w:spacing w:after="0" w:line="19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Management uses this non-GAAP fnancial measure internally to understand, manage and evaluate our business and to make operatng decisions. Management believes that this non-GAAP fnancial measure refects an additonal way of viewing aspects of our operatons that, when viewed with our GAAP results, provides a more complete understanding of the factors and trends afectng our fnancial conditon and results of operatons.</w:t>
      </w:r>
    </w:p>
    <w:p>
      <w:pPr>
        <w:sectPr>
          <w:pgSz w:w="11900" w:h="16838" w:orient="portrait"/>
          <w:cols w:equalWidth="0" w:num="1">
            <w:col w:w="11220"/>
          </w:cols>
          <w:pgMar w:left="320" w:top="558" w:right="359" w:bottom="1440" w:gutter="0" w:footer="0" w:header="0"/>
        </w:sectPr>
      </w:pPr>
    </w:p>
    <w:bookmarkStart w:id="5" w:name="page6"/>
    <w:bookmarkEnd w:id="5"/>
    <w:p>
      <w:pPr>
        <w:ind w:right="140"/>
        <w:spacing w:after="0" w:line="235" w:lineRule="auto"/>
        <w:rPr>
          <w:sz w:val="20"/>
          <w:szCs w:val="20"/>
          <w:color w:val="auto"/>
        </w:rPr>
      </w:pPr>
      <w:r>
        <w:rPr>
          <w:rFonts w:ascii="Calibri" w:cs="Calibri" w:eastAsia="Calibri" w:hAnsi="Calibri"/>
          <w:sz w:val="18"/>
          <w:szCs w:val="18"/>
          <w:color w:val="auto"/>
        </w:rPr>
        <w:t>We defne adjusted EBITDA as GAAP net income adjusted for the impact of the following: net interest expense resultng from our net borrowing positon; income tax expense; non-cash expenses including amortzaton of intangibles, depreciaton and charges for the employee stock purchase plan and restricted stock grants; and non-recurring items of income or expense, if applicable.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20" w:type="dxa"/>
            <w:vAlign w:val="bottom"/>
          </w:tcPr>
          <w:p>
            <w:pPr>
              <w:ind w:left="20"/>
              <w:spacing w:after="0"/>
              <w:rPr>
                <w:sz w:val="20"/>
                <w:szCs w:val="20"/>
                <w:color w:val="auto"/>
              </w:rPr>
            </w:pPr>
            <w:r>
              <w:rPr>
                <w:rFonts w:ascii="Calibri" w:cs="Calibri" w:eastAsia="Calibri" w:hAnsi="Calibri"/>
                <w:sz w:val="18"/>
                <w:szCs w:val="18"/>
                <w:b w:val="1"/>
                <w:bCs w:val="1"/>
                <w:color w:val="auto"/>
              </w:rPr>
              <w:t>Adjusted EBITDA</w:t>
            </w:r>
          </w:p>
        </w:tc>
        <w:tc>
          <w:tcPr>
            <w:tcW w:w="200" w:type="dxa"/>
            <w:vAlign w:val="bottom"/>
          </w:tcPr>
          <w:p>
            <w:pPr>
              <w:spacing w:after="0"/>
              <w:rPr>
                <w:sz w:val="19"/>
                <w:szCs w:val="19"/>
                <w:color w:val="auto"/>
              </w:rPr>
            </w:pPr>
          </w:p>
        </w:tc>
        <w:tc>
          <w:tcPr>
            <w:tcW w:w="3220" w:type="dxa"/>
            <w:vAlign w:val="bottom"/>
            <w:gridSpan w:val="4"/>
          </w:tcPr>
          <w:p>
            <w:pPr>
              <w:jc w:val="right"/>
              <w:ind w:right="870"/>
              <w:spacing w:after="0"/>
              <w:rPr>
                <w:sz w:val="20"/>
                <w:szCs w:val="20"/>
                <w:color w:val="auto"/>
              </w:rPr>
            </w:pPr>
            <w:r>
              <w:rPr>
                <w:rFonts w:ascii="Calibri" w:cs="Calibri" w:eastAsia="Calibri" w:hAnsi="Calibri"/>
                <w:sz w:val="18"/>
                <w:szCs w:val="18"/>
                <w:b w:val="1"/>
                <w:bCs w:val="1"/>
                <w:color w:val="auto"/>
              </w:rPr>
              <w:t>Three Months Ended</w:t>
            </w:r>
          </w:p>
        </w:tc>
        <w:tc>
          <w:tcPr>
            <w:tcW w:w="0" w:type="dxa"/>
            <w:vAlign w:val="bottom"/>
          </w:tcPr>
          <w:p>
            <w:pPr>
              <w:spacing w:after="0"/>
              <w:rPr>
                <w:sz w:val="1"/>
                <w:szCs w:val="1"/>
                <w:color w:val="auto"/>
              </w:rPr>
            </w:pPr>
          </w:p>
        </w:tc>
      </w:tr>
      <w:tr>
        <w:trPr>
          <w:trHeight w:val="23"/>
        </w:trPr>
        <w:tc>
          <w:tcPr>
            <w:tcW w:w="7820" w:type="dxa"/>
            <w:vAlign w:val="bottom"/>
            <w:vMerge w:val="restart"/>
          </w:tcPr>
          <w:p>
            <w:pPr>
              <w:ind w:left="20"/>
              <w:spacing w:after="0"/>
              <w:rPr>
                <w:sz w:val="20"/>
                <w:szCs w:val="20"/>
                <w:color w:val="auto"/>
              </w:rPr>
            </w:pPr>
            <w:r>
              <w:rPr>
                <w:rFonts w:ascii="Calibri" w:cs="Calibri" w:eastAsia="Calibri" w:hAnsi="Calibri"/>
                <w:sz w:val="18"/>
                <w:szCs w:val="18"/>
                <w:color w:val="auto"/>
              </w:rPr>
              <w:t>(In thousands)</w:t>
            </w: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120"/>
              <w:spacing w:after="0" w:line="215" w:lineRule="exact"/>
              <w:rPr>
                <w:sz w:val="20"/>
                <w:szCs w:val="20"/>
                <w:color w:val="auto"/>
              </w:rPr>
            </w:pPr>
            <w:r>
              <w:rPr>
                <w:rFonts w:ascii="Calibri" w:cs="Calibri" w:eastAsia="Calibri" w:hAnsi="Calibri"/>
                <w:sz w:val="18"/>
                <w:szCs w:val="18"/>
                <w:b w:val="1"/>
                <w:bCs w:val="1"/>
                <w:color w:val="auto"/>
              </w:rPr>
              <w:t>June 30, 2024</w:t>
            </w:r>
          </w:p>
        </w:tc>
        <w:tc>
          <w:tcPr>
            <w:tcW w:w="240" w:type="dxa"/>
            <w:vAlign w:val="bottom"/>
          </w:tcPr>
          <w:p>
            <w:pPr>
              <w:spacing w:after="0"/>
              <w:rPr>
                <w:sz w:val="18"/>
                <w:szCs w:val="18"/>
                <w:color w:val="auto"/>
              </w:rPr>
            </w:pPr>
          </w:p>
        </w:tc>
        <w:tc>
          <w:tcPr>
            <w:tcW w:w="1400" w:type="dxa"/>
            <w:vAlign w:val="bottom"/>
          </w:tcPr>
          <w:p>
            <w:pPr>
              <w:jc w:val="right"/>
              <w:ind w:right="310"/>
              <w:spacing w:after="0" w:line="215" w:lineRule="exact"/>
              <w:rPr>
                <w:sz w:val="20"/>
                <w:szCs w:val="20"/>
                <w:color w:val="auto"/>
              </w:rPr>
            </w:pPr>
            <w:r>
              <w:rPr>
                <w:rFonts w:ascii="Calibri" w:cs="Calibri" w:eastAsia="Calibri" w:hAnsi="Calibri"/>
                <w:sz w:val="18"/>
                <w:szCs w:val="18"/>
                <w:b w:val="1"/>
                <w:bCs w:val="1"/>
                <w:color w:val="auto"/>
              </w:rPr>
              <w:t>July 2, 2023</w:t>
            </w:r>
          </w:p>
        </w:tc>
        <w:tc>
          <w:tcPr>
            <w:tcW w:w="0" w:type="dxa"/>
            <w:vAlign w:val="bottom"/>
          </w:tcPr>
          <w:p>
            <w:pPr>
              <w:spacing w:after="0"/>
              <w:rPr>
                <w:sz w:val="1"/>
                <w:szCs w:val="1"/>
                <w:color w:val="auto"/>
              </w:rPr>
            </w:pPr>
          </w:p>
        </w:tc>
      </w:tr>
      <w:tr>
        <w:trPr>
          <w:trHeight w:val="229"/>
        </w:trPr>
        <w:tc>
          <w:tcPr>
            <w:tcW w:w="7820" w:type="dxa"/>
            <w:vAlign w:val="bottom"/>
            <w:tcBorders>
              <w:top w:val="single" w:sz="8" w:color="CCEEFF"/>
            </w:tcBorders>
            <w:shd w:val="clear" w:color="auto" w:fill="CCEEFF"/>
          </w:tcPr>
          <w:p>
            <w:pPr>
              <w:ind w:left="20"/>
              <w:spacing w:after="0" w:line="206" w:lineRule="exact"/>
              <w:rPr>
                <w:sz w:val="20"/>
                <w:szCs w:val="20"/>
                <w:color w:val="auto"/>
              </w:rPr>
            </w:pPr>
            <w:r>
              <w:rPr>
                <w:rFonts w:ascii="Calibri" w:cs="Calibri" w:eastAsia="Calibri" w:hAnsi="Calibri"/>
                <w:sz w:val="18"/>
                <w:szCs w:val="18"/>
                <w:b w:val="1"/>
                <w:bCs w:val="1"/>
                <w:color w:val="auto"/>
              </w:rPr>
              <w:t>Net Income (GAAP)</w:t>
            </w:r>
          </w:p>
        </w:tc>
        <w:tc>
          <w:tcPr>
            <w:tcW w:w="200" w:type="dxa"/>
            <w:vAlign w:val="bottom"/>
            <w:tcBorders>
              <w:top w:val="single" w:sz="8" w:color="auto"/>
            </w:tcBorders>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28,879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40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23,430</w:t>
            </w:r>
          </w:p>
        </w:tc>
        <w:tc>
          <w:tcPr>
            <w:tcW w:w="0" w:type="dxa"/>
            <w:vAlign w:val="bottom"/>
          </w:tcPr>
          <w:p>
            <w:pPr>
              <w:spacing w:after="0"/>
              <w:rPr>
                <w:sz w:val="1"/>
                <w:szCs w:val="1"/>
                <w:color w:val="auto"/>
              </w:rPr>
            </w:pPr>
          </w:p>
        </w:tc>
      </w:tr>
      <w:tr>
        <w:trPr>
          <w:trHeight w:val="222"/>
        </w:trPr>
        <w:tc>
          <w:tcPr>
            <w:tcW w:w="7820" w:type="dxa"/>
            <w:vAlign w:val="bottom"/>
          </w:tcPr>
          <w:p>
            <w:pPr>
              <w:ind w:left="140"/>
              <w:spacing w:after="0" w:line="215" w:lineRule="exact"/>
              <w:rPr>
                <w:sz w:val="20"/>
                <w:szCs w:val="20"/>
                <w:color w:val="auto"/>
              </w:rPr>
            </w:pPr>
            <w:r>
              <w:rPr>
                <w:rFonts w:ascii="Calibri" w:cs="Calibri" w:eastAsia="Calibri" w:hAnsi="Calibri"/>
                <w:sz w:val="18"/>
                <w:szCs w:val="18"/>
                <w:color w:val="auto"/>
              </w:rPr>
              <w:t>Interest expense, net</w:t>
            </w:r>
          </w:p>
        </w:tc>
        <w:tc>
          <w:tcPr>
            <w:tcW w:w="20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1,263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1,148</w:t>
            </w:r>
          </w:p>
        </w:tc>
        <w:tc>
          <w:tcPr>
            <w:tcW w:w="0" w:type="dxa"/>
            <w:vAlign w:val="bottom"/>
          </w:tcPr>
          <w:p>
            <w:pPr>
              <w:spacing w:after="0"/>
              <w:rPr>
                <w:sz w:val="1"/>
                <w:szCs w:val="1"/>
                <w:color w:val="auto"/>
              </w:rPr>
            </w:pPr>
          </w:p>
        </w:tc>
      </w:tr>
      <w:tr>
        <w:trPr>
          <w:trHeight w:val="237"/>
        </w:trPr>
        <w:tc>
          <w:tcPr>
            <w:tcW w:w="7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Income tax expense</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9,808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8,246</w:t>
            </w:r>
          </w:p>
        </w:tc>
        <w:tc>
          <w:tcPr>
            <w:tcW w:w="0" w:type="dxa"/>
            <w:vAlign w:val="bottom"/>
          </w:tcPr>
          <w:p>
            <w:pPr>
              <w:spacing w:after="0"/>
              <w:rPr>
                <w:sz w:val="1"/>
                <w:szCs w:val="1"/>
                <w:color w:val="auto"/>
              </w:rPr>
            </w:pPr>
          </w:p>
        </w:tc>
      </w:tr>
      <w:tr>
        <w:trPr>
          <w:trHeight w:val="222"/>
        </w:trPr>
        <w:tc>
          <w:tcPr>
            <w:tcW w:w="7820" w:type="dxa"/>
            <w:vAlign w:val="bottom"/>
          </w:tcPr>
          <w:p>
            <w:pPr>
              <w:ind w:left="140"/>
              <w:spacing w:after="0" w:line="215" w:lineRule="exact"/>
              <w:rPr>
                <w:sz w:val="20"/>
                <w:szCs w:val="20"/>
                <w:color w:val="auto"/>
              </w:rPr>
            </w:pPr>
            <w:r>
              <w:rPr>
                <w:rFonts w:ascii="Calibri" w:cs="Calibri" w:eastAsia="Calibri" w:hAnsi="Calibri"/>
                <w:sz w:val="18"/>
                <w:szCs w:val="18"/>
                <w:color w:val="auto"/>
              </w:rPr>
              <w:t>Amortzaton of intangibles</w:t>
            </w:r>
          </w:p>
        </w:tc>
        <w:tc>
          <w:tcPr>
            <w:tcW w:w="20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2,802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1,670</w:t>
            </w:r>
          </w:p>
        </w:tc>
        <w:tc>
          <w:tcPr>
            <w:tcW w:w="0" w:type="dxa"/>
            <w:vAlign w:val="bottom"/>
          </w:tcPr>
          <w:p>
            <w:pPr>
              <w:spacing w:after="0"/>
              <w:rPr>
                <w:sz w:val="1"/>
                <w:szCs w:val="1"/>
                <w:color w:val="auto"/>
              </w:rPr>
            </w:pPr>
          </w:p>
        </w:tc>
      </w:tr>
      <w:tr>
        <w:trPr>
          <w:trHeight w:val="237"/>
        </w:trPr>
        <w:tc>
          <w:tcPr>
            <w:tcW w:w="7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Depreciaton expense</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6,527</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5,437</w:t>
            </w:r>
          </w:p>
        </w:tc>
        <w:tc>
          <w:tcPr>
            <w:tcW w:w="0" w:type="dxa"/>
            <w:vAlign w:val="bottom"/>
          </w:tcPr>
          <w:p>
            <w:pPr>
              <w:spacing w:after="0"/>
              <w:rPr>
                <w:sz w:val="1"/>
                <w:szCs w:val="1"/>
                <w:color w:val="auto"/>
              </w:rPr>
            </w:pPr>
          </w:p>
        </w:tc>
      </w:tr>
      <w:tr>
        <w:trPr>
          <w:trHeight w:val="222"/>
        </w:trPr>
        <w:tc>
          <w:tcPr>
            <w:tcW w:w="7820" w:type="dxa"/>
            <w:vAlign w:val="bottom"/>
          </w:tcPr>
          <w:p>
            <w:pPr>
              <w:ind w:left="140"/>
              <w:spacing w:after="0" w:line="215" w:lineRule="exact"/>
              <w:rPr>
                <w:sz w:val="20"/>
                <w:szCs w:val="20"/>
                <w:color w:val="auto"/>
              </w:rPr>
            </w:pPr>
            <w:r>
              <w:rPr>
                <w:rFonts w:ascii="Calibri" w:cs="Calibri" w:eastAsia="Calibri" w:hAnsi="Calibri"/>
                <w:sz w:val="18"/>
                <w:szCs w:val="18"/>
                <w:color w:val="auto"/>
              </w:rPr>
              <w:t>Non-cash compensaton expense</w:t>
            </w:r>
          </w:p>
        </w:tc>
        <w:tc>
          <w:tcPr>
            <w:tcW w:w="20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1,467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959</w:t>
            </w:r>
          </w:p>
        </w:tc>
        <w:tc>
          <w:tcPr>
            <w:tcW w:w="0" w:type="dxa"/>
            <w:vAlign w:val="bottom"/>
          </w:tcPr>
          <w:p>
            <w:pPr>
              <w:spacing w:after="0"/>
              <w:rPr>
                <w:sz w:val="1"/>
                <w:szCs w:val="1"/>
                <w:color w:val="auto"/>
              </w:rPr>
            </w:pPr>
          </w:p>
        </w:tc>
      </w:tr>
      <w:tr>
        <w:trPr>
          <w:trHeight w:val="237"/>
        </w:trPr>
        <w:tc>
          <w:tcPr>
            <w:tcW w:w="7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Non-recurring acquisiton expenses</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188</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Calibri" w:cs="Calibri" w:eastAsia="Calibri" w:hAnsi="Calibri"/>
                <w:sz w:val="18"/>
                <w:szCs w:val="18"/>
                <w:b w:val="1"/>
                <w:bCs w:val="1"/>
                <w:color w:val="auto"/>
              </w:rPr>
              <w:t>Adjusted EBITDA</w:t>
            </w:r>
          </w:p>
        </w:tc>
        <w:tc>
          <w:tcPr>
            <w:tcW w:w="2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50,934</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4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40,890</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3" w:right="339" w:bottom="1440" w:gutter="0" w:footer="0" w:header="0"/>
        </w:sectPr>
      </w:pPr>
    </w:p>
    <w:bookmarkStart w:id="6" w:name="page7"/>
    <w:bookmarkEnd w:id="6"/>
    <w:p>
      <w:pPr>
        <w:jc w:val="center"/>
        <w:ind w:right="20"/>
        <w:spacing w:after="0"/>
        <w:rPr>
          <w:sz w:val="20"/>
          <w:szCs w:val="20"/>
          <w:color w:val="auto"/>
        </w:rPr>
      </w:pPr>
      <w:r>
        <w:rPr>
          <w:rFonts w:ascii="Calibri" w:cs="Calibri" w:eastAsia="Calibri" w:hAnsi="Calibri"/>
          <w:sz w:val="18"/>
          <w:szCs w:val="18"/>
          <w:b w:val="1"/>
          <w:bCs w:val="1"/>
          <w:color w:val="auto"/>
        </w:rPr>
        <w:t>HAWKINS,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CONSOLIDATED STATEMENTS OF INCOME (UNAUDITED)</w:t>
      </w:r>
    </w:p>
    <w:p>
      <w:pPr>
        <w:jc w:val="center"/>
        <w:ind w:right="20"/>
        <w:spacing w:after="0" w:line="233" w:lineRule="auto"/>
        <w:rPr>
          <w:sz w:val="20"/>
          <w:szCs w:val="20"/>
          <w:color w:val="auto"/>
        </w:rPr>
      </w:pPr>
      <w:r>
        <w:rPr>
          <w:rFonts w:ascii="Calibri" w:cs="Calibri" w:eastAsia="Calibri" w:hAnsi="Calibri"/>
          <w:sz w:val="14"/>
          <w:szCs w:val="14"/>
          <w:b w:val="1"/>
          <w:bCs w:val="1"/>
          <w:color w:val="auto"/>
        </w:rPr>
        <w:t>(In thousands, except share and per-share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4"/>
          </w:tcPr>
          <w:p>
            <w:pPr>
              <w:jc w:val="right"/>
              <w:ind w:right="650"/>
              <w:spacing w:after="0"/>
              <w:rPr>
                <w:sz w:val="20"/>
                <w:szCs w:val="20"/>
                <w:color w:val="auto"/>
              </w:rPr>
            </w:pPr>
            <w:r>
              <w:rPr>
                <w:rFonts w:ascii="Calibri" w:cs="Calibri" w:eastAsia="Calibri" w:hAnsi="Calibri"/>
                <w:sz w:val="18"/>
                <w:szCs w:val="18"/>
                <w:b w:val="1"/>
                <w:bCs w:val="1"/>
                <w:color w:val="auto"/>
              </w:rPr>
              <w:t>Three Months Ended</w:t>
            </w:r>
          </w:p>
        </w:tc>
      </w:tr>
      <w:tr>
        <w:trPr>
          <w:trHeight w:val="23"/>
        </w:trPr>
        <w:tc>
          <w:tcPr>
            <w:tcW w:w="7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line="215" w:lineRule="exact"/>
              <w:rPr>
                <w:sz w:val="20"/>
                <w:szCs w:val="20"/>
                <w:color w:val="auto"/>
              </w:rPr>
            </w:pPr>
            <w:r>
              <w:rPr>
                <w:rFonts w:ascii="Calibri" w:cs="Calibri" w:eastAsia="Calibri" w:hAnsi="Calibri"/>
                <w:sz w:val="18"/>
                <w:szCs w:val="18"/>
                <w:b w:val="1"/>
                <w:bCs w:val="1"/>
                <w:color w:val="auto"/>
              </w:rPr>
              <w:t>June 30, 2024</w:t>
            </w:r>
          </w:p>
        </w:tc>
        <w:tc>
          <w:tcPr>
            <w:tcW w:w="160" w:type="dxa"/>
            <w:vAlign w:val="bottom"/>
          </w:tcPr>
          <w:p>
            <w:pPr>
              <w:spacing w:after="0"/>
              <w:rPr>
                <w:sz w:val="18"/>
                <w:szCs w:val="18"/>
                <w:color w:val="auto"/>
              </w:rPr>
            </w:pPr>
          </w:p>
        </w:tc>
        <w:tc>
          <w:tcPr>
            <w:tcW w:w="128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July 02, 2023</w:t>
            </w:r>
          </w:p>
        </w:tc>
      </w:tr>
      <w:tr>
        <w:trPr>
          <w:trHeight w:val="230"/>
        </w:trPr>
        <w:tc>
          <w:tcPr>
            <w:tcW w:w="7500" w:type="dxa"/>
            <w:vAlign w:val="bottom"/>
            <w:tcBorders>
              <w:top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Sales</w:t>
            </w:r>
          </w:p>
        </w:tc>
        <w:tc>
          <w:tcPr>
            <w:tcW w:w="1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255,879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Borders>
              <w:top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251,120</w:t>
            </w:r>
          </w:p>
        </w:tc>
      </w:tr>
      <w:tr>
        <w:trPr>
          <w:trHeight w:val="223"/>
        </w:trPr>
        <w:tc>
          <w:tcPr>
            <w:tcW w:w="75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(191,224)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(199,129)</w:t>
            </w:r>
          </w:p>
        </w:tc>
      </w:tr>
      <w:tr>
        <w:trPr>
          <w:trHeight w:val="230"/>
        </w:trPr>
        <w:tc>
          <w:tcPr>
            <w:tcW w:w="750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Gross proft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64,655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51,991</w:t>
            </w:r>
          </w:p>
        </w:tc>
      </w:tr>
      <w:tr>
        <w:trPr>
          <w:trHeight w:val="223"/>
        </w:trPr>
        <w:tc>
          <w:tcPr>
            <w:tcW w:w="750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(24,864)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(19,504)</w:t>
            </w:r>
          </w:p>
        </w:tc>
      </w:tr>
      <w:tr>
        <w:trPr>
          <w:trHeight w:val="230"/>
        </w:trPr>
        <w:tc>
          <w:tcPr>
            <w:tcW w:w="750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Operatng income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39,791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32,487</w:t>
            </w:r>
          </w:p>
        </w:tc>
      </w:tr>
      <w:tr>
        <w:trPr>
          <w:trHeight w:val="222"/>
        </w:trPr>
        <w:tc>
          <w:tcPr>
            <w:tcW w:w="750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16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(1,263)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(1,148)</w:t>
            </w:r>
          </w:p>
        </w:tc>
      </w:tr>
      <w:tr>
        <w:trPr>
          <w:trHeight w:val="237"/>
        </w:trPr>
        <w:tc>
          <w:tcPr>
            <w:tcW w:w="75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income</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159</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337</w:t>
            </w:r>
          </w:p>
        </w:tc>
      </w:tr>
      <w:tr>
        <w:trPr>
          <w:trHeight w:val="216"/>
        </w:trPr>
        <w:tc>
          <w:tcPr>
            <w:tcW w:w="7500" w:type="dxa"/>
            <w:vAlign w:val="bottom"/>
          </w:tcPr>
          <w:p>
            <w:pPr>
              <w:ind w:left="20"/>
              <w:spacing w:after="0" w:line="195" w:lineRule="exact"/>
              <w:rPr>
                <w:sz w:val="20"/>
                <w:szCs w:val="20"/>
                <w:color w:val="auto"/>
              </w:rPr>
            </w:pPr>
            <w:r>
              <w:rPr>
                <w:rFonts w:ascii="Calibri" w:cs="Calibri" w:eastAsia="Calibri" w:hAnsi="Calibri"/>
                <w:sz w:val="18"/>
                <w:szCs w:val="18"/>
                <w:color w:val="auto"/>
              </w:rPr>
              <w:t>Income before income taxes</w:t>
            </w:r>
          </w:p>
        </w:tc>
        <w:tc>
          <w:tcPr>
            <w:tcW w:w="16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38,687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31,676</w:t>
            </w:r>
          </w:p>
        </w:tc>
      </w:tr>
      <w:tr>
        <w:trPr>
          <w:trHeight w:val="237"/>
        </w:trPr>
        <w:tc>
          <w:tcPr>
            <w:tcW w:w="75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Income tax expense</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(9,808)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(8,246)</w:t>
            </w:r>
          </w:p>
        </w:tc>
      </w:tr>
      <w:tr>
        <w:trPr>
          <w:trHeight w:val="217"/>
        </w:trPr>
        <w:tc>
          <w:tcPr>
            <w:tcW w:w="7500" w:type="dxa"/>
            <w:vAlign w:val="bottom"/>
          </w:tcPr>
          <w:p>
            <w:pPr>
              <w:ind w:left="20"/>
              <w:spacing w:after="0" w:line="195" w:lineRule="exact"/>
              <w:rPr>
                <w:sz w:val="20"/>
                <w:szCs w:val="20"/>
                <w:color w:val="auto"/>
              </w:rPr>
            </w:pPr>
            <w:r>
              <w:rPr>
                <w:rFonts w:ascii="Calibri" w:cs="Calibri" w:eastAsia="Calibri" w:hAnsi="Calibri"/>
                <w:sz w:val="18"/>
                <w:szCs w:val="18"/>
                <w:color w:val="auto"/>
              </w:rPr>
              <w:t>Net income</w:t>
            </w: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28,879</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23,430</w:t>
            </w:r>
          </w:p>
        </w:tc>
      </w:tr>
      <w:tr>
        <w:trPr>
          <w:trHeight w:val="21"/>
        </w:trPr>
        <w:tc>
          <w:tcPr>
            <w:tcW w:w="7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3"/>
        </w:trPr>
        <w:tc>
          <w:tcPr>
            <w:tcW w:w="7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2"/>
        </w:trPr>
        <w:tc>
          <w:tcPr>
            <w:tcW w:w="750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 average number of shares outstanding - basic</w:t>
            </w:r>
          </w:p>
        </w:tc>
        <w:tc>
          <w:tcPr>
            <w:tcW w:w="16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20,816,479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20,907,724</w:t>
            </w:r>
          </w:p>
        </w:tc>
      </w:tr>
      <w:tr>
        <w:trPr>
          <w:trHeight w:val="237"/>
        </w:trPr>
        <w:tc>
          <w:tcPr>
            <w:tcW w:w="75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Weighted average number of shares outstanding - diluted</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20,914,085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21,012,788</w:t>
            </w:r>
          </w:p>
        </w:tc>
      </w:tr>
      <w:tr>
        <w:trPr>
          <w:trHeight w:val="222"/>
        </w:trPr>
        <w:tc>
          <w:tcPr>
            <w:tcW w:w="7500" w:type="dxa"/>
            <w:vAlign w:val="bottom"/>
          </w:tcPr>
          <w:p>
            <w:pPr>
              <w:ind w:left="20"/>
              <w:spacing w:after="0" w:line="215" w:lineRule="exact"/>
              <w:rPr>
                <w:sz w:val="20"/>
                <w:szCs w:val="20"/>
                <w:color w:val="auto"/>
              </w:rPr>
            </w:pPr>
            <w:r>
              <w:rPr>
                <w:rFonts w:ascii="Calibri" w:cs="Calibri" w:eastAsia="Calibri" w:hAnsi="Calibri"/>
                <w:sz w:val="18"/>
                <w:szCs w:val="18"/>
                <w:color w:val="auto"/>
              </w:rPr>
              <w:t>Basic earnings per share</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1.39</w:t>
            </w:r>
          </w:p>
        </w:tc>
        <w:tc>
          <w:tcPr>
            <w:tcW w:w="120" w:type="dxa"/>
            <w:vAlign w:val="bottom"/>
          </w:tcPr>
          <w:p>
            <w:pPr>
              <w:spacing w:after="0"/>
              <w:rPr>
                <w:sz w:val="19"/>
                <w:szCs w:val="19"/>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1.12</w:t>
            </w:r>
          </w:p>
        </w:tc>
      </w:tr>
      <w:tr>
        <w:trPr>
          <w:trHeight w:val="237"/>
        </w:trPr>
        <w:tc>
          <w:tcPr>
            <w:tcW w:w="75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Diluted earnings per share</w:t>
            </w:r>
          </w:p>
        </w:tc>
        <w:tc>
          <w:tcPr>
            <w:tcW w:w="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1.12</w:t>
            </w:r>
          </w:p>
        </w:tc>
      </w:tr>
      <w:tr>
        <w:trPr>
          <w:trHeight w:val="215"/>
        </w:trPr>
        <w:tc>
          <w:tcPr>
            <w:tcW w:w="750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declared per common share</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0.16</w:t>
            </w:r>
          </w:p>
        </w:tc>
        <w:tc>
          <w:tcPr>
            <w:tcW w:w="120" w:type="dxa"/>
            <w:vAlign w:val="bottom"/>
          </w:tcPr>
          <w:p>
            <w:pPr>
              <w:spacing w:after="0"/>
              <w:rPr>
                <w:sz w:val="18"/>
                <w:szCs w:val="18"/>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0.15</w:t>
            </w:r>
          </w:p>
        </w:tc>
      </w:tr>
    </w:tbl>
    <w:p>
      <w:pPr>
        <w:sectPr>
          <w:pgSz w:w="11900" w:h="16838" w:orient="portrait"/>
          <w:cols w:equalWidth="0" w:num="1">
            <w:col w:w="10500"/>
          </w:cols>
          <w:pgMar w:left="700" w:top="1017" w:right="69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18"/>
          <w:szCs w:val="18"/>
          <w:b w:val="1"/>
          <w:bCs w:val="1"/>
          <w:color w:val="auto"/>
        </w:rPr>
        <w:t>HAWKINS, INC.</w:t>
      </w:r>
    </w:p>
    <w:p>
      <w:pPr>
        <w:jc w:val="center"/>
        <w:spacing w:after="0" w:line="235" w:lineRule="auto"/>
        <w:rPr>
          <w:sz w:val="20"/>
          <w:szCs w:val="20"/>
          <w:color w:val="auto"/>
        </w:rPr>
      </w:pPr>
      <w:r>
        <w:rPr>
          <w:rFonts w:ascii="Calibri" w:cs="Calibri" w:eastAsia="Calibri" w:hAnsi="Calibri"/>
          <w:sz w:val="18"/>
          <w:szCs w:val="18"/>
          <w:b w:val="1"/>
          <w:bCs w:val="1"/>
          <w:color w:val="auto"/>
        </w:rPr>
        <w:t>CONDENSED CONSOLIDATED BALANCE SHEETS (UNAUDITED)</w:t>
      </w:r>
    </w:p>
    <w:p>
      <w:pPr>
        <w:jc w:val="center"/>
        <w:spacing w:after="0" w:line="233" w:lineRule="auto"/>
        <w:rPr>
          <w:sz w:val="20"/>
          <w:szCs w:val="20"/>
          <w:color w:val="auto"/>
        </w:rPr>
      </w:pPr>
      <w:r>
        <w:rPr>
          <w:rFonts w:ascii="Calibri" w:cs="Calibri" w:eastAsia="Calibri" w:hAnsi="Calibri"/>
          <w:sz w:val="14"/>
          <w:szCs w:val="14"/>
          <w:b w:val="1"/>
          <w:bCs w:val="1"/>
          <w:color w:val="auto"/>
        </w:rPr>
        <w:t>(In thousands, except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Calibri" w:cs="Calibri" w:eastAsia="Calibri" w:hAnsi="Calibri"/>
                <w:sz w:val="16"/>
                <w:szCs w:val="16"/>
                <w:b w:val="1"/>
                <w:bCs w:val="1"/>
                <w:color w:val="auto"/>
              </w:rPr>
              <w:t>June 30,</w:t>
            </w:r>
          </w:p>
        </w:tc>
        <w:tc>
          <w:tcPr>
            <w:tcW w:w="240" w:type="dxa"/>
            <w:vAlign w:val="bottom"/>
          </w:tcPr>
          <w:p>
            <w:pPr>
              <w:spacing w:after="0"/>
              <w:rPr>
                <w:sz w:val="16"/>
                <w:szCs w:val="16"/>
                <w:color w:val="auto"/>
              </w:rPr>
            </w:pPr>
          </w:p>
        </w:tc>
        <w:tc>
          <w:tcPr>
            <w:tcW w:w="118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March 31,</w:t>
            </w:r>
          </w:p>
        </w:tc>
      </w:tr>
      <w:tr>
        <w:trPr>
          <w:trHeight w:val="193"/>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59"/>
              <w:spacing w:after="0" w:line="193" w:lineRule="exact"/>
              <w:rPr>
                <w:sz w:val="20"/>
                <w:szCs w:val="20"/>
                <w:color w:val="auto"/>
              </w:rPr>
            </w:pPr>
            <w:r>
              <w:rPr>
                <w:rFonts w:ascii="Calibri" w:cs="Calibri" w:eastAsia="Calibri" w:hAnsi="Calibri"/>
                <w:sz w:val="16"/>
                <w:szCs w:val="16"/>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59"/>
              <w:spacing w:after="0" w:line="193" w:lineRule="exact"/>
              <w:rPr>
                <w:sz w:val="20"/>
                <w:szCs w:val="20"/>
                <w:color w:val="auto"/>
              </w:rPr>
            </w:pPr>
            <w:r>
              <w:rPr>
                <w:rFonts w:ascii="Calibri" w:cs="Calibri" w:eastAsia="Calibri" w:hAnsi="Calibri"/>
                <w:sz w:val="16"/>
                <w:szCs w:val="16"/>
                <w:b w:val="1"/>
                <w:bCs w:val="1"/>
                <w:color w:val="auto"/>
              </w:rPr>
              <w:t>2024</w:t>
            </w:r>
          </w:p>
        </w:tc>
      </w:tr>
      <w:tr>
        <w:trPr>
          <w:trHeight w:val="28"/>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6"/>
        </w:trPr>
        <w:tc>
          <w:tcPr>
            <w:tcW w:w="824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b w:val="1"/>
                <w:bCs w:val="1"/>
                <w:color w:val="auto"/>
              </w:rPr>
              <w:t>ASSETS</w:t>
            </w:r>
          </w:p>
        </w:tc>
        <w:tc>
          <w:tcPr>
            <w:tcW w:w="2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8,887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7,153</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Trade accounts receivables, net</w:t>
            </w:r>
          </w:p>
        </w:tc>
        <w:tc>
          <w:tcPr>
            <w:tcW w:w="26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126,398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114,477</w:t>
            </w:r>
          </w:p>
        </w:tc>
      </w:tr>
      <w:tr>
        <w:trPr>
          <w:trHeight w:val="23"/>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Inventories</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81,199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74,600</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26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5,503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6,596</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780"/>
              <w:spacing w:after="0" w:line="174" w:lineRule="exact"/>
              <w:rPr>
                <w:sz w:val="20"/>
                <w:szCs w:val="20"/>
                <w:color w:val="auto"/>
              </w:rPr>
            </w:pPr>
            <w:r>
              <w:rPr>
                <w:rFonts w:ascii="Calibri" w:cs="Calibri" w:eastAsia="Calibri" w:hAnsi="Calibri"/>
                <w:sz w:val="16"/>
                <w:szCs w:val="16"/>
                <w:color w:val="auto"/>
              </w:rPr>
              <w:t>Total current assets</w:t>
            </w: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221,987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202,826</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PROPERTY, PLANT, AND EQUIPMENT:</w:t>
            </w:r>
          </w:p>
        </w:tc>
        <w:tc>
          <w:tcPr>
            <w:tcW w:w="26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396,244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386,648</w:t>
            </w:r>
          </w:p>
        </w:tc>
      </w:tr>
      <w:tr>
        <w:trPr>
          <w:trHeight w:val="23"/>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Less accumulated depreciaton</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182,604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177,774</w:t>
            </w:r>
          </w:p>
        </w:tc>
      </w:tr>
      <w:tr>
        <w:trPr>
          <w:trHeight w:val="187"/>
        </w:trPr>
        <w:tc>
          <w:tcPr>
            <w:tcW w:w="8240" w:type="dxa"/>
            <w:vAlign w:val="bottom"/>
          </w:tcPr>
          <w:p>
            <w:pPr>
              <w:ind w:left="780"/>
              <w:spacing w:after="0" w:line="174" w:lineRule="exact"/>
              <w:rPr>
                <w:sz w:val="20"/>
                <w:szCs w:val="20"/>
                <w:color w:val="auto"/>
              </w:rPr>
            </w:pPr>
            <w:r>
              <w:rPr>
                <w:rFonts w:ascii="Calibri" w:cs="Calibri" w:eastAsia="Calibri" w:hAnsi="Calibri"/>
                <w:sz w:val="16"/>
                <w:szCs w:val="16"/>
                <w:color w:val="auto"/>
              </w:rPr>
              <w:t>Net property, plant, and equipment</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213,640</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208,874</w:t>
            </w:r>
          </w:p>
        </w:tc>
      </w:tr>
      <w:tr>
        <w:trPr>
          <w:trHeight w:val="23"/>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OTHER ASSETS:</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Right-of-use assets</w:t>
            </w:r>
          </w:p>
        </w:tc>
        <w:tc>
          <w:tcPr>
            <w:tcW w:w="26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12,157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11,713</w:t>
            </w:r>
          </w:p>
        </w:tc>
      </w:tr>
      <w:tr>
        <w:trPr>
          <w:trHeight w:val="23"/>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Goodwill</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114,046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103,399</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Intangible assets, net of accumulated amortzaton</w:t>
            </w:r>
          </w:p>
        </w:tc>
        <w:tc>
          <w:tcPr>
            <w:tcW w:w="26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124,563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116,626</w:t>
            </w:r>
          </w:p>
        </w:tc>
      </w:tr>
      <w:tr>
        <w:trPr>
          <w:trHeight w:val="23"/>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Deferred compensaton plan asset</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11,365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9,584</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Other</w:t>
            </w:r>
          </w:p>
        </w:tc>
        <w:tc>
          <w:tcPr>
            <w:tcW w:w="26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4,980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4,912</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8240" w:type="dxa"/>
            <w:vAlign w:val="bottom"/>
            <w:tcBorders>
              <w:bottom w:val="single" w:sz="8" w:color="CCEEFF"/>
            </w:tcBorders>
            <w:shd w:val="clear" w:color="auto" w:fill="CCEEFF"/>
          </w:tcPr>
          <w:p>
            <w:pPr>
              <w:ind w:left="780"/>
              <w:spacing w:after="0" w:line="174" w:lineRule="exact"/>
              <w:rPr>
                <w:sz w:val="20"/>
                <w:szCs w:val="20"/>
                <w:color w:val="auto"/>
              </w:rPr>
            </w:pPr>
            <w:r>
              <w:rPr>
                <w:rFonts w:ascii="Calibri" w:cs="Calibri" w:eastAsia="Calibri" w:hAnsi="Calibri"/>
                <w:sz w:val="16"/>
                <w:szCs w:val="16"/>
                <w:color w:val="auto"/>
              </w:rPr>
              <w:t>Total other assets</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267,111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246,234</w:t>
            </w:r>
          </w:p>
        </w:tc>
      </w:tr>
      <w:tr>
        <w:trPr>
          <w:trHeight w:val="187"/>
        </w:trPr>
        <w:tc>
          <w:tcPr>
            <w:tcW w:w="8240" w:type="dxa"/>
            <w:vAlign w:val="bottom"/>
          </w:tcPr>
          <w:p>
            <w:pPr>
              <w:ind w:left="780"/>
              <w:spacing w:after="0" w:line="182" w:lineRule="exact"/>
              <w:rPr>
                <w:sz w:val="20"/>
                <w:szCs w:val="20"/>
                <w:color w:val="auto"/>
              </w:rPr>
            </w:pPr>
            <w:r>
              <w:rPr>
                <w:rFonts w:ascii="Calibri" w:cs="Calibri" w:eastAsia="Calibri" w:hAnsi="Calibri"/>
                <w:sz w:val="16"/>
                <w:szCs w:val="16"/>
                <w:color w:val="auto"/>
              </w:rPr>
              <w:t>Total assets</w:t>
            </w:r>
          </w:p>
        </w:tc>
        <w:tc>
          <w:tcPr>
            <w:tcW w:w="260" w:type="dxa"/>
            <w:vAlign w:val="bottom"/>
            <w:tcBorders>
              <w:top w:val="single" w:sz="8" w:color="auto"/>
            </w:tcBorders>
          </w:tcPr>
          <w:p>
            <w:pPr>
              <w:jc w:val="right"/>
              <w:ind w:right="79"/>
              <w:spacing w:after="0" w:line="187" w:lineRule="exact"/>
              <w:rPr>
                <w:sz w:val="20"/>
                <w:szCs w:val="20"/>
                <w:color w:val="auto"/>
              </w:rPr>
            </w:pPr>
            <w:r>
              <w:rPr>
                <w:rFonts w:ascii="Calibri" w:cs="Calibri" w:eastAsia="Calibri" w:hAnsi="Calibri"/>
                <w:sz w:val="16"/>
                <w:szCs w:val="16"/>
                <w:color w:val="auto"/>
                <w:w w:val="97"/>
              </w:rPr>
              <w:t>$</w:t>
            </w: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702,738</w:t>
            </w: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657,934</w:t>
            </w:r>
          </w:p>
        </w:tc>
      </w:tr>
      <w:tr>
        <w:trPr>
          <w:trHeight w:val="23"/>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3"/>
        </w:trPr>
        <w:tc>
          <w:tcPr>
            <w:tcW w:w="8240" w:type="dxa"/>
            <w:vAlign w:val="bottom"/>
            <w:tcBorders>
              <w:bottom w:val="single" w:sz="8" w:color="CCEEFF"/>
            </w:tcBorders>
            <w:shd w:val="clear" w:color="auto" w:fill="CCEEFF"/>
          </w:tcPr>
          <w:p>
            <w:pPr>
              <w:ind w:left="20"/>
              <w:spacing w:after="0" w:line="161" w:lineRule="exact"/>
              <w:rPr>
                <w:sz w:val="20"/>
                <w:szCs w:val="20"/>
                <w:color w:val="auto"/>
              </w:rPr>
            </w:pPr>
            <w:r>
              <w:rPr>
                <w:rFonts w:ascii="Calibri" w:cs="Calibri" w:eastAsia="Calibri" w:hAnsi="Calibri"/>
                <w:sz w:val="16"/>
                <w:szCs w:val="16"/>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LIABILITIES: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Accounts payable — trade</w:t>
            </w:r>
          </w:p>
        </w:tc>
        <w:tc>
          <w:tcPr>
            <w:tcW w:w="26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47,795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56,387</w:t>
            </w: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Accrued payroll and employee benefts</w:t>
            </w:r>
          </w:p>
        </w:tc>
        <w:tc>
          <w:tcPr>
            <w:tcW w:w="26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12,501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19,532</w:t>
            </w:r>
          </w:p>
        </w:tc>
      </w:tr>
      <w:tr>
        <w:trPr>
          <w:trHeight w:val="23"/>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Income tax payable</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11,751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1,943</w:t>
            </w:r>
          </w:p>
        </w:tc>
      </w:tr>
      <w:tr>
        <w:trPr>
          <w:trHeight w:val="193"/>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Current porton of long-term debt</w:t>
            </w:r>
          </w:p>
        </w:tc>
        <w:tc>
          <w:tcPr>
            <w:tcW w:w="26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9,913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9,913</w:t>
            </w:r>
          </w:p>
        </w:tc>
      </w:tr>
      <w:tr>
        <w:trPr>
          <w:trHeight w:val="23"/>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Environmental remediaton</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7,700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7,700</w:t>
            </w: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Other current liabilites</w:t>
            </w:r>
          </w:p>
        </w:tc>
        <w:tc>
          <w:tcPr>
            <w:tcW w:w="26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8,332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7,832</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780"/>
              <w:spacing w:after="0" w:line="174" w:lineRule="exact"/>
              <w:rPr>
                <w:sz w:val="20"/>
                <w:szCs w:val="20"/>
                <w:color w:val="auto"/>
              </w:rPr>
            </w:pPr>
            <w:r>
              <w:rPr>
                <w:rFonts w:ascii="Calibri" w:cs="Calibri" w:eastAsia="Calibri" w:hAnsi="Calibri"/>
                <w:sz w:val="16"/>
                <w:szCs w:val="16"/>
                <w:color w:val="auto"/>
              </w:rPr>
              <w:t>Total current liabilites</w:t>
            </w: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97,992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103,307</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DEBT, LESS CURRENT PORTION</w:t>
            </w:r>
          </w:p>
        </w:tc>
        <w:tc>
          <w:tcPr>
            <w:tcW w:w="26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123,840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88,818</w:t>
            </w:r>
          </w:p>
        </w:tc>
      </w:tr>
      <w:tr>
        <w:trPr>
          <w:trHeight w:val="23"/>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LONG-TERM LEASE LIABILITY</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9,816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9,530</w:t>
            </w: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PENSION WITHDRAWAL LIABILITY</w:t>
            </w:r>
          </w:p>
        </w:tc>
        <w:tc>
          <w:tcPr>
            <w:tcW w:w="26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3,443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3,538</w:t>
            </w:r>
          </w:p>
        </w:tc>
      </w:tr>
      <w:tr>
        <w:trPr>
          <w:trHeight w:val="22"/>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DEFERRED INCOME TAXES</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22,367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22,406</w:t>
            </w: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DEFERRED COMPENSATION LIABILITY</w:t>
            </w:r>
          </w:p>
        </w:tc>
        <w:tc>
          <w:tcPr>
            <w:tcW w:w="26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12,244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11,764</w:t>
            </w:r>
          </w:p>
        </w:tc>
      </w:tr>
      <w:tr>
        <w:trPr>
          <w:trHeight w:val="23"/>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EARNOUT LIABILITY</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11,577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11,235</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OTHER LONG-TERM LIABILITIES</w:t>
            </w:r>
          </w:p>
        </w:tc>
        <w:tc>
          <w:tcPr>
            <w:tcW w:w="26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241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1,310</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780"/>
              <w:spacing w:after="0" w:line="174" w:lineRule="exact"/>
              <w:rPr>
                <w:sz w:val="20"/>
                <w:szCs w:val="20"/>
                <w:color w:val="auto"/>
              </w:rPr>
            </w:pPr>
            <w:r>
              <w:rPr>
                <w:rFonts w:ascii="Calibri" w:cs="Calibri" w:eastAsia="Calibri" w:hAnsi="Calibri"/>
                <w:sz w:val="16"/>
                <w:szCs w:val="16"/>
                <w:color w:val="auto"/>
              </w:rPr>
              <w:t>Total liabilites</w:t>
            </w: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281,520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251,908</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COMMITMENTS AND CONTINGENCIES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SHAREHOLDERS’ EQUITY:</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57"/>
        </w:trPr>
        <w:tc>
          <w:tcPr>
            <w:tcW w:w="8240" w:type="dxa"/>
            <w:vAlign w:val="bottom"/>
          </w:tcPr>
          <w:p>
            <w:pPr>
              <w:ind w:left="340"/>
              <w:spacing w:after="0" w:line="157" w:lineRule="exact"/>
              <w:rPr>
                <w:sz w:val="20"/>
                <w:szCs w:val="20"/>
                <w:color w:val="auto"/>
              </w:rPr>
            </w:pPr>
            <w:r>
              <w:rPr>
                <w:rFonts w:ascii="Calibri" w:cs="Calibri" w:eastAsia="Calibri" w:hAnsi="Calibri"/>
                <w:sz w:val="16"/>
                <w:szCs w:val="16"/>
                <w:color w:val="auto"/>
              </w:rPr>
              <w:t>Common stock; authorized: 60,000,000 shares of $0.01 par value; 20,734,331 and 20,790,261 shares issued and</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outstanding as of June 30, 2024 and March 31, 2024, respectvely</w:t>
            </w:r>
          </w:p>
        </w:tc>
        <w:tc>
          <w:tcPr>
            <w:tcW w:w="26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207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208</w:t>
            </w:r>
          </w:p>
        </w:tc>
      </w:tr>
      <w:tr>
        <w:trPr>
          <w:trHeight w:val="28"/>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Additonal paid-in capital</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27,932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38,154</w:t>
            </w:r>
          </w:p>
        </w:tc>
      </w:tr>
      <w:tr>
        <w:trPr>
          <w:trHeight w:val="194"/>
        </w:trPr>
        <w:tc>
          <w:tcPr>
            <w:tcW w:w="8240" w:type="dxa"/>
            <w:vAlign w:val="bottom"/>
          </w:tcPr>
          <w:p>
            <w:pPr>
              <w:ind w:left="340"/>
              <w:spacing w:after="0" w:line="193" w:lineRule="exact"/>
              <w:rPr>
                <w:sz w:val="20"/>
                <w:szCs w:val="20"/>
                <w:color w:val="auto"/>
              </w:rPr>
            </w:pPr>
            <w:r>
              <w:rPr>
                <w:rFonts w:ascii="Calibri" w:cs="Calibri" w:eastAsia="Calibri" w:hAnsi="Calibri"/>
                <w:sz w:val="16"/>
                <w:szCs w:val="16"/>
                <w:color w:val="auto"/>
              </w:rPr>
              <w:t>Retained earnings</w:t>
            </w:r>
          </w:p>
        </w:tc>
        <w:tc>
          <w:tcPr>
            <w:tcW w:w="26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390,070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364,549</w:t>
            </w:r>
          </w:p>
        </w:tc>
      </w:tr>
      <w:tr>
        <w:trPr>
          <w:trHeight w:val="23"/>
        </w:trPr>
        <w:tc>
          <w:tcPr>
            <w:tcW w:w="8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40"/>
              <w:spacing w:after="0" w:line="193" w:lineRule="exact"/>
              <w:rPr>
                <w:sz w:val="20"/>
                <w:szCs w:val="20"/>
                <w:color w:val="auto"/>
              </w:rPr>
            </w:pPr>
            <w:r>
              <w:rPr>
                <w:rFonts w:ascii="Calibri" w:cs="Calibri" w:eastAsia="Calibri" w:hAnsi="Calibri"/>
                <w:sz w:val="16"/>
                <w:szCs w:val="16"/>
                <w:color w:val="auto"/>
              </w:rPr>
              <w:t>Accumulated other comprehensive income</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3,009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3,115</w:t>
            </w:r>
          </w:p>
        </w:tc>
      </w:tr>
      <w:tr>
        <w:trPr>
          <w:trHeight w:val="187"/>
        </w:trPr>
        <w:tc>
          <w:tcPr>
            <w:tcW w:w="8240" w:type="dxa"/>
            <w:vAlign w:val="bottom"/>
          </w:tcPr>
          <w:p>
            <w:pPr>
              <w:ind w:left="780"/>
              <w:spacing w:after="0" w:line="174" w:lineRule="exact"/>
              <w:rPr>
                <w:sz w:val="20"/>
                <w:szCs w:val="20"/>
                <w:color w:val="auto"/>
              </w:rPr>
            </w:pPr>
            <w:r>
              <w:rPr>
                <w:rFonts w:ascii="Calibri" w:cs="Calibri" w:eastAsia="Calibri" w:hAnsi="Calibri"/>
                <w:sz w:val="16"/>
                <w:szCs w:val="16"/>
                <w:color w:val="auto"/>
              </w:rPr>
              <w:t>Total shareholders’ equity</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421,218</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406,026</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5"/>
        </w:trPr>
        <w:tc>
          <w:tcPr>
            <w:tcW w:w="8240" w:type="dxa"/>
            <w:vAlign w:val="bottom"/>
            <w:tcBorders>
              <w:bottom w:val="single" w:sz="8" w:color="CCEEFF"/>
            </w:tcBorders>
            <w:shd w:val="clear" w:color="auto" w:fill="CCEEFF"/>
          </w:tcPr>
          <w:p>
            <w:pPr>
              <w:ind w:left="780"/>
              <w:spacing w:after="0" w:line="182" w:lineRule="exact"/>
              <w:rPr>
                <w:sz w:val="20"/>
                <w:szCs w:val="20"/>
                <w:color w:val="auto"/>
              </w:rPr>
            </w:pPr>
            <w:r>
              <w:rPr>
                <w:rFonts w:ascii="Calibri" w:cs="Calibri" w:eastAsia="Calibri" w:hAnsi="Calibri"/>
                <w:sz w:val="16"/>
                <w:szCs w:val="16"/>
                <w:color w:val="auto"/>
              </w:rPr>
              <w:t>Total liabilites and shareholders’ equity</w:t>
            </w:r>
          </w:p>
        </w:tc>
        <w:tc>
          <w:tcPr>
            <w:tcW w:w="260" w:type="dxa"/>
            <w:vAlign w:val="bottom"/>
            <w:tcBorders>
              <w:bottom w:val="single" w:sz="8" w:color="CCEEFF"/>
            </w:tcBorders>
            <w:shd w:val="clear" w:color="auto" w:fill="CCEEFF"/>
          </w:tcPr>
          <w:p>
            <w:pPr>
              <w:jc w:val="right"/>
              <w:ind w:right="79"/>
              <w:spacing w:after="0" w:line="187" w:lineRule="exact"/>
              <w:rPr>
                <w:sz w:val="20"/>
                <w:szCs w:val="20"/>
                <w:color w:val="auto"/>
              </w:rPr>
            </w:pPr>
            <w:r>
              <w:rPr>
                <w:rFonts w:ascii="Calibri" w:cs="Calibri" w:eastAsia="Calibri" w:hAnsi="Calibri"/>
                <w:sz w:val="16"/>
                <w:szCs w:val="16"/>
                <w:color w:val="auto"/>
                <w:w w:val="97"/>
              </w:rPr>
              <w:t>$</w:t>
            </w: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702,738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657,934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1044" w:right="359" w:bottom="1440" w:gutter="0" w:footer="0" w:header="0"/>
        </w:sectPr>
      </w:pPr>
    </w:p>
    <w:bookmarkStart w:id="8" w:name="page9"/>
    <w:bookmarkEnd w:id="8"/>
    <w:p>
      <w:pPr>
        <w:jc w:val="center"/>
        <w:spacing w:after="0"/>
        <w:rPr>
          <w:sz w:val="20"/>
          <w:szCs w:val="20"/>
          <w:color w:val="auto"/>
        </w:rPr>
      </w:pPr>
      <w:r>
        <w:rPr>
          <w:rFonts w:ascii="Calibri" w:cs="Calibri" w:eastAsia="Calibri" w:hAnsi="Calibri"/>
          <w:sz w:val="18"/>
          <w:szCs w:val="18"/>
          <w:b w:val="1"/>
          <w:bCs w:val="1"/>
          <w:color w:val="auto"/>
        </w:rPr>
        <w:t>HAWKINS, INC.</w:t>
      </w:r>
    </w:p>
    <w:p>
      <w:pPr>
        <w:jc w:val="center"/>
        <w:spacing w:after="0" w:line="235" w:lineRule="auto"/>
        <w:rPr>
          <w:sz w:val="20"/>
          <w:szCs w:val="20"/>
          <w:color w:val="auto"/>
        </w:rPr>
      </w:pPr>
      <w:r>
        <w:rPr>
          <w:rFonts w:ascii="Calibri" w:cs="Calibri" w:eastAsia="Calibri" w:hAnsi="Calibri"/>
          <w:sz w:val="18"/>
          <w:szCs w:val="18"/>
          <w:b w:val="1"/>
          <w:bCs w:val="1"/>
          <w:color w:val="auto"/>
        </w:rPr>
        <w:t>CONDENSED CONSOLIDATED STATEMENTS OF CASH FLOWS (UNAUDITED)</w:t>
      </w:r>
    </w:p>
    <w:p>
      <w:pPr>
        <w:jc w:val="center"/>
        <w:spacing w:after="0" w:line="233" w:lineRule="auto"/>
        <w:rPr>
          <w:sz w:val="20"/>
          <w:szCs w:val="20"/>
          <w:color w:val="auto"/>
        </w:rPr>
      </w:pPr>
      <w:r>
        <w:rPr>
          <w:rFonts w:ascii="Calibri" w:cs="Calibri" w:eastAsia="Calibri" w:hAnsi="Calibri"/>
          <w:sz w:val="14"/>
          <w:szCs w:val="14"/>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799"/>
              <w:spacing w:after="0"/>
              <w:rPr>
                <w:sz w:val="20"/>
                <w:szCs w:val="20"/>
                <w:color w:val="auto"/>
              </w:rPr>
            </w:pPr>
            <w:r>
              <w:rPr>
                <w:rFonts w:ascii="Calibri" w:cs="Calibri" w:eastAsia="Calibri" w:hAnsi="Calibri"/>
                <w:sz w:val="16"/>
                <w:szCs w:val="16"/>
                <w:b w:val="1"/>
                <w:bCs w:val="1"/>
                <w:color w:val="auto"/>
              </w:rPr>
              <w:t>Three Months Ended</w:t>
            </w:r>
          </w:p>
        </w:tc>
      </w:tr>
      <w:tr>
        <w:trPr>
          <w:trHeight w:val="28"/>
        </w:trPr>
        <w:tc>
          <w:tcPr>
            <w:tcW w:w="8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1"/>
        </w:trPr>
        <w:tc>
          <w:tcPr>
            <w:tcW w:w="8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220"/>
              <w:spacing w:after="0" w:line="150" w:lineRule="exact"/>
              <w:rPr>
                <w:sz w:val="20"/>
                <w:szCs w:val="20"/>
                <w:color w:val="auto"/>
              </w:rPr>
            </w:pPr>
            <w:r>
              <w:rPr>
                <w:rFonts w:ascii="Calibri" w:cs="Calibri" w:eastAsia="Calibri" w:hAnsi="Calibri"/>
                <w:sz w:val="16"/>
                <w:szCs w:val="16"/>
                <w:b w:val="1"/>
                <w:bCs w:val="1"/>
                <w:color w:val="auto"/>
              </w:rPr>
              <w:t>June 30,</w:t>
            </w:r>
          </w:p>
        </w:tc>
        <w:tc>
          <w:tcPr>
            <w:tcW w:w="320" w:type="dxa"/>
            <w:vAlign w:val="bottom"/>
          </w:tcPr>
          <w:p>
            <w:pPr>
              <w:spacing w:after="0"/>
              <w:rPr>
                <w:sz w:val="13"/>
                <w:szCs w:val="13"/>
                <w:color w:val="auto"/>
              </w:rPr>
            </w:pPr>
          </w:p>
        </w:tc>
        <w:tc>
          <w:tcPr>
            <w:tcW w:w="1160" w:type="dxa"/>
            <w:vAlign w:val="bottom"/>
          </w:tcPr>
          <w:p>
            <w:pPr>
              <w:jc w:val="right"/>
              <w:ind w:right="439"/>
              <w:spacing w:after="0" w:line="150" w:lineRule="exact"/>
              <w:rPr>
                <w:sz w:val="20"/>
                <w:szCs w:val="20"/>
                <w:color w:val="auto"/>
              </w:rPr>
            </w:pPr>
            <w:r>
              <w:rPr>
                <w:rFonts w:ascii="Calibri" w:cs="Calibri" w:eastAsia="Calibri" w:hAnsi="Calibri"/>
                <w:sz w:val="16"/>
                <w:szCs w:val="16"/>
                <w:b w:val="1"/>
                <w:bCs w:val="1"/>
                <w:color w:val="auto"/>
              </w:rPr>
              <w:t>July 2,</w:t>
            </w:r>
          </w:p>
        </w:tc>
      </w:tr>
      <w:tr>
        <w:trPr>
          <w:trHeight w:val="193"/>
        </w:trPr>
        <w:tc>
          <w:tcPr>
            <w:tcW w:w="8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39"/>
              <w:spacing w:after="0" w:line="193"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99"/>
              <w:spacing w:after="0" w:line="193" w:lineRule="exact"/>
              <w:rPr>
                <w:sz w:val="20"/>
                <w:szCs w:val="20"/>
                <w:color w:val="auto"/>
              </w:rPr>
            </w:pPr>
            <w:r>
              <w:rPr>
                <w:rFonts w:ascii="Calibri" w:cs="Calibri" w:eastAsia="Calibri" w:hAnsi="Calibri"/>
                <w:sz w:val="16"/>
                <w:szCs w:val="16"/>
                <w:b w:val="1"/>
                <w:bCs w:val="1"/>
                <w:color w:val="auto"/>
              </w:rPr>
              <w:t>2023</w:t>
            </w:r>
          </w:p>
        </w:tc>
      </w:tr>
      <w:tr>
        <w:trPr>
          <w:trHeight w:val="28"/>
        </w:trPr>
        <w:tc>
          <w:tcPr>
            <w:tcW w:w="8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6"/>
        </w:trPr>
        <w:tc>
          <w:tcPr>
            <w:tcW w:w="80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28,879</w:t>
            </w:r>
          </w:p>
        </w:tc>
        <w:tc>
          <w:tcPr>
            <w:tcW w:w="100" w:type="dxa"/>
            <w:vAlign w:val="bottom"/>
          </w:tcPr>
          <w:p>
            <w:pPr>
              <w:spacing w:after="0"/>
              <w:rPr>
                <w:sz w:val="16"/>
                <w:szCs w:val="16"/>
                <w:color w:val="auto"/>
              </w:rPr>
            </w:pPr>
          </w:p>
        </w:tc>
        <w:tc>
          <w:tcPr>
            <w:tcW w:w="32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w w:val="97"/>
              </w:rPr>
              <w:t>$</w:t>
            </w: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23,430</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Reconciliaton to cash fows:</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Depreciaton and amortzaton</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9,329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7,107</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Change in fair value of earnout liability</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Operatng leases</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782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534</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Gain on deferred compensaton assets</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(159)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(337)</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Stock compensaton expense</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1,467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959</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Other</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26</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Changes in operatng accounts providing (using) cash:</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Trade receivables</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(10,576)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(9,055)</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Inventories</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(6,037)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11,839</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Accounts payable</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(7,300)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(537)</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Accrued liabilites</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(8,949)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(9,075)</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Lease liabilites</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(834)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(580)</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Income taxes</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9,808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8,255</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Other</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899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2,300</w:t>
            </w:r>
          </w:p>
        </w:tc>
      </w:tr>
      <w:tr>
        <w:trPr>
          <w:trHeight w:val="187"/>
        </w:trPr>
        <w:tc>
          <w:tcPr>
            <w:tcW w:w="8080" w:type="dxa"/>
            <w:vAlign w:val="bottom"/>
          </w:tcPr>
          <w:p>
            <w:pPr>
              <w:ind w:left="1440"/>
              <w:spacing w:after="0" w:line="174" w:lineRule="exact"/>
              <w:rPr>
                <w:sz w:val="20"/>
                <w:szCs w:val="20"/>
                <w:color w:val="auto"/>
              </w:rPr>
            </w:pPr>
            <w:r>
              <w:rPr>
                <w:rFonts w:ascii="Calibri" w:cs="Calibri" w:eastAsia="Calibri" w:hAnsi="Calibri"/>
                <w:sz w:val="16"/>
                <w:szCs w:val="16"/>
                <w:color w:val="auto"/>
              </w:rPr>
              <w:t>Net cash provided by operatng actvites</w:t>
            </w:r>
          </w:p>
        </w:tc>
        <w:tc>
          <w:tcPr>
            <w:tcW w:w="3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17,586</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34,866</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Purchases of property, plant, and equipment</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(10,649)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(7,873)</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Acquisitons</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Other</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44</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0"/>
        </w:trPr>
        <w:tc>
          <w:tcPr>
            <w:tcW w:w="808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used in investng actvites</w:t>
            </w:r>
          </w:p>
        </w:tc>
        <w:tc>
          <w:tcPr>
            <w:tcW w:w="3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(35,804)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(7,829)</w:t>
            </w:r>
          </w:p>
        </w:tc>
      </w:tr>
      <w:tr>
        <w:trPr>
          <w:trHeight w:val="193"/>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CASH FLOWS FROM FINANCING ACTIVITIES: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dividends declared and paid</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(3,358)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(3,160)</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New shares issued</w:t>
            </w:r>
          </w:p>
        </w:tc>
        <w:tc>
          <w:tcPr>
            <w:tcW w:w="300" w:type="dxa"/>
            <w:vAlign w:val="bottom"/>
          </w:tcPr>
          <w:p>
            <w:pPr>
              <w:spacing w:after="0"/>
              <w:rPr>
                <w:sz w:val="16"/>
                <w:szCs w:val="16"/>
                <w:color w:val="auto"/>
              </w:rPr>
            </w:pPr>
          </w:p>
        </w:tc>
        <w:tc>
          <w:tcPr>
            <w:tcW w:w="138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1,147</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Payroll taxes paid in exchange for shares withheld</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(2,140)</w:t>
            </w: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(9,149)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Payments on revolving loan</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(10,000)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(23,400)</w:t>
            </w: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Proceeds from revolving loan borrowings</w:t>
            </w:r>
          </w:p>
        </w:tc>
        <w:tc>
          <w:tcPr>
            <w:tcW w:w="30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45,000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808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provided by (used in) fnancing actvites</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19,952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(27,553)</w:t>
            </w:r>
          </w:p>
        </w:tc>
      </w:tr>
      <w:tr>
        <w:trPr>
          <w:trHeight w:val="187"/>
        </w:trPr>
        <w:tc>
          <w:tcPr>
            <w:tcW w:w="8080" w:type="dxa"/>
            <w:vAlign w:val="bottom"/>
          </w:tcPr>
          <w:p>
            <w:pPr>
              <w:ind w:left="20"/>
              <w:spacing w:after="0" w:line="174" w:lineRule="exact"/>
              <w:rPr>
                <w:sz w:val="20"/>
                <w:szCs w:val="20"/>
                <w:color w:val="auto"/>
              </w:rPr>
            </w:pPr>
            <w:r>
              <w:rPr>
                <w:rFonts w:ascii="Calibri" w:cs="Calibri" w:eastAsia="Calibri" w:hAnsi="Calibri"/>
                <w:sz w:val="16"/>
                <w:szCs w:val="16"/>
                <w:color w:val="auto"/>
              </w:rPr>
              <w:t>NET (DECREASE) INCREASE IN CASH AND CASH EQUIVALENTS</w:t>
            </w:r>
          </w:p>
        </w:tc>
        <w:tc>
          <w:tcPr>
            <w:tcW w:w="3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1,734</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(516)</w:t>
            </w:r>
          </w:p>
        </w:tc>
      </w:tr>
      <w:tr>
        <w:trPr>
          <w:trHeight w:val="22"/>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8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AND CASH EQUIVALENTS, BEGINNING OF PERIOD</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7,153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7,566</w:t>
            </w:r>
          </w:p>
        </w:tc>
      </w:tr>
      <w:tr>
        <w:trPr>
          <w:trHeight w:val="187"/>
        </w:trPr>
        <w:tc>
          <w:tcPr>
            <w:tcW w:w="8080" w:type="dxa"/>
            <w:vAlign w:val="bottom"/>
          </w:tcPr>
          <w:p>
            <w:pPr>
              <w:ind w:left="20"/>
              <w:spacing w:after="0" w:line="174" w:lineRule="exact"/>
              <w:rPr>
                <w:sz w:val="20"/>
                <w:szCs w:val="20"/>
                <w:color w:val="auto"/>
              </w:rPr>
            </w:pPr>
            <w:r>
              <w:rPr>
                <w:rFonts w:ascii="Calibri" w:cs="Calibri" w:eastAsia="Calibri" w:hAnsi="Calibri"/>
                <w:sz w:val="16"/>
                <w:szCs w:val="16"/>
                <w:color w:val="auto"/>
              </w:rPr>
              <w:t>CASH AND CASH EQUIVALENTS, END OF PERIOD</w:t>
            </w:r>
          </w:p>
        </w:tc>
        <w:tc>
          <w:tcPr>
            <w:tcW w:w="300" w:type="dxa"/>
            <w:vAlign w:val="bottom"/>
            <w:tcBorders>
              <w:top w:val="single" w:sz="8" w:color="auto"/>
            </w:tcBorders>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8,887</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39"/>
              <w:spacing w:after="0" w:line="187" w:lineRule="exact"/>
              <w:rPr>
                <w:sz w:val="20"/>
                <w:szCs w:val="20"/>
                <w:color w:val="auto"/>
              </w:rPr>
            </w:pPr>
            <w:r>
              <w:rPr>
                <w:rFonts w:ascii="Calibri" w:cs="Calibri" w:eastAsia="Calibri" w:hAnsi="Calibri"/>
                <w:sz w:val="16"/>
                <w:szCs w:val="16"/>
                <w:color w:val="auto"/>
                <w:w w:val="97"/>
              </w:rPr>
              <w:t>$</w:t>
            </w: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7,050</w:t>
            </w:r>
          </w:p>
        </w:tc>
      </w:tr>
      <w:tr>
        <w:trPr>
          <w:trHeight w:val="23"/>
        </w:trPr>
        <w:tc>
          <w:tcPr>
            <w:tcW w:w="8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4"/>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SUPPLEMENTAL DISCLOSURES OF CASH FLOW INFORMATION</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paid for interest</w:t>
            </w:r>
          </w:p>
        </w:tc>
        <w:tc>
          <w:tcPr>
            <w:tcW w:w="300" w:type="dxa"/>
            <w:vAlign w:val="bottom"/>
            <w:tcBorders>
              <w:bottom w:val="single" w:sz="8" w:color="CCEEFF"/>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1,347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39"/>
              <w:spacing w:after="0" w:line="193" w:lineRule="exact"/>
              <w:rPr>
                <w:sz w:val="20"/>
                <w:szCs w:val="20"/>
                <w:color w:val="auto"/>
              </w:rPr>
            </w:pPr>
            <w:r>
              <w:rPr>
                <w:rFonts w:ascii="Calibri" w:cs="Calibri" w:eastAsia="Calibri" w:hAnsi="Calibri"/>
                <w:sz w:val="16"/>
                <w:szCs w:val="16"/>
                <w:color w:val="auto"/>
                <w:w w:val="97"/>
              </w:rPr>
              <w:t>$</w:t>
            </w: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1,221</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Noncash investng actvites - capital expenditures in accounts payable</w:t>
            </w: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1,015</w:t>
            </w:r>
          </w:p>
        </w:tc>
        <w:tc>
          <w:tcPr>
            <w:tcW w:w="100" w:type="dxa"/>
            <w:vAlign w:val="bottom"/>
          </w:tcPr>
          <w:p>
            <w:pPr>
              <w:spacing w:after="0"/>
              <w:rPr>
                <w:sz w:val="16"/>
                <w:szCs w:val="16"/>
                <w:color w:val="auto"/>
              </w:rPr>
            </w:pPr>
          </w:p>
        </w:tc>
        <w:tc>
          <w:tcPr>
            <w:tcW w:w="32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w w:val="97"/>
              </w:rPr>
              <w:t>$</w:t>
            </w: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4,771</w:t>
            </w:r>
          </w:p>
        </w:tc>
      </w:tr>
    </w:tbl>
    <w:p>
      <w:pPr>
        <w:sectPr>
          <w:pgSz w:w="11900" w:h="16838" w:orient="portrait"/>
          <w:cols w:equalWidth="0" w:num="1">
            <w:col w:w="11240"/>
          </w:cols>
          <w:pgMar w:left="320" w:top="882" w:right="339" w:bottom="1440" w:gutter="0" w:footer="0" w:header="0"/>
        </w:sectPr>
      </w:pPr>
    </w:p>
    <w:bookmarkStart w:id="9" w:name="page10"/>
    <w:bookmarkEnd w:id="9"/>
    <w:p>
      <w:pPr>
        <w:jc w:val="center"/>
        <w:ind w:right="20"/>
        <w:spacing w:after="0"/>
        <w:rPr>
          <w:sz w:val="20"/>
          <w:szCs w:val="20"/>
          <w:color w:val="auto"/>
        </w:rPr>
      </w:pPr>
      <w:r>
        <w:rPr>
          <w:rFonts w:ascii="Calibri" w:cs="Calibri" w:eastAsia="Calibri" w:hAnsi="Calibri"/>
          <w:sz w:val="18"/>
          <w:szCs w:val="18"/>
          <w:b w:val="1"/>
          <w:bCs w:val="1"/>
          <w:color w:val="auto"/>
        </w:rPr>
        <w:t>HAWKINS,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REPORTABLE SEGMENTS (UNAUDITED)</w:t>
      </w:r>
    </w:p>
    <w:p>
      <w:pPr>
        <w:jc w:val="center"/>
        <w:ind w:right="20"/>
        <w:spacing w:after="0" w:line="233" w:lineRule="auto"/>
        <w:rPr>
          <w:sz w:val="20"/>
          <w:szCs w:val="20"/>
          <w:color w:val="auto"/>
        </w:rPr>
      </w:pPr>
      <w:r>
        <w:rPr>
          <w:rFonts w:ascii="Calibri" w:cs="Calibri" w:eastAsia="Calibri" w:hAnsi="Calibri"/>
          <w:sz w:val="14"/>
          <w:szCs w:val="14"/>
          <w:b w:val="1"/>
          <w:b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Calibri" w:cs="Calibri" w:eastAsia="Calibri" w:hAnsi="Calibri"/>
                <w:sz w:val="18"/>
                <w:szCs w:val="18"/>
                <w:b w:val="1"/>
                <w:bCs w:val="1"/>
                <w:color w:val="auto"/>
                <w:w w:val="97"/>
              </w:rPr>
              <w:t>Water</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right="360"/>
              <w:spacing w:after="0" w:line="215" w:lineRule="exact"/>
              <w:rPr>
                <w:sz w:val="20"/>
                <w:szCs w:val="20"/>
                <w:color w:val="auto"/>
              </w:rPr>
            </w:pPr>
            <w:r>
              <w:rPr>
                <w:rFonts w:ascii="Calibri" w:cs="Calibri" w:eastAsia="Calibri" w:hAnsi="Calibri"/>
                <w:sz w:val="18"/>
                <w:szCs w:val="18"/>
                <w:b w:val="1"/>
                <w:bCs w:val="1"/>
                <w:color w:val="auto"/>
                <w:w w:val="93"/>
              </w:rPr>
              <w:t>Treatment</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180" w:type="dxa"/>
            <w:vAlign w:val="bottom"/>
          </w:tcPr>
          <w:p>
            <w:pPr>
              <w:spacing w:after="0"/>
              <w:rPr>
                <w:sz w:val="19"/>
                <w:szCs w:val="19"/>
                <w:color w:val="auto"/>
              </w:rPr>
            </w:pPr>
          </w:p>
        </w:tc>
        <w:tc>
          <w:tcPr>
            <w:tcW w:w="128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5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240" w:type="dxa"/>
            <w:vAlign w:val="bottom"/>
            <w:shd w:val="clear" w:color="auto" w:fill="CCEEFF"/>
          </w:tcPr>
          <w:p>
            <w:pPr>
              <w:spacing w:after="0" w:line="195" w:lineRule="exact"/>
              <w:rPr>
                <w:sz w:val="20"/>
                <w:szCs w:val="20"/>
                <w:color w:val="auto"/>
              </w:rPr>
            </w:pPr>
            <w:r>
              <w:rPr>
                <w:rFonts w:ascii="Calibri" w:cs="Calibri" w:eastAsia="Calibri" w:hAnsi="Calibri"/>
                <w:sz w:val="18"/>
                <w:szCs w:val="18"/>
                <w:color w:val="auto"/>
              </w:rPr>
              <w:t>Three months ended June 30, 2024: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Sales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117,176</w:t>
            </w:r>
          </w:p>
        </w:tc>
        <w:tc>
          <w:tcPr>
            <w:tcW w:w="140" w:type="dxa"/>
            <w:vAlign w:val="bottom"/>
          </w:tcPr>
          <w:p>
            <w:pPr>
              <w:spacing w:after="0"/>
              <w:rPr>
                <w:sz w:val="19"/>
                <w:szCs w:val="19"/>
                <w:color w:val="auto"/>
              </w:rPr>
            </w:pP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103,202</w:t>
            </w:r>
          </w:p>
        </w:tc>
        <w:tc>
          <w:tcPr>
            <w:tcW w:w="1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35,501</w:t>
            </w:r>
          </w:p>
        </w:tc>
        <w:tc>
          <w:tcPr>
            <w:tcW w:w="14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255,879</w:t>
            </w: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Gross proft</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34,955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21,876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7,824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64,655</w:t>
            </w: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14,166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6,639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4,059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24,864</w:t>
            </w: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Operatng income</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20,789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15,237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3,765</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39,791</w:t>
            </w:r>
          </w:p>
        </w:tc>
      </w:tr>
      <w:tr>
        <w:trPr>
          <w:trHeight w:val="222"/>
        </w:trPr>
        <w:tc>
          <w:tcPr>
            <w:tcW w:w="5240" w:type="dxa"/>
            <w:vAlign w:val="bottom"/>
          </w:tcPr>
          <w:p>
            <w:pPr>
              <w:spacing w:after="0" w:line="215" w:lineRule="exact"/>
              <w:rPr>
                <w:sz w:val="20"/>
                <w:szCs w:val="20"/>
                <w:color w:val="auto"/>
              </w:rPr>
            </w:pPr>
            <w:r>
              <w:rPr>
                <w:rFonts w:ascii="Calibri" w:cs="Calibri" w:eastAsia="Calibri" w:hAnsi="Calibri"/>
                <w:sz w:val="18"/>
                <w:szCs w:val="18"/>
                <w:color w:val="auto"/>
              </w:rPr>
              <w:t>Three months ended July 2, 2023:</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Sales</w:t>
            </w: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93,651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120,873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36,596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251,120</w:t>
            </w:r>
          </w:p>
        </w:tc>
      </w:tr>
      <w:tr>
        <w:trPr>
          <w:trHeight w:val="222"/>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Gross proft</w:t>
            </w:r>
          </w:p>
        </w:tc>
        <w:tc>
          <w:tcPr>
            <w:tcW w:w="200" w:type="dxa"/>
            <w:vAlign w:val="bottom"/>
          </w:tcPr>
          <w:p>
            <w:pPr>
              <w:spacing w:after="0"/>
              <w:rPr>
                <w:sz w:val="19"/>
                <w:szCs w:val="19"/>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26,408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19,306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6,277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51,991</w:t>
            </w:r>
          </w:p>
        </w:tc>
      </w:tr>
      <w:tr>
        <w:trPr>
          <w:trHeight w:val="237"/>
        </w:trPr>
        <w:tc>
          <w:tcPr>
            <w:tcW w:w="5240" w:type="dxa"/>
            <w:vAlign w:val="bottom"/>
            <w:shd w:val="clear" w:color="auto" w:fill="CCEEFF"/>
          </w:tcPr>
          <w:p>
            <w:pPr>
              <w:ind w:left="340"/>
              <w:spacing w:after="0"/>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9,126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6,575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3,803</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19,504</w:t>
            </w:r>
          </w:p>
        </w:tc>
      </w:tr>
      <w:tr>
        <w:trPr>
          <w:trHeight w:val="215"/>
        </w:trPr>
        <w:tc>
          <w:tcPr>
            <w:tcW w:w="5240" w:type="dxa"/>
            <w:vAlign w:val="bottom"/>
          </w:tcPr>
          <w:p>
            <w:pPr>
              <w:ind w:left="340"/>
              <w:spacing w:after="0" w:line="215" w:lineRule="exact"/>
              <w:rPr>
                <w:sz w:val="20"/>
                <w:szCs w:val="20"/>
                <w:color w:val="auto"/>
              </w:rPr>
            </w:pPr>
            <w:r>
              <w:rPr>
                <w:rFonts w:ascii="Calibri" w:cs="Calibri" w:eastAsia="Calibri" w:hAnsi="Calibri"/>
                <w:sz w:val="18"/>
                <w:szCs w:val="18"/>
                <w:color w:val="auto"/>
              </w:rPr>
              <w:t>Operatng income</w:t>
            </w:r>
          </w:p>
        </w:tc>
        <w:tc>
          <w:tcPr>
            <w:tcW w:w="20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17,282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12,731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2,474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32,487</w:t>
            </w:r>
          </w:p>
        </w:tc>
      </w:tr>
    </w:tbl>
    <w:p>
      <w:pPr>
        <w:sectPr>
          <w:pgSz w:w="11900" w:h="16838" w:orient="portrait"/>
          <w:cols w:equalWidth="0" w:num="1">
            <w:col w:w="10940"/>
          </w:cols>
          <w:pgMar w:left="480" w:top="882" w:right="479" w:bottom="1440" w:gutter="0" w:footer="0" w:header="0"/>
        </w:sectPr>
      </w:pPr>
    </w:p>
    <w:bookmarkStart w:id="10" w:name="page11"/>
    <w:bookmarkEnd w:id="10"/>
    <w:p>
      <w:pPr>
        <w:spacing w:after="0" w:line="230" w:lineRule="auto"/>
        <w:rPr>
          <w:rFonts w:ascii="Calibri" w:cs="Calibri" w:eastAsia="Calibri" w:hAnsi="Calibri"/>
          <w:sz w:val="17"/>
          <w:szCs w:val="17"/>
          <w:color w:val="0000FF"/>
        </w:rPr>
      </w:pPr>
      <w:r>
        <w:rPr>
          <w:rFonts w:ascii="Calibri" w:cs="Calibri" w:eastAsia="Calibri" w:hAnsi="Calibri"/>
          <w:sz w:val="17"/>
          <w:szCs w:val="17"/>
          <w:u w:val="single" w:color="auto"/>
          <w:color w:val="auto"/>
        </w:rPr>
        <w:t>Forward-Looking Statements</w:t>
      </w:r>
      <w:r>
        <w:rPr>
          <w:rFonts w:ascii="Calibri" w:cs="Calibri" w:eastAsia="Calibri" w:hAnsi="Calibri"/>
          <w:sz w:val="17"/>
          <w:szCs w:val="17"/>
          <w:color w:val="auto"/>
        </w:rPr>
        <w:t xml:space="preserve">. Various remarks in this press release consttute forward-looking statements within the meaning of Secton 27A of the Securites Act of 1933, as amended, and Secton 21E of the Securites Exchange Act of 1934, as amended. These statements include those relatng to consumer demand for products containing our ingredients and the impacts of those demands, expectatons for results in our business segments and the tming of our flings with the Securites and Exchange Commission. These statements are not historical facts, but rather are based on our current expectatons, estmates and projectons, and our beliefs and assumptons. Forward-looking statements may be identfed by terms, including “antcipate,” “believe,” “can,” “could,” “expect,” “intend,” “may,” “predict,” “should,” or “will” or the negatve of these terms or other comparable terms. These statements are not guarantees of future performance and are subject to certain risks, uncertaintes and other factors, some of which are beyond our control and are difcult to predict. Actual results may vary materially from those contained in forward looking statements based on a number of factors, including, but not limited to, changes in competton and price pressures, changes in demand and customer requirements or processes for our products, availability of product and disruptons to supplies, interruptons in producton resultng from hazards, transportaton limitatons or other extraordinary events outside our control that may negatvely impact our business or the supply chains in which we partcipate, changes in imported products and tarif levels, the availability of products and the prices at which they are available, the acceptance of new products by our customers and the tming of any such acceptance, and changes in product supplies. </w:t>
      </w:r>
      <w:hyperlink r:id="rId11">
        <w:r>
          <w:rPr>
            <w:rFonts w:ascii="Calibri" w:cs="Calibri" w:eastAsia="Calibri" w:hAnsi="Calibri"/>
            <w:sz w:val="17"/>
            <w:szCs w:val="17"/>
            <w:color w:val="auto"/>
          </w:rPr>
          <w:t xml:space="preserve">Additonal informaton concerning potental factors that could afect future fnancial results is included in our </w:t>
        </w:r>
        <w:r>
          <w:rPr>
            <w:rFonts w:ascii="Calibri" w:cs="Calibri" w:eastAsia="Calibri" w:hAnsi="Calibri"/>
            <w:sz w:val="17"/>
            <w:szCs w:val="17"/>
            <w:u w:val="single" w:color="auto"/>
            <w:color w:val="0000FF"/>
          </w:rPr>
          <w:t>Annual Report on Form 10-K for the fscal year</w:t>
        </w:r>
      </w:hyperlink>
      <w:r>
        <w:rPr>
          <w:rFonts w:ascii="Calibri" w:cs="Calibri" w:eastAsia="Calibri" w:hAnsi="Calibri"/>
          <w:sz w:val="17"/>
          <w:szCs w:val="17"/>
          <w:color w:val="auto"/>
        </w:rPr>
        <w:t xml:space="preserve"> </w:t>
      </w:r>
      <w:hyperlink r:id="rId11">
        <w:r>
          <w:rPr>
            <w:rFonts w:ascii="Calibri" w:cs="Calibri" w:eastAsia="Calibri" w:hAnsi="Calibri"/>
            <w:sz w:val="17"/>
            <w:szCs w:val="17"/>
            <w:u w:val="single" w:color="auto"/>
            <w:color w:val="0000FF"/>
          </w:rPr>
          <w:t>ended March 31, 2024</w:t>
        </w:r>
        <w:r>
          <w:rPr>
            <w:rFonts w:ascii="Calibri" w:cs="Calibri" w:eastAsia="Calibri" w:hAnsi="Calibri"/>
            <w:sz w:val="17"/>
            <w:szCs w:val="17"/>
            <w:color w:val="000000"/>
          </w:rPr>
          <w:t>, as updated from tme to tme in amendments and subsequent reports fled with the SEC. Investors should take such risks into account</w:t>
        </w:r>
      </w:hyperlink>
      <w:r>
        <w:rPr>
          <w:rFonts w:ascii="Calibri" w:cs="Calibri" w:eastAsia="Calibri" w:hAnsi="Calibri"/>
          <w:sz w:val="17"/>
          <w:szCs w:val="17"/>
          <w:color w:val="0000FF"/>
        </w:rPr>
        <w:t xml:space="preserve"> </w:t>
      </w:r>
      <w:r>
        <w:rPr>
          <w:rFonts w:ascii="Calibri" w:cs="Calibri" w:eastAsia="Calibri" w:hAnsi="Calibri"/>
          <w:sz w:val="17"/>
          <w:szCs w:val="17"/>
          <w:color w:val="000000"/>
        </w:rPr>
        <w:t>when making investment decisions. Shareholders and other readers are cautoned not to place undue reliance on forward-looking statements, which refect our management’s view only as of the date hereof. We do not undertake any obligaton to update any forward-looking statements.</w:t>
      </w:r>
    </w:p>
    <w:p>
      <w:pPr>
        <w:spacing w:after="0" w:line="242" w:lineRule="exact"/>
        <w:rPr>
          <w:sz w:val="20"/>
          <w:szCs w:val="20"/>
          <w:color w:val="auto"/>
        </w:rPr>
      </w:pPr>
    </w:p>
    <w:p>
      <w:pPr>
        <w:spacing w:after="0"/>
        <w:tabs>
          <w:tab w:leader="none" w:pos="820" w:val="left"/>
        </w:tabs>
        <w:rPr>
          <w:sz w:val="20"/>
          <w:szCs w:val="20"/>
          <w:color w:val="auto"/>
        </w:rPr>
      </w:pPr>
      <w:r>
        <w:rPr>
          <w:rFonts w:ascii="Calibri" w:cs="Calibri" w:eastAsia="Calibri" w:hAnsi="Calibri"/>
          <w:sz w:val="18"/>
          <w:szCs w:val="18"/>
          <w:color w:val="auto"/>
        </w:rPr>
        <w:t>Contacts:</w:t>
      </w:r>
      <w:r>
        <w:rPr>
          <w:sz w:val="20"/>
          <w:szCs w:val="20"/>
          <w:color w:val="auto"/>
        </w:rPr>
        <w:tab/>
      </w:r>
      <w:r>
        <w:rPr>
          <w:rFonts w:ascii="Calibri" w:cs="Calibri" w:eastAsia="Calibri" w:hAnsi="Calibri"/>
          <w:sz w:val="17"/>
          <w:szCs w:val="17"/>
          <w:color w:val="auto"/>
        </w:rPr>
        <w:t>Jefrey P. Oldenkamp</w:t>
      </w:r>
    </w:p>
    <w:p>
      <w:pPr>
        <w:ind w:left="1300"/>
        <w:spacing w:after="0" w:line="221" w:lineRule="auto"/>
        <w:rPr>
          <w:sz w:val="20"/>
          <w:szCs w:val="20"/>
          <w:color w:val="auto"/>
        </w:rPr>
      </w:pPr>
      <w:r>
        <w:rPr>
          <w:rFonts w:ascii="Calibri" w:cs="Calibri" w:eastAsia="Calibri" w:hAnsi="Calibri"/>
          <w:sz w:val="18"/>
          <w:szCs w:val="18"/>
          <w:color w:val="auto"/>
        </w:rPr>
        <w:t>Executve Vice President and Chief Financial Ofcer</w:t>
      </w:r>
    </w:p>
    <w:p>
      <w:pPr>
        <w:ind w:left="1300"/>
        <w:spacing w:after="0" w:line="221" w:lineRule="auto"/>
        <w:rPr>
          <w:sz w:val="20"/>
          <w:szCs w:val="20"/>
          <w:color w:val="auto"/>
        </w:rPr>
      </w:pPr>
      <w:r>
        <w:rPr>
          <w:rFonts w:ascii="Calibri" w:cs="Calibri" w:eastAsia="Calibri" w:hAnsi="Calibri"/>
          <w:sz w:val="18"/>
          <w:szCs w:val="18"/>
          <w:color w:val="auto"/>
        </w:rPr>
        <w:t>612/331-6910</w:t>
      </w:r>
    </w:p>
    <w:p>
      <w:pPr>
        <w:ind w:left="1300"/>
        <w:spacing w:after="0" w:line="221" w:lineRule="auto"/>
        <w:rPr>
          <w:sz w:val="20"/>
          <w:szCs w:val="20"/>
          <w:color w:val="auto"/>
        </w:rPr>
      </w:pPr>
      <w:r>
        <w:rPr>
          <w:rFonts w:ascii="Calibri" w:cs="Calibri" w:eastAsia="Calibri" w:hAnsi="Calibri"/>
          <w:sz w:val="18"/>
          <w:szCs w:val="18"/>
          <w:u w:val="single" w:color="auto"/>
          <w:color w:val="auto"/>
        </w:rPr>
        <w:t>ir@HawkinsInc.com</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s://www.sec.gov/ix?doc=/Archives/edgar/data/46250/000004625024000013/hwkn-2024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2024-07-31T15:37:56Z</dcterms:created>
  <dcterms:modified xsi:type="dcterms:W3CDTF">2024-07-31T15:37:56Z</dcterms:modified>
</cp:coreProperties>
</file>