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February 21, 2007</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p>
      <w:pPr>
        <w:ind w:left="1400"/>
        <w:spacing w:after="0"/>
        <w:tabs>
          <w:tab w:leader="none" w:pos="5400" w:val="left"/>
          <w:tab w:leader="none" w:pos="9000" w:val="left"/>
        </w:tabs>
        <w:rPr>
          <w:sz w:val="20"/>
          <w:szCs w:val="20"/>
          <w:color w:val="auto"/>
        </w:rPr>
      </w:pPr>
      <w:r>
        <w:rPr>
          <w:rFonts w:ascii="Arial" w:cs="Arial" w:eastAsia="Arial" w:hAnsi="Arial"/>
          <w:sz w:val="22"/>
          <w:szCs w:val="22"/>
          <w:b w:val="1"/>
          <w:bCs w:val="1"/>
          <w:color w:val="auto"/>
        </w:rPr>
        <w:t>Minnesota</w:t>
      </w:r>
      <w:r>
        <w:rPr>
          <w:sz w:val="20"/>
          <w:szCs w:val="20"/>
          <w:color w:val="auto"/>
        </w:rPr>
        <w:tab/>
      </w:r>
      <w:r>
        <w:rPr>
          <w:rFonts w:ascii="Arial" w:cs="Arial" w:eastAsia="Arial" w:hAnsi="Arial"/>
          <w:sz w:val="22"/>
          <w:szCs w:val="22"/>
          <w:b w:val="1"/>
          <w:bCs w:val="1"/>
          <w:color w:val="auto"/>
        </w:rPr>
        <w:t>0-7647</w:t>
      </w:r>
      <w:r>
        <w:rPr>
          <w:sz w:val="20"/>
          <w:szCs w:val="20"/>
          <w:color w:val="auto"/>
        </w:rPr>
        <w:tab/>
      </w:r>
      <w:r>
        <w:rPr>
          <w:rFonts w:ascii="Arial" w:cs="Arial" w:eastAsia="Arial" w:hAnsi="Arial"/>
          <w:sz w:val="19"/>
          <w:szCs w:val="19"/>
          <w:b w:val="1"/>
          <w:bCs w:val="1"/>
          <w:color w:val="auto"/>
        </w:rPr>
        <w:t>41-0771293</w:t>
      </w:r>
    </w:p>
    <w:p>
      <w:pPr>
        <w:spacing w:after="0" w:line="23" w:lineRule="exact"/>
        <w:rPr>
          <w:sz w:val="24"/>
          <w:szCs w:val="24"/>
          <w:color w:val="auto"/>
        </w:rPr>
      </w:pPr>
    </w:p>
    <w:p>
      <w:pPr>
        <w:ind w:left="1060"/>
        <w:spacing w:after="0"/>
        <w:tabs>
          <w:tab w:leader="none" w:pos="4740" w:val="left"/>
          <w:tab w:leader="none" w:pos="8240" w:val="left"/>
        </w:tabs>
        <w:rPr>
          <w:sz w:val="20"/>
          <w:szCs w:val="20"/>
          <w:color w:val="auto"/>
        </w:rPr>
      </w:pPr>
      <w:r>
        <w:rPr>
          <w:rFonts w:ascii="Arial" w:cs="Arial" w:eastAsia="Arial" w:hAnsi="Arial"/>
          <w:sz w:val="18"/>
          <w:szCs w:val="18"/>
          <w:color w:val="auto"/>
        </w:rPr>
        <w:t>(State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08"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3100 East Hennepin Ave.</w:t>
      </w:r>
    </w:p>
    <w:p>
      <w:pPr>
        <w:spacing w:after="0" w:line="13" w:lineRule="exact"/>
        <w:rPr>
          <w:sz w:val="24"/>
          <w:szCs w:val="24"/>
          <w:color w:val="auto"/>
        </w:rPr>
      </w:pPr>
    </w:p>
    <w:p>
      <w:pPr>
        <w:ind w:left="3040"/>
        <w:spacing w:after="0"/>
        <w:tabs>
          <w:tab w:leader="none" w:pos="9260" w:val="left"/>
        </w:tabs>
        <w:rPr>
          <w:sz w:val="20"/>
          <w:szCs w:val="20"/>
          <w:color w:val="auto"/>
        </w:rPr>
      </w:pPr>
      <w:r>
        <w:rPr>
          <w:rFonts w:ascii="Arial" w:cs="Arial" w:eastAsia="Arial" w:hAnsi="Arial"/>
          <w:sz w:val="22"/>
          <w:szCs w:val="22"/>
          <w:b w:val="1"/>
          <w:bCs w:val="1"/>
          <w:color w:val="auto"/>
        </w:rPr>
        <w:t>Minneapolis, MN</w:t>
      </w:r>
      <w:r>
        <w:rPr>
          <w:sz w:val="20"/>
          <w:szCs w:val="20"/>
          <w:color w:val="auto"/>
        </w:rPr>
        <w:tab/>
      </w:r>
      <w:r>
        <w:rPr>
          <w:rFonts w:ascii="Arial" w:cs="Arial" w:eastAsia="Arial" w:hAnsi="Arial"/>
          <w:sz w:val="19"/>
          <w:szCs w:val="19"/>
          <w:b w:val="1"/>
          <w:bCs w:val="1"/>
          <w:color w:val="auto"/>
        </w:rPr>
        <w:t>55413</w:t>
      </w:r>
    </w:p>
    <w:p>
      <w:pPr>
        <w:ind w:left="2440"/>
        <w:spacing w:after="0"/>
        <w:tabs>
          <w:tab w:leader="none" w:pos="914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Telephone Number: 612-331-6910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720"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620" w:hanging="28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28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288"/>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288"/>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3.01.</w:t>
      </w:r>
      <w:r>
        <w:rPr>
          <w:sz w:val="20"/>
          <w:szCs w:val="20"/>
          <w:color w:val="auto"/>
        </w:rPr>
        <w:tab/>
      </w:r>
      <w:r>
        <w:rPr>
          <w:rFonts w:ascii="Arial" w:cs="Arial" w:eastAsia="Arial" w:hAnsi="Arial"/>
          <w:sz w:val="19"/>
          <w:szCs w:val="19"/>
          <w:b w:val="1"/>
          <w:bCs w:val="1"/>
          <w:color w:val="auto"/>
        </w:rPr>
        <w:t>Notice of Delisting or Failure to Satisfy a Continued Listing Rule or Standard; Transfer of Listing.</w:t>
      </w:r>
    </w:p>
    <w:p>
      <w:pPr>
        <w:spacing w:after="0" w:line="225" w:lineRule="exact"/>
        <w:rPr>
          <w:sz w:val="24"/>
          <w:szCs w:val="24"/>
          <w:color w:val="auto"/>
        </w:rPr>
      </w:pPr>
    </w:p>
    <w:p>
      <w:pPr>
        <w:ind w:firstLine="648"/>
        <w:spacing w:after="0" w:line="294" w:lineRule="auto"/>
        <w:rPr>
          <w:sz w:val="20"/>
          <w:szCs w:val="20"/>
          <w:color w:val="auto"/>
        </w:rPr>
      </w:pPr>
      <w:r>
        <w:rPr>
          <w:rFonts w:ascii="Arial" w:cs="Arial" w:eastAsia="Arial" w:hAnsi="Arial"/>
          <w:sz w:val="16"/>
          <w:szCs w:val="16"/>
          <w:color w:val="auto"/>
        </w:rPr>
        <w:t>On February 21, 2007, Hawkins, Inc. (the “Company”) received a letter from The Nasdaq Stock Market indicating that as a result of the Company’s failure to timely file its Form 10-Q for the fiscal quarter ended December 31, 2006 with the Securities and Exchange Commission, the Company is not in compliance with Nasdaq Marketplace Rule 4310(c)(14) and that the Company’s common stock will be subject to delisting unless the Company requests a hearing before the Nasdaq Listing Qualifications Panel (“Panel”). Nasdaq Marketplace Rule 4310(c)(14) requires the Company to make on a timely basis all filings with the Securities and Exchange Commission, as required by the Securities Exchange Act of 1934, as amended.</w:t>
      </w:r>
    </w:p>
    <w:p>
      <w:pPr>
        <w:spacing w:after="0" w:line="170" w:lineRule="exact"/>
        <w:rPr>
          <w:sz w:val="24"/>
          <w:szCs w:val="24"/>
          <w:color w:val="auto"/>
        </w:rPr>
      </w:pPr>
    </w:p>
    <w:p>
      <w:pPr>
        <w:ind w:right="40" w:firstLine="648"/>
        <w:spacing w:after="0" w:line="268" w:lineRule="auto"/>
        <w:rPr>
          <w:sz w:val="20"/>
          <w:szCs w:val="20"/>
          <w:color w:val="auto"/>
        </w:rPr>
      </w:pPr>
      <w:r>
        <w:rPr>
          <w:rFonts w:ascii="Arial" w:cs="Arial" w:eastAsia="Arial" w:hAnsi="Arial"/>
          <w:sz w:val="18"/>
          <w:szCs w:val="18"/>
          <w:color w:val="auto"/>
        </w:rPr>
        <w:t>By no later than February 28, 2007, pursuant to Nasdaq Marketplace Rule 4800 Series, the Company will request a hearing before the Panel. As a result of that request, the Company’s common stock will continue to be listed at least until the Panel’s decision.</w:t>
      </w:r>
    </w:p>
    <w:p>
      <w:pPr>
        <w:spacing w:after="0" w:line="186" w:lineRule="exact"/>
        <w:rPr>
          <w:sz w:val="24"/>
          <w:szCs w:val="24"/>
          <w:color w:val="auto"/>
        </w:rPr>
      </w:pPr>
    </w:p>
    <w:p>
      <w:pPr>
        <w:ind w:left="660"/>
        <w:spacing w:after="0"/>
        <w:rPr>
          <w:sz w:val="20"/>
          <w:szCs w:val="20"/>
          <w:color w:val="auto"/>
        </w:rPr>
      </w:pPr>
      <w:r>
        <w:rPr>
          <w:rFonts w:ascii="Arial" w:cs="Arial" w:eastAsia="Arial" w:hAnsi="Arial"/>
          <w:sz w:val="15"/>
          <w:szCs w:val="15"/>
          <w:color w:val="auto"/>
        </w:rPr>
        <w:t>On February 27, 2007, the Company issued a press release announcing the matters discussed above. The press release is attached as Exhibit 99 to this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report.</w:t>
      </w:r>
    </w:p>
    <w:p>
      <w:pPr>
        <w:spacing w:after="0" w:line="200" w:lineRule="exact"/>
        <w:rPr>
          <w:sz w:val="24"/>
          <w:szCs w:val="24"/>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ectPr>
          <w:pgSz w:w="11900" w:h="16838" w:orient="portrait"/>
          <w:cols w:equalWidth="0" w:num="1">
            <w:col w:w="11380"/>
          </w:cols>
          <w:pgMar w:left="240" w:top="1029" w:right="279" w:bottom="0" w:gutter="0" w:footer="0" w:header="0"/>
        </w:sectPr>
      </w:pPr>
    </w:p>
    <w:p>
      <w:pPr>
        <w:spacing w:after="0" w:line="225" w:lineRule="exact"/>
        <w:rPr>
          <w:sz w:val="24"/>
          <w:szCs w:val="24"/>
          <w:color w:val="auto"/>
        </w:rPr>
      </w:pPr>
    </w:p>
    <w:p>
      <w:pPr>
        <w:ind w:left="1140" w:hanging="789"/>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Exhibit</w:t>
      </w:r>
      <w:r>
        <w:rPr>
          <w:rFonts w:ascii="Arial" w:cs="Arial" w:eastAsia="Arial" w:hAnsi="Arial"/>
          <w:sz w:val="16"/>
          <w:szCs w:val="16"/>
          <w:color w:val="auto"/>
        </w:rPr>
        <w:t>.</w:t>
      </w:r>
    </w:p>
    <w:p>
      <w:pPr>
        <w:sectPr>
          <w:pgSz w:w="11900" w:h="16838" w:orient="portrait"/>
          <w:cols w:equalWidth="0" w:num="1">
            <w:col w:w="11380"/>
          </w:cols>
          <w:pgMar w:left="240" w:top="1029" w:right="279" w:bottom="0" w:gutter="0" w:footer="0" w:header="0"/>
          <w:type w:val="continuous"/>
        </w:sectPr>
      </w:pPr>
    </w:p>
    <w:bookmarkStart w:id="1" w:name="page2"/>
    <w:bookmarkEnd w:id="1"/>
    <w:p>
      <w:pPr>
        <w:ind w:left="1140"/>
        <w:spacing w:after="0"/>
        <w:rPr>
          <w:sz w:val="20"/>
          <w:szCs w:val="20"/>
          <w:color w:val="auto"/>
        </w:rPr>
      </w:pPr>
      <w:r>
        <w:rPr>
          <w:rFonts w:ascii="Arial" w:cs="Arial" w:eastAsia="Arial" w:hAnsi="Arial"/>
          <w:sz w:val="18"/>
          <w:szCs w:val="18"/>
          <w:color w:val="auto"/>
        </w:rPr>
        <w:t>Exhibit 99 – Press Release, dated February 27,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w:t>
      </w:r>
    </w:p>
    <w:p>
      <w:pPr>
        <w:spacing w:after="0" w:line="219" w:lineRule="exact"/>
        <w:rPr>
          <w:sz w:val="20"/>
          <w:szCs w:val="20"/>
          <w:color w:val="auto"/>
        </w:rPr>
      </w:pPr>
    </w:p>
    <w:p>
      <w:pPr>
        <w:ind w:firstLine="7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560" w:val="left"/>
        </w:tabs>
        <w:rPr>
          <w:sz w:val="20"/>
          <w:szCs w:val="20"/>
          <w:color w:val="auto"/>
        </w:rPr>
      </w:pPr>
      <w:r>
        <w:rPr>
          <w:rFonts w:ascii="Arial" w:cs="Arial" w:eastAsia="Arial" w:hAnsi="Arial"/>
          <w:sz w:val="18"/>
          <w:szCs w:val="18"/>
          <w:color w:val="auto"/>
        </w:rPr>
        <w:t>Date:  February 27, 2007</w:t>
      </w:r>
      <w:r>
        <w:rPr>
          <w:sz w:val="20"/>
          <w:szCs w:val="20"/>
          <w:color w:val="auto"/>
        </w:rPr>
        <w:tab/>
      </w:r>
      <w:r>
        <w:rPr>
          <w:rFonts w:ascii="Arial" w:cs="Arial" w:eastAsia="Arial" w:hAnsi="Arial"/>
          <w:sz w:val="16"/>
          <w:szCs w:val="16"/>
          <w:color w:val="auto"/>
        </w:rPr>
        <w:t>HAWKINS, INC.</w:t>
      </w:r>
    </w:p>
    <w:p>
      <w:pPr>
        <w:spacing w:after="0" w:line="25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  /s/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10795</wp:posOffset>
            </wp:positionV>
            <wp:extent cx="2126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60" w:type="dxa"/>
            <w:vAlign w:val="bottom"/>
          </w:tcPr>
          <w:p>
            <w:pPr>
              <w:spacing w:after="0"/>
              <w:rPr>
                <w:sz w:val="20"/>
                <w:szCs w:val="20"/>
                <w:color w:val="auto"/>
              </w:rPr>
            </w:pPr>
            <w:r>
              <w:rPr>
                <w:rFonts w:ascii="Arial" w:cs="Arial" w:eastAsia="Arial" w:hAnsi="Arial"/>
                <w:sz w:val="22"/>
                <w:szCs w:val="22"/>
                <w:b w:val="1"/>
                <w:bCs w:val="1"/>
                <w:color w:val="auto"/>
              </w:rPr>
              <w:t>FOR IMMEDIATE RELEASE</w:t>
            </w:r>
          </w:p>
        </w:tc>
        <w:tc>
          <w:tcPr>
            <w:tcW w:w="5360" w:type="dxa"/>
            <w:vAlign w:val="bottom"/>
          </w:tcPr>
          <w:p>
            <w:pPr>
              <w:ind w:left="2180"/>
              <w:spacing w:after="0"/>
              <w:rPr>
                <w:sz w:val="20"/>
                <w:szCs w:val="20"/>
                <w:color w:val="auto"/>
              </w:rPr>
            </w:pPr>
            <w:r>
              <w:rPr>
                <w:rFonts w:ascii="Arial" w:cs="Arial" w:eastAsia="Arial" w:hAnsi="Arial"/>
                <w:sz w:val="18"/>
                <w:szCs w:val="18"/>
                <w:color w:val="auto"/>
              </w:rPr>
              <w:t>Contacts:  Marvin E. Dee</w:t>
            </w:r>
          </w:p>
        </w:tc>
      </w:tr>
      <w:tr>
        <w:trPr>
          <w:trHeight w:val="216"/>
        </w:trPr>
        <w:tc>
          <w:tcPr>
            <w:tcW w:w="5060" w:type="dxa"/>
            <w:vAlign w:val="bottom"/>
          </w:tcPr>
          <w:p>
            <w:pPr>
              <w:spacing w:after="0"/>
              <w:rPr>
                <w:sz w:val="18"/>
                <w:szCs w:val="18"/>
                <w:color w:val="auto"/>
              </w:rPr>
            </w:pPr>
          </w:p>
        </w:tc>
        <w:tc>
          <w:tcPr>
            <w:tcW w:w="5360" w:type="dxa"/>
            <w:vAlign w:val="bottom"/>
          </w:tcPr>
          <w:p>
            <w:pPr>
              <w:ind w:left="2980"/>
              <w:spacing w:after="0"/>
              <w:rPr>
                <w:sz w:val="20"/>
                <w:szCs w:val="20"/>
                <w:color w:val="auto"/>
              </w:rPr>
            </w:pPr>
            <w:r>
              <w:rPr>
                <w:rFonts w:ascii="Arial" w:cs="Arial" w:eastAsia="Arial" w:hAnsi="Arial"/>
                <w:sz w:val="18"/>
                <w:szCs w:val="18"/>
                <w:color w:val="auto"/>
              </w:rPr>
              <w:t>Chief Financial Officer</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February 27, 2007</w:t>
            </w:r>
          </w:p>
        </w:tc>
        <w:tc>
          <w:tcPr>
            <w:tcW w:w="5360" w:type="dxa"/>
            <w:vAlign w:val="bottom"/>
          </w:tcPr>
          <w:p>
            <w:pPr>
              <w:ind w:left="2980"/>
              <w:spacing w:after="0"/>
              <w:rPr>
                <w:sz w:val="20"/>
                <w:szCs w:val="20"/>
                <w:color w:val="auto"/>
              </w:rPr>
            </w:pPr>
            <w:r>
              <w:rPr>
                <w:rFonts w:ascii="Arial" w:cs="Arial" w:eastAsia="Arial" w:hAnsi="Arial"/>
                <w:sz w:val="18"/>
                <w:szCs w:val="18"/>
                <w:color w:val="auto"/>
              </w:rPr>
              <w:t>612/617-8571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Hawkins, Inc.</w:t>
            </w:r>
          </w:p>
        </w:tc>
        <w:tc>
          <w:tcPr>
            <w:tcW w:w="5360" w:type="dxa"/>
            <w:vAlign w:val="bottom"/>
          </w:tcPr>
          <w:p>
            <w:pPr>
              <w:ind w:left="2980"/>
              <w:spacing w:after="0"/>
              <w:rPr>
                <w:sz w:val="20"/>
                <w:szCs w:val="20"/>
                <w:color w:val="auto"/>
              </w:rPr>
            </w:pPr>
            <w:r>
              <w:rPr>
                <w:rFonts w:ascii="Arial" w:cs="Arial" w:eastAsia="Arial" w:hAnsi="Arial"/>
                <w:sz w:val="18"/>
                <w:szCs w:val="18"/>
                <w:color w:val="auto"/>
              </w:rPr>
              <w:t>marv.dee@HawkinsInc.com</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536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Minneapolis, MN 55413</w:t>
            </w:r>
          </w:p>
        </w:tc>
        <w:tc>
          <w:tcPr>
            <w:tcW w:w="5360" w:type="dxa"/>
            <w:vAlign w:val="bottom"/>
          </w:tcPr>
          <w:p>
            <w:pPr>
              <w:ind w:left="2980"/>
              <w:spacing w:after="0"/>
              <w:rPr>
                <w:sz w:val="20"/>
                <w:szCs w:val="20"/>
                <w:color w:val="auto"/>
              </w:rPr>
            </w:pPr>
            <w:r>
              <w:rPr>
                <w:rFonts w:ascii="Arial" w:cs="Arial" w:eastAsia="Arial" w:hAnsi="Arial"/>
                <w:sz w:val="18"/>
                <w:szCs w:val="18"/>
                <w:color w:val="auto"/>
              </w:rPr>
              <w:t>Jennifer A. Weichert</w:t>
            </w:r>
          </w:p>
        </w:tc>
      </w:tr>
      <w:tr>
        <w:trPr>
          <w:trHeight w:val="216"/>
        </w:trPr>
        <w:tc>
          <w:tcPr>
            <w:tcW w:w="5060" w:type="dxa"/>
            <w:vAlign w:val="bottom"/>
          </w:tcPr>
          <w:p>
            <w:pPr>
              <w:spacing w:after="0"/>
              <w:rPr>
                <w:sz w:val="18"/>
                <w:szCs w:val="18"/>
                <w:color w:val="auto"/>
              </w:rPr>
            </w:pPr>
          </w:p>
        </w:tc>
        <w:tc>
          <w:tcPr>
            <w:tcW w:w="5360" w:type="dxa"/>
            <w:vAlign w:val="bottom"/>
          </w:tcPr>
          <w:p>
            <w:pPr>
              <w:ind w:left="2980"/>
              <w:spacing w:after="0"/>
              <w:rPr>
                <w:sz w:val="20"/>
                <w:szCs w:val="20"/>
                <w:color w:val="auto"/>
              </w:rPr>
            </w:pPr>
            <w:r>
              <w:rPr>
                <w:rFonts w:ascii="Arial" w:cs="Arial" w:eastAsia="Arial" w:hAnsi="Arial"/>
                <w:sz w:val="18"/>
                <w:szCs w:val="18"/>
                <w:color w:val="auto"/>
                <w:w w:val="88"/>
              </w:rPr>
              <w:t>Weichert Financial Relations, Inc.</w:t>
            </w:r>
          </w:p>
        </w:tc>
      </w:tr>
      <w:tr>
        <w:trPr>
          <w:trHeight w:val="216"/>
        </w:trPr>
        <w:tc>
          <w:tcPr>
            <w:tcW w:w="5060" w:type="dxa"/>
            <w:vAlign w:val="bottom"/>
          </w:tcPr>
          <w:p>
            <w:pPr>
              <w:spacing w:after="0"/>
              <w:rPr>
                <w:sz w:val="18"/>
                <w:szCs w:val="18"/>
                <w:color w:val="auto"/>
              </w:rPr>
            </w:pPr>
          </w:p>
        </w:tc>
        <w:tc>
          <w:tcPr>
            <w:tcW w:w="5360" w:type="dxa"/>
            <w:vAlign w:val="bottom"/>
          </w:tcPr>
          <w:p>
            <w:pPr>
              <w:ind w:left="2980"/>
              <w:spacing w:after="0"/>
              <w:rPr>
                <w:sz w:val="20"/>
                <w:szCs w:val="20"/>
                <w:color w:val="auto"/>
              </w:rPr>
            </w:pPr>
            <w:r>
              <w:rPr>
                <w:rFonts w:ascii="Arial" w:cs="Arial" w:eastAsia="Arial" w:hAnsi="Arial"/>
                <w:sz w:val="18"/>
                <w:szCs w:val="18"/>
                <w:color w:val="auto"/>
              </w:rPr>
              <w:t>651/686-9751</w:t>
            </w:r>
          </w:p>
        </w:tc>
      </w:tr>
      <w:tr>
        <w:trPr>
          <w:trHeight w:val="222"/>
        </w:trPr>
        <w:tc>
          <w:tcPr>
            <w:tcW w:w="5060" w:type="dxa"/>
            <w:vAlign w:val="bottom"/>
          </w:tcPr>
          <w:p>
            <w:pPr>
              <w:spacing w:after="0"/>
              <w:rPr>
                <w:sz w:val="19"/>
                <w:szCs w:val="19"/>
                <w:color w:val="auto"/>
              </w:rPr>
            </w:pPr>
          </w:p>
        </w:tc>
        <w:tc>
          <w:tcPr>
            <w:tcW w:w="5360" w:type="dxa"/>
            <w:vAlign w:val="bottom"/>
          </w:tcPr>
          <w:p>
            <w:pPr>
              <w:ind w:left="2980"/>
              <w:spacing w:after="0"/>
              <w:rPr>
                <w:sz w:val="20"/>
                <w:szCs w:val="20"/>
                <w:color w:val="auto"/>
              </w:rPr>
            </w:pPr>
            <w:r>
              <w:rPr>
                <w:rFonts w:ascii="Arial" w:cs="Arial" w:eastAsia="Arial" w:hAnsi="Arial"/>
                <w:sz w:val="18"/>
                <w:szCs w:val="18"/>
                <w:color w:val="auto"/>
              </w:rPr>
              <w:t>JWeichert@Comcast.net</w:t>
            </w: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Hawkins, Inc. to Request Nasdaq Hearing</w:t>
      </w:r>
    </w:p>
    <w:p>
      <w:pPr>
        <w:spacing w:after="0" w:line="31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Minneapolis, MN, February 27, 2007 – Hawkins, Inc. (Nasdaq: HWKN) today announced that it will request a hearing before the Nasdaq Listing Qualifications Panel in response to the receipt of a Nasdaq Staff Determination letter on February 21, 2007 indicating that the Company is not in compliance with the filing requirements for continued listing as set forth in Marketplace Rule 4310(c)(14). As anticipated, the letter was issued in accordance with Nasdaq procedures due to the previously announced delayed filing of the Company’s Form 10-Q for the quarter ended December 31, 2006. The Company’s shares will remain listed on the Nasdaq Stock Market pending a decision by the Listing Qualifications Panel.</w:t>
      </w:r>
    </w:p>
    <w:p>
      <w:pPr>
        <w:spacing w:after="0" w:line="1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Hawkins serves customers primarily on a regional basis. The industries in which the Industrial segment participates is in the fields of energy, electronics, chemical processing, pulp and paper, medical devices, metal finishing, food manufacturing and processing plants. The Water Treatment segment provides water and waste-water treatment equipment and chemicals to improve the quality of life while operating in concert with the environment. The Industrial and Water Treatment segments’ customers receive a great benefit from Hawkins’ chemical distribution, blending, and related expertise. The Pharmaceutical segment specializes in providing pharmaceutical chemicals to pharmacies and small-scale pharmaceutical manufacturers across the nation. The Company’s products and services are geared to improve the environment and insure the safe handling of chemicals.</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84"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i w:val="1"/>
          <w:iCs w:val="1"/>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competition from other chemical companies, seasonality and weather conditions, costs and difficulties with our new enterprise resource planning system, the hazards of chemical manufacturing, natural disasters, downturns in our customers’ industries,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IA of our Annual Report on Form 10-K for the period ended April 2, 2006, as updated by subsequent SEC filings.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8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2019-12-13T01:42:41Z</dcterms:created>
  <dcterms:modified xsi:type="dcterms:W3CDTF">2019-12-13T01:42:41Z</dcterms:modified>
</cp:coreProperties>
</file>