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SEVENICH JOHN 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HAWKINS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HWKN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09/28/2005</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18"/>
          <w:szCs w:val="18"/>
          <w:color w:val="0000FF"/>
        </w:rPr>
        <w:t>Vice President, Industrial</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MINNEAPOLIS MN</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7"/>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8"/>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vMerge w:val="continue"/>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8"/>
                <w:szCs w:val="18"/>
                <w:color w:val="0000FF"/>
                <w:w w:val="97"/>
              </w:rPr>
              <w:t>09/28/2005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G</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5,400</w:t>
            </w:r>
          </w:p>
        </w:tc>
        <w:tc>
          <w:tcPr>
            <w:tcW w:w="5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1480" w:type="dxa"/>
            <w:vAlign w:val="bottom"/>
            <w:tcBorders>
              <w:bottom w:val="single" w:sz="8" w:color="2C2C2C"/>
            </w:tcBorders>
            <w:gridSpan w:val="3"/>
          </w:tcPr>
          <w:p>
            <w:pPr>
              <w:jc w:val="center"/>
              <w:ind w:left="104"/>
              <w:spacing w:after="0"/>
              <w:rPr>
                <w:sz w:val="20"/>
                <w:szCs w:val="20"/>
                <w:color w:val="auto"/>
              </w:rPr>
            </w:pPr>
            <w:r>
              <w:rPr>
                <w:rFonts w:ascii="Times New Roman" w:cs="Times New Roman" w:eastAsia="Times New Roman" w:hAnsi="Times New Roman"/>
                <w:sz w:val="18"/>
                <w:szCs w:val="18"/>
                <w:color w:val="0000FF"/>
                <w:w w:val="96"/>
              </w:rPr>
              <w:t>15,059.101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8"/>
                <w:szCs w:val="18"/>
                <w:color w:val="0000FF"/>
                <w:w w:val="97"/>
              </w:rPr>
              <w:t>09/28/2005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G</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1,800</w:t>
            </w:r>
          </w:p>
        </w:tc>
        <w:tc>
          <w:tcPr>
            <w:tcW w:w="5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w w:val="91"/>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1480" w:type="dxa"/>
            <w:vAlign w:val="bottom"/>
            <w:tcBorders>
              <w:bottom w:val="single" w:sz="8" w:color="2C2C2C"/>
            </w:tcBorders>
            <w:gridSpan w:val="3"/>
          </w:tcPr>
          <w:p>
            <w:pPr>
              <w:jc w:val="center"/>
              <w:ind w:left="104"/>
              <w:spacing w:after="0"/>
              <w:rPr>
                <w:sz w:val="20"/>
                <w:szCs w:val="20"/>
                <w:color w:val="auto"/>
              </w:rPr>
            </w:pPr>
            <w:r>
              <w:rPr>
                <w:rFonts w:ascii="Times New Roman" w:cs="Times New Roman" w:eastAsia="Times New Roman" w:hAnsi="Times New Roman"/>
                <w:sz w:val="18"/>
                <w:szCs w:val="18"/>
                <w:color w:val="0000FF"/>
                <w:w w:val="93"/>
              </w:rPr>
              <w:t>1,800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By child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8"/>
                <w:szCs w:val="18"/>
                <w:color w:val="0000FF"/>
                <w:w w:val="97"/>
              </w:rPr>
              <w:t>09/28/2005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G</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1,800</w:t>
            </w:r>
          </w:p>
        </w:tc>
        <w:tc>
          <w:tcPr>
            <w:tcW w:w="5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w w:val="91"/>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1480" w:type="dxa"/>
            <w:vAlign w:val="bottom"/>
            <w:tcBorders>
              <w:bottom w:val="single" w:sz="8" w:color="2C2C2C"/>
            </w:tcBorders>
            <w:gridSpan w:val="3"/>
          </w:tcPr>
          <w:p>
            <w:pPr>
              <w:jc w:val="center"/>
              <w:ind w:left="104"/>
              <w:spacing w:after="0"/>
              <w:rPr>
                <w:sz w:val="20"/>
                <w:szCs w:val="20"/>
                <w:color w:val="auto"/>
              </w:rPr>
            </w:pPr>
            <w:r>
              <w:rPr>
                <w:rFonts w:ascii="Times New Roman" w:cs="Times New Roman" w:eastAsia="Times New Roman" w:hAnsi="Times New Roman"/>
                <w:sz w:val="18"/>
                <w:szCs w:val="18"/>
                <w:color w:val="0000FF"/>
                <w:w w:val="93"/>
              </w:rPr>
              <w:t>1,800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By child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Times New Roman" w:cs="Times New Roman" w:eastAsia="Times New Roman" w:hAnsi="Times New Roman"/>
                <w:sz w:val="18"/>
                <w:szCs w:val="18"/>
                <w:color w:val="0000FF"/>
                <w:w w:val="97"/>
              </w:rPr>
              <w:t>09/28/2005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G</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1,800</w:t>
            </w:r>
          </w:p>
        </w:tc>
        <w:tc>
          <w:tcPr>
            <w:tcW w:w="5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w w:val="91"/>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1480" w:type="dxa"/>
            <w:vAlign w:val="bottom"/>
            <w:tcBorders>
              <w:bottom w:val="single" w:sz="8" w:color="2C2C2C"/>
            </w:tcBorders>
            <w:gridSpan w:val="3"/>
          </w:tcPr>
          <w:p>
            <w:pPr>
              <w:jc w:val="center"/>
              <w:ind w:left="104"/>
              <w:spacing w:after="0"/>
              <w:rPr>
                <w:sz w:val="20"/>
                <w:szCs w:val="20"/>
                <w:color w:val="auto"/>
              </w:rPr>
            </w:pPr>
            <w:r>
              <w:rPr>
                <w:rFonts w:ascii="Times New Roman" w:cs="Times New Roman" w:eastAsia="Times New Roman" w:hAnsi="Times New Roman"/>
                <w:sz w:val="18"/>
                <w:szCs w:val="18"/>
                <w:color w:val="0000FF"/>
                <w:w w:val="93"/>
              </w:rPr>
              <w:t>1,800</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By Child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3"/>
            <w:vMerge w:val="restart"/>
          </w:tcPr>
          <w:p>
            <w:pPr>
              <w:jc w:val="center"/>
              <w:ind w:left="104"/>
              <w:spacing w:after="0"/>
              <w:rPr>
                <w:sz w:val="20"/>
                <w:szCs w:val="20"/>
                <w:color w:val="auto"/>
              </w:rPr>
            </w:pPr>
            <w:r>
              <w:rPr>
                <w:rFonts w:ascii="Times New Roman" w:cs="Times New Roman" w:eastAsia="Times New Roman" w:hAnsi="Times New Roman"/>
                <w:sz w:val="18"/>
                <w:szCs w:val="18"/>
                <w:color w:val="0000FF"/>
              </w:rPr>
              <w:t>22,494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ESOP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Trustees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1"/>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Gift of 1,800 shares to each of the reporting person's three children who are the reporting person's dependants. The reporting person disclaims beneficial ownership of the shares held by his chldren, and this report should not be deemed an admission that the reporting person is the beneficial owner of his dependant childrens' shares for purposes of Section 16 or for any other purpose.</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Not applicable.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As of last report dated 3/31/05.</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W. Morgan Burns on behalf  </w:t>
      </w:r>
      <w:r>
        <w:rPr>
          <w:rFonts w:ascii="Times New Roman" w:cs="Times New Roman" w:eastAsia="Times New Roman" w:hAnsi="Times New Roman"/>
          <w:sz w:val="35"/>
          <w:szCs w:val="35"/>
          <w:color w:val="0000FF"/>
          <w:vertAlign w:val="subscript"/>
        </w:rPr>
        <w:t>01/12/2006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of John R. Sevenich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97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7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2019-12-17T08:55:16Z</dcterms:created>
  <dcterms:modified xsi:type="dcterms:W3CDTF">2019-12-17T08:55:16Z</dcterms:modified>
</cp:coreProperties>
</file>