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232410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260350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March 29, 2009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240665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3" w:lineRule="exact"/>
        <w:rPr>
          <w:sz w:val="24"/>
          <w:szCs w:val="24"/>
          <w:color w:val="auto"/>
        </w:rPr>
      </w:pPr>
    </w:p>
    <w:tbl>
      <w:tblPr>
        <w:tblLayout w:type="fixed"/>
        <w:tblInd w:w="400" w:type="dxa"/>
        <w:tblCellMar>
          <w:top w:w="0" w:type="dxa"/>
          <w:left w:w="0" w:type="dxa"/>
          <w:bottom w:w="0" w:type="dxa"/>
          <w:right w:w="0" w:type="dxa"/>
        </w:tblCellMar>
      </w:tblPr>
      <w:tr>
        <w:trPr>
          <w:trHeight w:val="262"/>
        </w:trPr>
        <w:tc>
          <w:tcPr>
            <w:tcW w:w="5980" w:type="dxa"/>
            <w:vAlign w:val="bottom"/>
            <w:gridSpan w:val="2"/>
          </w:tcPr>
          <w:p>
            <w:pPr>
              <w:jc w:val="center"/>
              <w:ind w:right="1060"/>
              <w:spacing w:after="0"/>
              <w:rPr>
                <w:sz w:val="20"/>
                <w:szCs w:val="20"/>
                <w:color w:val="auto"/>
              </w:rPr>
            </w:pPr>
            <w:r>
              <w:rPr>
                <w:rFonts w:ascii="Arial" w:cs="Arial" w:eastAsia="Arial" w:hAnsi="Arial"/>
                <w:sz w:val="22"/>
                <w:szCs w:val="22"/>
                <w:b w:val="1"/>
                <w:bCs w:val="1"/>
                <w:color w:val="auto"/>
                <w:w w:val="99"/>
              </w:rPr>
              <w:t>MINNESOTA</w:t>
            </w:r>
          </w:p>
        </w:tc>
        <w:tc>
          <w:tcPr>
            <w:tcW w:w="3460" w:type="dxa"/>
            <w:vAlign w:val="bottom"/>
          </w:tcPr>
          <w:p>
            <w:pPr>
              <w:jc w:val="right"/>
              <w:ind w:right="64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598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(State of Incorporation)</w:t>
            </w:r>
          </w:p>
        </w:tc>
        <w:tc>
          <w:tcPr>
            <w:tcW w:w="3460" w:type="dxa"/>
            <w:vAlign w:val="bottom"/>
          </w:tcPr>
          <w:p>
            <w:pPr>
              <w:jc w:val="center"/>
              <w:ind w:left="822"/>
              <w:spacing w:after="0"/>
              <w:rPr>
                <w:sz w:val="20"/>
                <w:szCs w:val="20"/>
                <w:color w:val="auto"/>
              </w:rPr>
            </w:pPr>
            <w:r>
              <w:rPr>
                <w:rFonts w:ascii="Arial" w:cs="Arial" w:eastAsia="Arial" w:hAnsi="Arial"/>
                <w:sz w:val="18"/>
                <w:szCs w:val="18"/>
                <w:color w:val="auto"/>
                <w:w w:val="91"/>
              </w:rPr>
              <w:t>(I.R.S. Employer Identification No.)</w:t>
            </w:r>
          </w:p>
        </w:tc>
      </w:tr>
      <w:tr>
        <w:trPr>
          <w:trHeight w:val="385"/>
        </w:trPr>
        <w:tc>
          <w:tcPr>
            <w:tcW w:w="5980" w:type="dxa"/>
            <w:vAlign w:val="bottom"/>
            <w:gridSpan w:val="2"/>
          </w:tcPr>
          <w:p>
            <w:pPr>
              <w:jc w:val="center"/>
              <w:ind w:right="1060"/>
              <w:spacing w:after="0"/>
              <w:rPr>
                <w:sz w:val="20"/>
                <w:szCs w:val="20"/>
                <w:color w:val="auto"/>
              </w:rPr>
            </w:pPr>
            <w:r>
              <w:rPr>
                <w:rFonts w:ascii="Arial" w:cs="Arial" w:eastAsia="Arial" w:hAnsi="Arial"/>
                <w:sz w:val="22"/>
                <w:szCs w:val="22"/>
                <w:b w:val="1"/>
                <w:bCs w:val="1"/>
                <w:color w:val="auto"/>
                <w:w w:val="88"/>
              </w:rPr>
              <w:t>3100 East Hennepin Avenue, Minneapolis, Minnesota</w:t>
            </w:r>
          </w:p>
        </w:tc>
        <w:tc>
          <w:tcPr>
            <w:tcW w:w="3460" w:type="dxa"/>
            <w:vAlign w:val="bottom"/>
          </w:tcPr>
          <w:p>
            <w:pPr>
              <w:jc w:val="right"/>
              <w:ind w:right="902"/>
              <w:spacing w:after="0"/>
              <w:rPr>
                <w:sz w:val="20"/>
                <w:szCs w:val="20"/>
                <w:color w:val="auto"/>
              </w:rPr>
            </w:pPr>
            <w:r>
              <w:rPr>
                <w:rFonts w:ascii="Arial" w:cs="Arial" w:eastAsia="Arial" w:hAnsi="Arial"/>
                <w:sz w:val="22"/>
                <w:szCs w:val="22"/>
                <w:b w:val="1"/>
                <w:bCs w:val="1"/>
                <w:color w:val="auto"/>
              </w:rPr>
              <w:t>55413</w:t>
            </w:r>
          </w:p>
        </w:tc>
      </w:tr>
      <w:tr>
        <w:trPr>
          <w:trHeight w:val="222"/>
        </w:trPr>
        <w:tc>
          <w:tcPr>
            <w:tcW w:w="5980" w:type="dxa"/>
            <w:vAlign w:val="bottom"/>
            <w:gridSpan w:val="2"/>
          </w:tcPr>
          <w:p>
            <w:pPr>
              <w:jc w:val="center"/>
              <w:ind w:right="1040"/>
              <w:spacing w:after="0"/>
              <w:rPr>
                <w:sz w:val="20"/>
                <w:szCs w:val="20"/>
                <w:color w:val="auto"/>
              </w:rPr>
            </w:pPr>
            <w:r>
              <w:rPr>
                <w:rFonts w:ascii="Arial" w:cs="Arial" w:eastAsia="Arial" w:hAnsi="Arial"/>
                <w:sz w:val="18"/>
                <w:szCs w:val="18"/>
                <w:color w:val="auto"/>
                <w:w w:val="90"/>
              </w:rPr>
              <w:t>(Address of Principal Executive Offices)</w:t>
            </w:r>
          </w:p>
        </w:tc>
        <w:tc>
          <w:tcPr>
            <w:tcW w:w="3460" w:type="dxa"/>
            <w:vAlign w:val="bottom"/>
          </w:tcPr>
          <w:p>
            <w:pPr>
              <w:jc w:val="center"/>
              <w:ind w:left="822"/>
              <w:spacing w:after="0"/>
              <w:rPr>
                <w:sz w:val="20"/>
                <w:szCs w:val="20"/>
                <w:color w:val="auto"/>
              </w:rPr>
            </w:pPr>
            <w:r>
              <w:rPr>
                <w:rFonts w:ascii="Arial" w:cs="Arial" w:eastAsia="Arial" w:hAnsi="Arial"/>
                <w:sz w:val="18"/>
                <w:szCs w:val="18"/>
                <w:color w:val="auto"/>
                <w:w w:val="91"/>
              </w:rPr>
              <w:t>(Zip Code)</w:t>
            </w:r>
          </w:p>
        </w:tc>
      </w:tr>
      <w:tr>
        <w:trPr>
          <w:trHeight w:val="353"/>
        </w:trPr>
        <w:tc>
          <w:tcPr>
            <w:tcW w:w="5980" w:type="dxa"/>
            <w:vAlign w:val="bottom"/>
            <w:gridSpan w:val="2"/>
          </w:tcPr>
          <w:p>
            <w:pPr>
              <w:jc w:val="right"/>
              <w:spacing w:after="0"/>
              <w:rPr>
                <w:sz w:val="20"/>
                <w:szCs w:val="20"/>
                <w:color w:val="auto"/>
              </w:rPr>
            </w:pPr>
            <w:r>
              <w:rPr>
                <w:rFonts w:ascii="Arial" w:cs="Arial" w:eastAsia="Arial" w:hAnsi="Arial"/>
                <w:sz w:val="22"/>
                <w:szCs w:val="22"/>
                <w:b w:val="1"/>
                <w:bCs w:val="1"/>
                <w:color w:val="auto"/>
              </w:rPr>
              <w:t>(612) 331-6910</w:t>
            </w:r>
          </w:p>
        </w:tc>
        <w:tc>
          <w:tcPr>
            <w:tcW w:w="3460" w:type="dxa"/>
            <w:vAlign w:val="bottom"/>
          </w:tcPr>
          <w:p>
            <w:pPr>
              <w:spacing w:after="0"/>
              <w:rPr>
                <w:sz w:val="24"/>
                <w:szCs w:val="24"/>
                <w:color w:val="auto"/>
              </w:rPr>
            </w:pPr>
          </w:p>
        </w:tc>
      </w:tr>
      <w:tr>
        <w:trPr>
          <w:trHeight w:val="20"/>
        </w:trPr>
        <w:tc>
          <w:tcPr>
            <w:tcW w:w="46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bl>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240665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ectPr>
          <w:pgSz w:w="11900" w:h="16838" w:orient="portrait"/>
          <w:cols w:equalWidth="0" w:num="1">
            <w:col w:w="11420"/>
          </w:cols>
          <w:pgMar w:left="240" w:top="705" w:right="239" w:bottom="5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right"/>
        <w:spacing w:after="0"/>
        <w:rPr>
          <w:sz w:val="20"/>
          <w:szCs w:val="20"/>
          <w:color w:val="auto"/>
        </w:rPr>
      </w:pPr>
      <w:r>
        <w:rPr>
          <w:rFonts w:ascii="Arial" w:cs="Arial" w:eastAsia="Arial" w:hAnsi="Arial"/>
          <w:sz w:val="15"/>
          <w:szCs w:val="15"/>
          <w:color w:val="auto"/>
        </w:rPr>
        <w:t>Securities registered pursuant to Section 12(b) of the Act:</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Name of exchange on which registered:</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Arial" w:cs="Arial" w:eastAsia="Arial" w:hAnsi="Arial"/>
          <w:sz w:val="16"/>
          <w:szCs w:val="16"/>
          <w:color w:val="auto"/>
        </w:rPr>
        <w:t>COMMON STOCK, PAR VALUE $.05 PER SHARE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Nasdaq Global Market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4"/>
          <w:szCs w:val="24"/>
          <w:color w:val="auto"/>
        </w:rPr>
      </w:pPr>
    </w:p>
    <w:p>
      <w:pPr>
        <w:sectPr>
          <w:pgSz w:w="11900" w:h="16838" w:orient="portrait"/>
          <w:cols w:equalWidth="0" w:num="2">
            <w:col w:w="5260" w:space="240"/>
            <w:col w:w="5920"/>
          </w:cols>
          <w:pgMar w:left="240" w:top="705" w:right="239" w:bottom="53" w:gutter="0" w:footer="0" w:header="0"/>
          <w:type w:val="continuous"/>
        </w:sectPr>
      </w:pP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x</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jc w:val="both"/>
        <w:ind w:right="14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9220"/>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pacing w:after="0" w:line="199" w:lineRule="exact"/>
        <w:rPr>
          <w:sz w:val="24"/>
          <w:szCs w:val="24"/>
          <w:color w:val="auto"/>
        </w:rPr>
      </w:pPr>
    </w:p>
    <w:p>
      <w:pPr>
        <w:ind w:left="460"/>
        <w:spacing w:after="0"/>
        <w:tabs>
          <w:tab w:leader="none" w:pos="3180" w:val="left"/>
          <w:tab w:leader="none" w:pos="5360" w:val="left"/>
          <w:tab w:leader="none" w:pos="8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on September 30, 2008 (the last business day of the Registrant’s most recently completed second fiscal quarter) was $145,881,248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As of May 31, 2009, the Registrant had 10,253,458 shares of common stock outstanding.</w:t>
      </w:r>
    </w:p>
    <w:p>
      <w:pPr>
        <w:sectPr>
          <w:pgSz w:w="11900" w:h="16838" w:orient="portrait"/>
          <w:cols w:equalWidth="0" w:num="1">
            <w:col w:w="11420"/>
          </w:cols>
          <w:pgMar w:left="240" w:top="705" w:right="239" w:bottom="53"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DOCUMENTS INCORPORATED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Portions of our Proxy Statement for the annual meeting of shareholders to be held August 5, 2009, are incorporated by reference in Part III.</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7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As used in this Annual Report on Form 10-K, except where otherwise stated or indicated by the context, “Hawkins,” “we,” “us,” “the Company,” “our,” or “the Registrant” means Hawkins, Inc. References to “fiscal 2010” means our fiscal year ending March 28, 2010, “fiscal 2009” means our fiscal year ended March 29, 2009, “fiscal 2008” means our fiscal year ended March 30, 2008 and “fiscal 2007” means our fiscal year ended April 1, 2007.</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PART I</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BUSINESS</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Hawkins, Inc. distributes, blends and manufactures bulk and specialty chemicals for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including food-grade products such as our patented Cheese-Phos® liquid phosphate. We expect the specialty chemical portion of our business to continue to grow. We believe that we create value for our customers through superb service and support, quality products, personalized applications and our trustworthy, creative employees.</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currently conduct our business in two segments: Industrial and Water Treatment. Financial information regarding these segments is reported in our Financial Statements and Notes to Financial Statements. See Items 7 and 8 of this Annual Report on Form 10-K.</w:t>
      </w:r>
    </w:p>
    <w:p>
      <w:pPr>
        <w:spacing w:after="0" w:line="18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Industrial Segment</w:t>
      </w:r>
      <w:r>
        <w:rPr>
          <w:rFonts w:ascii="Arial" w:cs="Arial" w:eastAsia="Arial" w:hAnsi="Arial"/>
          <w:sz w:val="18"/>
          <w:szCs w:val="18"/>
          <w:color w:val="auto"/>
        </w:rPr>
        <w:t>. Our Industrial Group operates this segment of our business, which specializes in providing industrial chemicals,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agriculture, energy, electronics, food, chemical processing, pulp and paper, pharmaceutical, medical device and plating industries. The group’s principal products are acids, alkalis and industrial and food-grade salts.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39" w:lineRule="exact"/>
        <w:rPr>
          <w:sz w:val="20"/>
          <w:szCs w:val="20"/>
          <w:color w:val="auto"/>
        </w:rPr>
      </w:pPr>
    </w:p>
    <w:p>
      <w:pPr>
        <w:ind w:left="1160" w:right="560" w:hanging="571"/>
        <w:spacing w:after="0" w:line="254"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including liquid caustic soda, sulfuric acid, hydrochloric acid, phosphoric acid, potassium hydroxide and aqua ammonia;</w:t>
      </w:r>
    </w:p>
    <w:p>
      <w:pPr>
        <w:ind w:left="1160" w:right="14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our patented Cheese-Phos® liquid phosphate, lactates and other blended products;</w:t>
      </w:r>
    </w:p>
    <w:p>
      <w:pPr>
        <w:ind w:left="1160" w:right="780" w:hanging="571"/>
        <w:spacing w:after="0" w:line="250"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Repackages water treatment chemicals for our Water Treatment Group and bulk industrial chemicals to sell in smaller quantities to our customers; and</w:t>
      </w: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w:t>
      </w:r>
    </w:p>
    <w:p>
      <w:pPr>
        <w:spacing w:after="0" w:line="219"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group’s sales are concentrated primarily in Wisconsin, Minnesota, Iowa, and North and South Dakota, while the group’s food-grade products are sold nationally. The Industrial Group relies on a specially trained sales staff that works directly with customers on their specific needs.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65" w:right="259" w:bottom="1440" w:gutter="0" w:footer="0" w:header="0"/>
        </w:sectPr>
      </w:pPr>
    </w:p>
    <w:bookmarkStart w:id="2" w:name="page3"/>
    <w:bookmarkEnd w:id="2"/>
    <w:p>
      <w:pPr>
        <w:ind w:right="20"/>
        <w:spacing w:after="0" w:line="253" w:lineRule="auto"/>
        <w:rPr>
          <w:sz w:val="20"/>
          <w:szCs w:val="20"/>
          <w:color w:val="auto"/>
        </w:rPr>
      </w:pPr>
      <w:r>
        <w:rPr>
          <w:rFonts w:ascii="Arial" w:cs="Arial" w:eastAsia="Arial" w:hAnsi="Arial"/>
          <w:sz w:val="18"/>
          <w:szCs w:val="18"/>
          <w:color w:val="auto"/>
        </w:rPr>
        <w:t>The group conducts its business primarily through distribution centers and terminal operations. In fiscal 2009, we invested in two new facilities, which we expect will expand the group’s ability to service its customers. Our new facility in Centralia, Illinois, will primarily serve our food-grade products business and is expected to become operational in June 2009. We also opened a facility in Minneapolis, Minnesota, to handle bulk chemicals sold to pharmaceutical manufacturers. The total capital expenditures in fiscal 2009 on these two facilities were approximately $7,500,000 with approximately $2,600,000 of additional capital spending on these facilities expected in fiscal 2010. In May 2007, we purchased the assets of Trumark, Inc., a producer of antimicrobial products for the food industry. Trumark’s business is part of our Industrial Group and its operations will be integrated with our operations at the Centralia facility during fiscal 2010.</w:t>
      </w:r>
    </w:p>
    <w:p>
      <w:pPr>
        <w:spacing w:after="0" w:line="20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Water Treatment Segment</w:t>
      </w:r>
      <w:r>
        <w:rPr>
          <w:rFonts w:ascii="Arial" w:cs="Arial" w:eastAsia="Arial" w:hAnsi="Arial"/>
          <w:sz w:val="16"/>
          <w:szCs w:val="16"/>
          <w:color w:val="auto"/>
        </w:rPr>
        <w:t>. Our Water Treatment Group operates this segment of our business, which specializes in providing equipment, chemicals and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potable water, municipal and industrial wastewater, industrial process water and non-residential swimming pool water. The group has the resources and flexibility to treat systems ranging in size from a small single well to a multi-million-gallon-per-day treatment facility.</w:t>
      </w:r>
    </w:p>
    <w:p>
      <w:pPr>
        <w:spacing w:after="0" w:line="16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group utilizes delivery routes operated by our employees who serve as route driver, salesperson and highly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6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group operates out of warehouses in 15 cities supplying products and services to customers in Minnesota, Wisconsin, Iowa, North Dakota, South Dakota, Nebraska, Illinois, Michigan, Montana, Missouri, Kansas and Wyoming. We opened two of these warehouses in fiscal 2008 and one in the first quarter of fiscal 2010 to expand the group’s geographic coverage. Our Water Treatment Group has historically experienced higher sales during April to September, primarily due to a seasonal increase in chemicals used by municipal water treatment facilities.</w:t>
      </w:r>
    </w:p>
    <w:p>
      <w:pPr>
        <w:spacing w:after="0" w:line="167" w:lineRule="exact"/>
        <w:rPr>
          <w:sz w:val="20"/>
          <w:szCs w:val="20"/>
          <w:color w:val="auto"/>
        </w:rPr>
      </w:pPr>
    </w:p>
    <w:p>
      <w:pPr>
        <w:ind w:right="340"/>
        <w:spacing w:after="0" w:line="323" w:lineRule="auto"/>
        <w:rPr>
          <w:sz w:val="20"/>
          <w:szCs w:val="20"/>
          <w:color w:val="auto"/>
        </w:rPr>
      </w:pPr>
      <w:r>
        <w:rPr>
          <w:rFonts w:ascii="Arial" w:cs="Arial" w:eastAsia="Arial" w:hAnsi="Arial"/>
          <w:sz w:val="15"/>
          <w:szCs w:val="15"/>
          <w:i w:val="1"/>
          <w:iCs w:val="1"/>
          <w:color w:val="auto"/>
        </w:rPr>
        <w:t>Discontinued Operations</w:t>
      </w:r>
      <w:r>
        <w:rPr>
          <w:rFonts w:ascii="Arial" w:cs="Arial" w:eastAsia="Arial" w:hAnsi="Arial"/>
          <w:sz w:val="15"/>
          <w:szCs w:val="15"/>
          <w:color w:val="auto"/>
        </w:rPr>
        <w:t>. In February 2009, we entered into two agreements whereby we agreed to sell our inventory and enter into a marketing relationship</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financial statements for all periods presented in this Annual Report on Form 10-K.</w:t>
      </w:r>
    </w:p>
    <w:p>
      <w:pPr>
        <w:spacing w:after="0" w:line="15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i w:val="1"/>
          <w:iCs w:val="1"/>
          <w:color w:val="auto"/>
        </w:rPr>
        <w:t>Raw Materials</w:t>
      </w:r>
      <w:r>
        <w:rPr>
          <w:rFonts w:ascii="Arial" w:cs="Arial" w:eastAsia="Arial" w:hAnsi="Arial"/>
          <w:sz w:val="16"/>
          <w:szCs w:val="16"/>
          <w:color w:val="auto"/>
        </w:rPr>
        <w:t>. We have numerous suppliers, including many of the major chemical producers in the United States. We typically have written distributorship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supply contracts with our suppliers that are periodically renewed. We believe that most of the products we purchase can be obtained from alternative sources should existing relationships be terminated. We are dependent upon the availability of supplies of our raw materials. In the event that certain raw materials become generally unavailable, suppliers may extend lead times or limit or cut off the supply of materials to us. As a result, we may not be able to supply or manufacture products for our customers. While we believe we have adequate sources of supply for our raw material and product requirements, we cannot be sure that supplies will be available in the future should shortages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r>
        <w:rPr>
          <w:rFonts w:ascii="Arial" w:cs="Arial" w:eastAsia="Arial" w:hAnsi="Arial"/>
          <w:sz w:val="18"/>
          <w:szCs w:val="18"/>
          <w:color w:val="auto"/>
        </w:rPr>
        <w:t>. We hold no patents, licenses or trademarks that we consider material to our operations.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Customer Concentration</w:t>
      </w:r>
      <w:r>
        <w:rPr>
          <w:rFonts w:ascii="Arial" w:cs="Arial" w:eastAsia="Arial" w:hAnsi="Arial"/>
          <w:sz w:val="18"/>
          <w:szCs w:val="18"/>
          <w:color w:val="auto"/>
        </w:rPr>
        <w:t>. No single customer represents more than 10% of our total sales, but the loss of our five largest customers could have a material adverse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results of operations. Total aggregate sales to our five largest customers were $15.8 million in fiscal 2007, $22.4 million in fiscal 2008 and $46.0 million in fiscal 2009. No single customer represents 10% or more of any of our segments’ sales.</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We operate in a competitive industry and compete with many producers, distributors and sales agents offering chemicals equivalent to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products we handle. Many of our competitors are larger than we are and may have greater financial resources, although no one competitor is dominant in our industry. We compete by offering quality products at attractive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We had 281 employees as of March 29, 2009, 52 of whom were covered by a collective bargaining agreement.</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About Us</w:t>
      </w:r>
      <w:r>
        <w:rPr>
          <w:rFonts w:ascii="Arial" w:cs="Arial" w:eastAsia="Arial" w:hAnsi="Arial"/>
          <w:sz w:val="18"/>
          <w:szCs w:val="18"/>
          <w:color w:val="auto"/>
        </w:rPr>
        <w:t>. Hawkins, Inc. was founded in 1938 and incorporated in Minnesota in 1955. We became a publicly-traded company in 1972.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are located at 3100 East Hennepin Avenue, Minneapolis, Minnesota.</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Available Information</w:t>
      </w:r>
      <w:r>
        <w:rPr>
          <w:rFonts w:ascii="Arial" w:cs="Arial" w:eastAsia="Arial" w:hAnsi="Arial"/>
          <w:sz w:val="16"/>
          <w:szCs w:val="16"/>
          <w:color w:val="auto"/>
        </w:rPr>
        <w:t>. We have made available, free of charge, through our Internet website (http://www.hawkinsinc.com) our Annual Reports on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tabs>
          <w:tab w:leader="none" w:pos="1360" w:val="left"/>
        </w:tabs>
        <w:rPr>
          <w:sz w:val="20"/>
          <w:szCs w:val="20"/>
          <w:color w:val="auto"/>
        </w:rPr>
      </w:pPr>
      <w:r>
        <w:rPr>
          <w:rFonts w:ascii="Arial" w:cs="Arial" w:eastAsia="Arial" w:hAnsi="Arial"/>
          <w:sz w:val="22"/>
          <w:szCs w:val="22"/>
          <w:color w:val="auto"/>
        </w:rPr>
        <w:t>ITEM 1A.</w:t>
      </w:r>
      <w:r>
        <w:rPr>
          <w:sz w:val="20"/>
          <w:szCs w:val="20"/>
          <w:color w:val="auto"/>
        </w:rPr>
        <w:tab/>
      </w:r>
      <w:r>
        <w:rPr>
          <w:rFonts w:ascii="Arial" w:cs="Arial" w:eastAsia="Arial" w:hAnsi="Arial"/>
          <w:sz w:val="19"/>
          <w:szCs w:val="19"/>
          <w:color w:val="auto"/>
        </w:rPr>
        <w:t>RISK FACTORS</w:t>
      </w:r>
    </w:p>
    <w:p>
      <w:pPr>
        <w:spacing w:after="0" w:line="2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Fluctuations in the prices and availability of commodity chemicals, which are cyclical in nature, could have a material adverse effect on our operations and the margins of our products.</w:t>
      </w:r>
    </w:p>
    <w:p>
      <w:pPr>
        <w:spacing w:after="0" w:line="186"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color w:val="auto"/>
        </w:rPr>
        <w:t>Periodically, we experience significant and rapid fluctuations in the commodity pricing of raw materials. The cyclicality of commodity chemical markets, such as caustic soda, primarily results from changes in the balance between supply and demand and the level of general economic activity. We cannot predict whether the markets for our commodity chemicals will favorably impact our operations or whether we will experience a negative impact due to oversupply and lower prices.</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principal raw materials are generally purchased under supply contracts priced according to predetermined formulae dependent on price indices or market prices. The prices we pay under these contracts generally lag the market prices of the underlying raw material. The duration of our supply contracts has shifted from annual to primarily quarterly or monthly in duration as a result of recent pricing volatility. In addition, the cost of inventory we have on hand generally will lag the current market pricing of such inventory. While we attempt to maintain competitive pricing and stable margin dollars, the variability in our cost of inventory from the current market pricing can cause significant volatility in our margins realized. In periods of rapidly increasing market prices, the inventory cost position will tend to be favorable to us, possibly by material amounts. Conversely, in periods of rapidly decreasing market prices, the inventory cost position will tend to be unfavorable to us, possibly by material amounts.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8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also dependent upon the availability of supplies of our raw materials. In the event that raw materials are unavailable, raw material suppliers may extend lead times or limit or cut off supplies. As a result, we may not be able to supply or manufacture products for some or all of our customers. For example, in calendar 2008 a miners’ strike in Canada significantly limited supplies of potassium chloride, a key component of some of our products. Due to the resulting shortage, many chemical companies were unable to supply their customers. While we were able to obtain a supply of the product sufficient to meet our needs and those of our customers, we cannot assure you that such supplies would be available in the future should other similar shortages occur. Constraints on the supply or delivery of critical raw materials could disrupt our operations and adversely affect the performance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operate in a highly competitive industry and compete with producers, manufacturers, distributors and sales agents offering chemicals equivalent to substantially all of the products we handle. Competition is based on several key criteria, including product price, product performance and quality, product availability and security of supply, responsiveness of product development in cooperation with customers, and customer service. Many of our competitors are larger than we are and may have greater financial resources. As a result, these competitors may be better able than us to withstand changes in conditions within our industry, changes in the prices and availability of raw materials, and changes in general economic conditions. Additionally, competitors’ pricing decisions could compel us to decrease our prices, which could adversely affect our margins and profitability. Our ability to maintain or increase our profitability is dependent upon our ability to offset decreases in the prices and margins of our products by improving production efficiency and volume, shifting to higher margin chemical products and improving existing products through innovation and research and development. If we are unable to maintain our profitability or competitive position, we could lose market share to our competitors and experience reduced profitability.</w:t>
      </w:r>
    </w:p>
    <w:p>
      <w:pPr>
        <w:spacing w:after="0" w:line="174"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8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Demand for our products is affected by general economic conditions. A decline in general economic or business conditions in the industries served by our customers could have a material adverse effect on our business. Although our sales volumes continue to grow in areas traditionally considered non-cyclical such as water treatment, pharmaceutical and food products, many of our customers are in businesses that are cyclical in nature, such as the industrial manufacturing, surface finishing and energy industries which include the automobile parts markets and the ethanol industry. Downturns in these industries could adversely affect our sales and our financial results by affecting demand for and pricing of our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 w:name="page5"/>
    <w:bookmarkEnd w:id="4"/>
    <w:p>
      <w:pPr>
        <w:ind w:right="820"/>
        <w:spacing w:after="0" w:line="268"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severe weather, natural disasters, mechanical failure, unscheduled downtime, transportation interruptions,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and result in a negative public or political reaction. Many of our facilities are bordered by significant residential populations which increase the risk of negative public or political reaction should an environmental issue occur and could lead to adverse zoning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laws and regulations cause us to incur substantial costs and may subject us to future liabilities.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jurisdictions in which we operate, we are subject to numerous federal, state and local environmental, health and safety laws and regulations, including those governing the discharge of pollutants into the air and water, and the management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174"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If we violate environmental, health and safety laws or regulations, in addition to being required to correct such violations, we could be held liable in administrative, civil or criminal proceedings for substantial fines and other sanctions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and may in the future, be subject to claims relating to exposure to hazardous materials and the associated liabilities may be material.</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customers’ products or failure of our products to meet customers’ quality specifications could adversely affect our sales and profitability.</w:t>
      </w:r>
    </w:p>
    <w:p>
      <w:pPr>
        <w:spacing w:after="0" w:line="26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Our chemicals are used for a broad range of applications by our customers. Changes in our customers’ products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perform in a manner consistent with quality specifications or have a shorter useful life than guaranteed, a customer could seek replacement of the product or damages for costs incurred as a result of the product failing to perform as expected. A successful claim or series of claims against us could have a material adverse effect on our financial condition and results of operations and could result in a loss of one or more customers.</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Our business and our Water Treatment Group in particular, is subject to seasonality and weather conditions, which could adversely affect our results of operations.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Demand is also affected by weather conditions, as either higher or lower than normal precipitation or temperatures may affect water usage and the consumption of our products. We cannot assure you that seasonality or fluctuating weather conditions will not have a material adverse affect on our results of operations and financial condition.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any key member of our management team could have an adverse impact on our business.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future acquisitions into our business, which could result in unanticipated expenses and losses.</w:t>
      </w:r>
    </w:p>
    <w:p>
      <w:pPr>
        <w:spacing w:after="0" w:line="18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6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To the extent future acquisitions are pursued, 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and liabilities, unforeseen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 or other extraordinary events outside of our control, which could interrupt our production and adversely affect our results of operations.</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four times, most recently in the spring of 2001 when our earnings were negatively impacted during that period by approximately $200,000. No assurance can be given that flooding or other natural disasters will not recur or that there will not be material damage or interruption to our operations in the future from such disasters.</w:t>
      </w:r>
    </w:p>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legislation is under consideration that could impose new site security requirements, specifically on chemical facilities, which may require increased capital spending or increase our overhead expenses. New federal regulations have already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three of our terminals reside.</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lease the land where our three main terminals are located. We do not have guaranteed lease renewal options and may not be able to renew our leases in the future. Our current lease renewal periods extend out to 2018 (two leases) and 2029 (one lease). The failure to secure extended lease terms on any one of these terminals may have a material adverse impact on our business, as they are where the majority of our bulk chemicals are stored. While we can make no assurances, based on historical experience and anticipated future needs, we believe that we will be able to renew our leases as the renewal periods expire.</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1B.</w:t>
      </w:r>
      <w:r>
        <w:rPr>
          <w:sz w:val="20"/>
          <w:szCs w:val="20"/>
          <w:color w:val="auto"/>
        </w:rPr>
        <w:tab/>
      </w:r>
      <w:r>
        <w:rPr>
          <w:rFonts w:ascii="Arial" w:cs="Arial" w:eastAsia="Arial" w:hAnsi="Arial"/>
          <w:sz w:val="19"/>
          <w:szCs w:val="19"/>
          <w:color w:val="auto"/>
        </w:rPr>
        <w:t>UNRESOLVED STAFF COMMENTS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tabs>
          <w:tab w:leader="none" w:pos="1360" w:val="left"/>
        </w:tabs>
        <w:rPr>
          <w:sz w:val="20"/>
          <w:szCs w:val="20"/>
          <w:color w:val="auto"/>
        </w:rPr>
      </w:pPr>
      <w:r>
        <w:rPr>
          <w:rFonts w:ascii="Arial" w:cs="Arial" w:eastAsia="Arial" w:hAnsi="Arial"/>
          <w:sz w:val="22"/>
          <w:szCs w:val="22"/>
          <w:color w:val="auto"/>
        </w:rPr>
        <w:t>ITEM 2.</w:t>
      </w:r>
      <w:r>
        <w:rPr>
          <w:sz w:val="20"/>
          <w:szCs w:val="20"/>
          <w:color w:val="auto"/>
        </w:rPr>
        <w:tab/>
      </w:r>
      <w:r>
        <w:rPr>
          <w:rFonts w:ascii="Arial" w:cs="Arial" w:eastAsia="Arial" w:hAnsi="Arial"/>
          <w:sz w:val="19"/>
          <w:szCs w:val="19"/>
          <w:color w:val="auto"/>
        </w:rPr>
        <w:t>PROPERTIES</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own our principal location, which consists of approximately 11 acres of land in Minneapolis, Minnesota, with six buildings containing a total of 177,000 square feet of office and warehouse space primarily used by our Industrial Group. Our principal office is located in one of these buildings, at 3100 East Hennepin Avenue. As of March 29, 2009, we had installed sprinkler systems in substantially all of our warehouse facilities for fire protection. We carry customary levels of insurance covering the replacement of damaged property.</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Approx.</w:t>
            </w:r>
          </w:p>
        </w:tc>
      </w:tr>
      <w:tr>
        <w:trPr>
          <w:trHeight w:val="161"/>
        </w:trPr>
        <w:tc>
          <w:tcPr>
            <w:tcW w:w="434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Group</w:t>
            </w:r>
          </w:p>
        </w:tc>
        <w:tc>
          <w:tcPr>
            <w:tcW w:w="32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34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Primary Use</w:t>
            </w:r>
          </w:p>
        </w:tc>
        <w:tc>
          <w:tcPr>
            <w:tcW w:w="3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Square Feet</w:t>
            </w: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00" w:type="dxa"/>
            <w:vAlign w:val="bottom"/>
            <w:gridSpan w:val="3"/>
          </w:tcPr>
          <w:p>
            <w:pPr>
              <w:spacing w:after="0"/>
              <w:rPr>
                <w:sz w:val="12"/>
                <w:szCs w:val="12"/>
                <w:color w:val="auto"/>
              </w:rPr>
            </w:pPr>
          </w:p>
        </w:tc>
      </w:t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Industrial</w:t>
            </w: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2"/>
              </w:rPr>
              <w:t>St. Paul, MN (1)</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32,000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St. Paul, MN (2)</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Office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Linden, NJ (3)</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12,000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Minneapolis, MN (4)</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Water Treatment</w:t>
            </w: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Fargo, ND</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20,600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Fond du Lac, WI</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24,700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Washburn, ND</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14,000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Billings, MT</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9,300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Sioux Falls, SD</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27,300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Rapid City, SD</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3"/>
              </w:rPr>
              <w:t>Joliet, IL (2)</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6,400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Superior, WI</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17,200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9"/>
              </w:rPr>
              <w:t>Slater, IA</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8,700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Lincoln, NE (5)</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6,700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4"/>
              </w:rPr>
              <w:t>Eldridge, IA</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Columbia, MO (2)</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9,000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0"/>
              </w:rPr>
              <w:t>Garnett, KS (2)</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18,000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Industrial and Water Treatment</w:t>
            </w: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St. Paul, MN (6)</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59,000</w:t>
            </w:r>
          </w:p>
        </w:tc>
      </w:tr>
      <w:tr>
        <w:trPr>
          <w:trHeight w:val="216"/>
        </w:trPr>
        <w:tc>
          <w:tcPr>
            <w:tcW w:w="4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91"/>
              </w:rPr>
              <w:t>Centralia, IL (7)</w:t>
            </w:r>
          </w:p>
        </w:tc>
        <w:tc>
          <w:tcPr>
            <w:tcW w:w="340" w:type="dxa"/>
            <w:vAlign w:val="bottom"/>
            <w:shd w:val="clear" w:color="auto" w:fill="D6F3E8"/>
          </w:tcPr>
          <w:p>
            <w:pPr>
              <w:spacing w:after="0"/>
              <w:rPr>
                <w:sz w:val="18"/>
                <w:szCs w:val="18"/>
                <w:color w:val="auto"/>
              </w:rPr>
            </w:pPr>
          </w:p>
        </w:tc>
        <w:tc>
          <w:tcPr>
            <w:tcW w:w="2160" w:type="dxa"/>
            <w:vAlign w:val="bottom"/>
            <w:shd w:val="clear" w:color="auto" w:fill="D6F3E8"/>
          </w:tcPr>
          <w:p>
            <w:pPr>
              <w:jc w:val="center"/>
              <w:spacing w:after="0"/>
              <w:rPr>
                <w:sz w:val="20"/>
                <w:szCs w:val="20"/>
                <w:color w:val="auto"/>
              </w:rPr>
            </w:pPr>
            <w:r>
              <w:rPr>
                <w:rFonts w:ascii="Arial" w:cs="Arial" w:eastAsia="Arial" w:hAnsi="Arial"/>
                <w:sz w:val="18"/>
                <w:szCs w:val="18"/>
                <w:color w:val="auto"/>
                <w:w w:val="87"/>
              </w:rPr>
              <w:t>Office and Warehouse</w:t>
            </w:r>
          </w:p>
        </w:tc>
        <w:tc>
          <w:tcPr>
            <w:tcW w:w="150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77,000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102870</wp:posOffset>
            </wp:positionV>
            <wp:extent cx="68776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5" w:lineRule="exact"/>
        <w:rPr>
          <w:sz w:val="20"/>
          <w:szCs w:val="20"/>
          <w:color w:val="auto"/>
        </w:rPr>
      </w:pPr>
    </w:p>
    <w:p>
      <w:pPr>
        <w:ind w:left="580" w:right="60" w:hanging="1"/>
        <w:spacing w:after="0" w:line="251" w:lineRule="auto"/>
        <w:tabs>
          <w:tab w:leader="none" w:pos="1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terminal operations, located at two sites on opposite sides of the Mississippi River, are made up of three buildings, ten outside storage tanks with a total capacity of approximately 8.7 million gallons for the storage of liquid bulk chemicals, including caustic soda, as well as numerous smaller tanks for storing and mixing chemicals. The land is leased from the Port Authority of the City of St. Paul, Minnesota, for a basic rent plus an amount based on the annual tonnage unloaded at each site. The applicable leases run until December 2013, at which time we have an option to renew the leases for an additional five-year period on the same terms and conditions subject to renegotiation of rent. We also have options to renew these leases for an additional successive five-year renewal period (extending until 2018) for which the rent may be adjusted pursuant to the rental renegotiation provisions contained in the leases.</w:t>
      </w:r>
    </w:p>
    <w:p>
      <w:pPr>
        <w:spacing w:after="0" w:line="3" w:lineRule="exact"/>
        <w:rPr>
          <w:rFonts w:ascii="Arial" w:cs="Arial" w:eastAsia="Arial" w:hAnsi="Arial"/>
          <w:sz w:val="18"/>
          <w:szCs w:val="18"/>
          <w:color w:val="auto"/>
        </w:rPr>
      </w:pPr>
    </w:p>
    <w:p>
      <w:pPr>
        <w:ind w:left="1220" w:hanging="641"/>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 w:lineRule="exact"/>
        <w:rPr>
          <w:rFonts w:ascii="Arial" w:cs="Arial" w:eastAsia="Arial" w:hAnsi="Arial"/>
          <w:sz w:val="18"/>
          <w:szCs w:val="18"/>
          <w:color w:val="auto"/>
        </w:rPr>
      </w:pPr>
    </w:p>
    <w:p>
      <w:pPr>
        <w:ind w:left="1220" w:hanging="641"/>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expect to transfer the operations of this location to the Centralia, Illinois, facility and this lease will terminate in August 2009.</w:t>
      </w:r>
    </w:p>
    <w:p>
      <w:pPr>
        <w:spacing w:after="0" w:line="9" w:lineRule="exact"/>
        <w:rPr>
          <w:rFonts w:ascii="Arial" w:cs="Arial" w:eastAsia="Arial" w:hAnsi="Arial"/>
          <w:sz w:val="18"/>
          <w:szCs w:val="18"/>
          <w:color w:val="auto"/>
        </w:rPr>
      </w:pPr>
    </w:p>
    <w:p>
      <w:pPr>
        <w:ind w:left="1220" w:hanging="641"/>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to serve our bulk pharmaceutical customers.</w:t>
      </w:r>
    </w:p>
    <w:p>
      <w:pPr>
        <w:spacing w:after="0" w:line="9" w:lineRule="exact"/>
        <w:rPr>
          <w:rFonts w:ascii="Arial" w:cs="Arial" w:eastAsia="Arial" w:hAnsi="Arial"/>
          <w:sz w:val="18"/>
          <w:szCs w:val="18"/>
          <w:color w:val="auto"/>
        </w:rPr>
      </w:pPr>
    </w:p>
    <w:p>
      <w:pPr>
        <w:ind w:left="580" w:right="360" w:hanging="1"/>
        <w:spacing w:after="0" w:line="250" w:lineRule="auto"/>
        <w:tabs>
          <w:tab w:leader="none" w:pos="1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through July 2009. Starting in July 2009, we will be leasing a different facility comprised of 16,600 square feet of office and warehouse space.</w:t>
      </w:r>
    </w:p>
    <w:p>
      <w:pPr>
        <w:ind w:left="580" w:right="60" w:hanging="1"/>
        <w:spacing w:after="0" w:line="300" w:lineRule="auto"/>
        <w:tabs>
          <w:tab w:leader="none" w:pos="1224"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Red Rock facility, which consists of a 59,000 square-foot building located on approximately 10 acres of land has outside storage capacity for liquid bulk chemicals, including 1.5 million gallons for the storage of liquid caustic soda, as well as numerous smaller tanks for storing and mixing chemicals. The land is leased from the Port Authority of the City of St. Paul, Minnesota, through July 2029 for a basic rent plus an amount based on annual tonnage unloaded at the site. The basic rent and annual tonnage rent were renegotiated August 1, 2004 and are to be renegotiated every five years.</w:t>
      </w:r>
    </w:p>
    <w:p>
      <w:pPr>
        <w:spacing w:after="0" w:line="1" w:lineRule="exact"/>
        <w:rPr>
          <w:rFonts w:ascii="Arial" w:cs="Arial" w:eastAsia="Arial" w:hAnsi="Arial"/>
          <w:sz w:val="15"/>
          <w:szCs w:val="15"/>
          <w:color w:val="auto"/>
        </w:rPr>
      </w:pPr>
    </w:p>
    <w:p>
      <w:pPr>
        <w:ind w:left="580" w:right="20" w:hanging="1"/>
        <w:spacing w:after="0" w:line="261" w:lineRule="auto"/>
        <w:tabs>
          <w:tab w:leader="none" w:pos="1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was acquired in July 2008 and includes 10 acres of land located in Centralia, Illinois. The facility is expected to become operational in June 2009 and will primarily serve our food-grade products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7" w:name="page8"/>
    <w:bookmarkEnd w:id="7"/>
    <w:p>
      <w:pPr>
        <w:spacing w:after="0"/>
        <w:tabs>
          <w:tab w:leader="none" w:pos="136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LEGAL PROCEEDINGS</w:t>
      </w:r>
    </w:p>
    <w:p>
      <w:pPr>
        <w:spacing w:after="0" w:line="1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are a party from time to time in various legal proceedings arising in the ordinary course of our business. None of the pending proceedings are expected to have a material effect on us.</w:t>
      </w:r>
    </w:p>
    <w:p>
      <w:pPr>
        <w:spacing w:after="0" w:line="10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SUBMISSION OF MATTERS TO A VOTE OF SECURITY HOLDERS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PART II</w:t>
      </w:r>
    </w:p>
    <w:p>
      <w:pPr>
        <w:spacing w:after="0" w:line="139" w:lineRule="exact"/>
        <w:rPr>
          <w:sz w:val="20"/>
          <w:szCs w:val="20"/>
          <w:color w:val="auto"/>
        </w:rPr>
      </w:pPr>
    </w:p>
    <w:p>
      <w:pPr>
        <w:ind w:left="1380" w:right="620" w:hanging="1377"/>
        <w:spacing w:after="0" w:line="251" w:lineRule="auto"/>
        <w:tabs>
          <w:tab w:leader="none" w:pos="136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22"/>
          <w:szCs w:val="22"/>
          <w:color w:val="auto"/>
        </w:rPr>
        <w:t>MARKET FOR THE COMPANY’S COMMON EQUITY, RELATED SHAREHOLDER MATTERS, AND ISSUER PURCHASES OF EQUITY SECURITIES</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Quarterly Stock Data</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Low</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D6F3E8"/>
          </w:tcPr>
          <w:p>
            <w:pPr>
              <w:spacing w:after="0"/>
              <w:rPr>
                <w:sz w:val="20"/>
                <w:szCs w:val="20"/>
                <w:color w:val="auto"/>
              </w:rPr>
            </w:pPr>
            <w:r>
              <w:rPr>
                <w:rFonts w:ascii="Arial" w:cs="Arial" w:eastAsia="Arial" w:hAnsi="Arial"/>
                <w:sz w:val="18"/>
                <w:szCs w:val="18"/>
                <w:color w:val="auto"/>
              </w:rPr>
              <w:t>Fiscal 2009</w:t>
            </w:r>
          </w:p>
        </w:tc>
        <w:tc>
          <w:tcPr>
            <w:tcW w:w="2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16.170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18.100</w:t>
            </w:r>
          </w:p>
        </w:tc>
        <w:tc>
          <w:tcPr>
            <w:tcW w:w="2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13.040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18.210</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706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8"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15.625</w:t>
            </w:r>
          </w:p>
        </w:tc>
        <w:tc>
          <w:tcPr>
            <w:tcW w:w="4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14.700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15.850</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15.960</w:t>
            </w:r>
          </w:p>
        </w:tc>
        <w:tc>
          <w:tcPr>
            <w:tcW w:w="2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14.300</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040" w:type="dxa"/>
            <w:vAlign w:val="bottom"/>
          </w:tcPr>
          <w:p>
            <w:pPr>
              <w:ind w:left="30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15.670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Cash Dividends</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7"/>
              </w:rPr>
              <w:t>Declared</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Paid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D6F3E8"/>
          </w:tcPr>
          <w:p>
            <w:pPr>
              <w:spacing w:after="0"/>
              <w:rPr>
                <w:sz w:val="20"/>
                <w:szCs w:val="20"/>
                <w:color w:val="auto"/>
              </w:rPr>
            </w:pPr>
            <w:r>
              <w:rPr>
                <w:rFonts w:ascii="Arial" w:cs="Arial" w:eastAsia="Arial" w:hAnsi="Arial"/>
                <w:sz w:val="18"/>
                <w:szCs w:val="18"/>
                <w:color w:val="auto"/>
              </w:rPr>
              <w:t>Fiscal 2010</w:t>
            </w:r>
          </w:p>
        </w:tc>
        <w:tc>
          <w:tcPr>
            <w:tcW w:w="2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040" w:type="dxa"/>
            <w:vAlign w:val="bottom"/>
          </w:tcPr>
          <w:p>
            <w:pPr>
              <w:ind w:left="30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D6F3E8"/>
          </w:tcPr>
          <w:p>
            <w:pPr>
              <w:spacing w:after="0"/>
              <w:rPr>
                <w:sz w:val="20"/>
                <w:szCs w:val="20"/>
                <w:color w:val="auto"/>
              </w:rPr>
            </w:pPr>
            <w:r>
              <w:rPr>
                <w:rFonts w:ascii="Arial" w:cs="Arial" w:eastAsia="Arial" w:hAnsi="Arial"/>
                <w:sz w:val="18"/>
                <w:szCs w:val="18"/>
                <w:color w:val="auto"/>
              </w:rPr>
              <w:t>Fiscal 2009</w:t>
            </w:r>
          </w:p>
        </w:tc>
        <w:tc>
          <w:tcPr>
            <w:tcW w:w="2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4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0.26</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640" w:type="dxa"/>
            <w:vAlign w:val="bottom"/>
            <w:shd w:val="clear" w:color="auto" w:fill="D6F3E8"/>
          </w:tcPr>
          <w:p>
            <w:pPr>
              <w:spacing w:after="0"/>
              <w:rPr>
                <w:sz w:val="22"/>
                <w:szCs w:val="22"/>
                <w:color w:val="auto"/>
              </w:rPr>
            </w:pPr>
          </w:p>
        </w:tc>
        <w:tc>
          <w:tcPr>
            <w:tcW w:w="4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706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8" w:lineRule="exact"/>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tcPr>
          <w:p>
            <w:pPr>
              <w:ind w:left="300"/>
              <w:spacing w:after="0" w:line="25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40" w:type="dxa"/>
            <w:vAlign w:val="bottom"/>
            <w:shd w:val="clear" w:color="auto" w:fill="D6F3E8"/>
          </w:tcPr>
          <w:p>
            <w:pPr>
              <w:ind w:left="300"/>
              <w:spacing w:after="0" w:line="25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0.24</w:t>
            </w:r>
          </w:p>
        </w:tc>
        <w:tc>
          <w:tcPr>
            <w:tcW w:w="28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580" w:type="dxa"/>
            <w:vAlign w:val="bottom"/>
            <w:shd w:val="clear" w:color="auto" w:fill="D6F3E8"/>
          </w:tcPr>
          <w:p>
            <w:pPr>
              <w:spacing w:after="0"/>
              <w:rPr>
                <w:sz w:val="22"/>
                <w:szCs w:val="22"/>
                <w:color w:val="auto"/>
              </w:rPr>
            </w:pPr>
          </w:p>
        </w:tc>
        <w:tc>
          <w:tcPr>
            <w:tcW w:w="8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7040" w:type="dxa"/>
            <w:vAlign w:val="bottom"/>
          </w:tcPr>
          <w:p>
            <w:pPr>
              <w:ind w:left="300"/>
              <w:spacing w:after="0"/>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common shares are traded on The Nasdaq Global Market under the symbol “HWKN.” The price information represents closing sale prices as reported by The Nasdaq Global Market. As of March 29, 2009, there were approximately 580 registered common shareholders, which includes nominees or broker dealers holding stock on behalf of an estimated 1,250 beneficial owners.</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results of operations, financial position, cash flows and other factors, and will be evaluated by our Board of Directors.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and the Nasdaq Composite Index for our last five completed fiscal years. The graph assumes the investment of $100 in our stock, the Nasdaq Industrial Index and the Nasdaq Composite Index on March 28, 2004, and reinvestment of all dividends.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1323975</wp:posOffset>
            </wp:positionH>
            <wp:positionV relativeFrom="page">
              <wp:posOffset>88900</wp:posOffset>
            </wp:positionV>
            <wp:extent cx="4913630" cy="3327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49136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00" w:type="dxa"/>
            <w:vAlign w:val="bottom"/>
            <w:gridSpan w:val="2"/>
          </w:tcPr>
          <w:p>
            <w:pPr>
              <w:spacing w:after="0"/>
              <w:rPr>
                <w:sz w:val="20"/>
                <w:szCs w:val="20"/>
                <w:color w:val="auto"/>
              </w:rPr>
            </w:pPr>
            <w:r>
              <w:rPr>
                <w:rFonts w:ascii="Arial" w:cs="Arial" w:eastAsia="Arial" w:hAnsi="Arial"/>
                <w:sz w:val="22"/>
                <w:szCs w:val="22"/>
                <w:color w:val="auto"/>
              </w:rPr>
              <w:t>ITEM 6.</w:t>
            </w:r>
          </w:p>
        </w:tc>
        <w:tc>
          <w:tcPr>
            <w:tcW w:w="3320" w:type="dxa"/>
            <w:vAlign w:val="bottom"/>
            <w:gridSpan w:val="2"/>
          </w:tcPr>
          <w:p>
            <w:pPr>
              <w:jc w:val="right"/>
              <w:ind w:right="32"/>
              <w:spacing w:after="0"/>
              <w:rPr>
                <w:sz w:val="20"/>
                <w:szCs w:val="20"/>
                <w:color w:val="auto"/>
              </w:rPr>
            </w:pPr>
            <w:r>
              <w:rPr>
                <w:rFonts w:ascii="Arial" w:cs="Arial" w:eastAsia="Arial" w:hAnsi="Arial"/>
                <w:sz w:val="22"/>
                <w:szCs w:val="22"/>
                <w:color w:val="auto"/>
              </w:rPr>
              <w:t>SELECTED FINANCIAL DATA</w:t>
            </w: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jc w:val="center"/>
              <w:ind w:right="220"/>
              <w:spacing w:after="0"/>
              <w:rPr>
                <w:sz w:val="20"/>
                <w:szCs w:val="20"/>
                <w:color w:val="auto"/>
              </w:rPr>
            </w:pPr>
            <w:r>
              <w:rPr>
                <w:rFonts w:ascii="Arial" w:cs="Arial" w:eastAsia="Arial" w:hAnsi="Arial"/>
                <w:sz w:val="14"/>
                <w:szCs w:val="14"/>
                <w:b w:val="1"/>
                <w:bCs w:val="1"/>
                <w:color w:val="auto"/>
                <w:w w:val="89"/>
              </w:rPr>
              <w:t>Fiscal Year</w:t>
            </w:r>
          </w:p>
        </w:tc>
        <w:tc>
          <w:tcPr>
            <w:tcW w:w="380" w:type="dxa"/>
            <w:vAlign w:val="bottom"/>
          </w:tcPr>
          <w:p>
            <w:pPr>
              <w:spacing w:after="0"/>
              <w:rPr>
                <w:sz w:val="24"/>
                <w:szCs w:val="24"/>
                <w:color w:val="auto"/>
              </w:rPr>
            </w:pPr>
          </w:p>
        </w:tc>
        <w:tc>
          <w:tcPr>
            <w:tcW w:w="1140" w:type="dxa"/>
            <w:vAlign w:val="bottom"/>
          </w:tcPr>
          <w:p>
            <w:pPr>
              <w:jc w:val="center"/>
              <w:ind w:right="26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Pr>
          <w:p>
            <w:pPr>
              <w:spacing w:after="0"/>
              <w:rPr>
                <w:sz w:val="24"/>
                <w:szCs w:val="24"/>
                <w:color w:val="auto"/>
              </w:rPr>
            </w:pPr>
          </w:p>
        </w:tc>
        <w:tc>
          <w:tcPr>
            <w:tcW w:w="1140" w:type="dxa"/>
            <w:vAlign w:val="bottom"/>
          </w:tcPr>
          <w:p>
            <w:pPr>
              <w:jc w:val="center"/>
              <w:ind w:right="26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Pr>
          <w:p>
            <w:pPr>
              <w:spacing w:after="0"/>
              <w:rPr>
                <w:sz w:val="24"/>
                <w:szCs w:val="24"/>
                <w:color w:val="auto"/>
              </w:rPr>
            </w:pPr>
          </w:p>
        </w:tc>
        <w:tc>
          <w:tcPr>
            <w:tcW w:w="1120" w:type="dxa"/>
            <w:vAlign w:val="bottom"/>
          </w:tcPr>
          <w:p>
            <w:pPr>
              <w:jc w:val="center"/>
              <w:ind w:right="240"/>
              <w:spacing w:after="0"/>
              <w:rPr>
                <w:sz w:val="20"/>
                <w:szCs w:val="20"/>
                <w:color w:val="auto"/>
              </w:rPr>
            </w:pPr>
            <w:r>
              <w:rPr>
                <w:rFonts w:ascii="Arial" w:cs="Arial" w:eastAsia="Arial" w:hAnsi="Arial"/>
                <w:sz w:val="14"/>
                <w:szCs w:val="14"/>
                <w:b w:val="1"/>
                <w:bCs w:val="1"/>
                <w:color w:val="auto"/>
                <w:w w:val="86"/>
              </w:rPr>
              <w:t>Fiscal Year</w:t>
            </w:r>
          </w:p>
        </w:tc>
        <w:tc>
          <w:tcPr>
            <w:tcW w:w="340" w:type="dxa"/>
            <w:vAlign w:val="bottom"/>
          </w:tcPr>
          <w:p>
            <w:pPr>
              <w:spacing w:after="0"/>
              <w:rPr>
                <w:sz w:val="24"/>
                <w:szCs w:val="24"/>
                <w:color w:val="auto"/>
              </w:rPr>
            </w:pPr>
          </w:p>
        </w:tc>
        <w:tc>
          <w:tcPr>
            <w:tcW w:w="1080" w:type="dxa"/>
            <w:vAlign w:val="bottom"/>
          </w:tcPr>
          <w:p>
            <w:pPr>
              <w:jc w:val="center"/>
              <w:ind w:right="200"/>
              <w:spacing w:after="0"/>
              <w:rPr>
                <w:sz w:val="20"/>
                <w:szCs w:val="20"/>
                <w:color w:val="auto"/>
              </w:rPr>
            </w:pPr>
            <w:r>
              <w:rPr>
                <w:rFonts w:ascii="Arial" w:cs="Arial" w:eastAsia="Arial" w:hAnsi="Arial"/>
                <w:sz w:val="14"/>
                <w:szCs w:val="14"/>
                <w:b w:val="1"/>
                <w:bCs w:val="1"/>
                <w:color w:val="auto"/>
                <w:w w:val="86"/>
              </w:rPr>
              <w:t>Fiscal Year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380" w:type="dxa"/>
            <w:vAlign w:val="bottom"/>
          </w:tcPr>
          <w:p>
            <w:pPr>
              <w:spacing w:after="0"/>
              <w:rPr>
                <w:sz w:val="12"/>
                <w:szCs w:val="12"/>
                <w:color w:val="auto"/>
              </w:rPr>
            </w:pPr>
          </w:p>
        </w:tc>
        <w:tc>
          <w:tcPr>
            <w:tcW w:w="114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14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c>
          <w:tcPr>
            <w:tcW w:w="340" w:type="dxa"/>
            <w:vAlign w:val="bottom"/>
          </w:tcPr>
          <w:p>
            <w:pPr>
              <w:spacing w:after="0"/>
              <w:rPr>
                <w:sz w:val="12"/>
                <w:szCs w:val="12"/>
                <w:color w:val="auto"/>
              </w:rPr>
            </w:pPr>
          </w:p>
        </w:tc>
        <w:tc>
          <w:tcPr>
            <w:tcW w:w="112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340" w:type="dxa"/>
            <w:vAlign w:val="bottom"/>
          </w:tcPr>
          <w:p>
            <w:pPr>
              <w:spacing w:after="0"/>
              <w:rPr>
                <w:sz w:val="12"/>
                <w:szCs w:val="12"/>
                <w:color w:val="auto"/>
              </w:rPr>
            </w:pPr>
          </w:p>
        </w:tc>
        <w:tc>
          <w:tcPr>
            <w:tcW w:w="108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29,</w:t>
            </w:r>
          </w:p>
        </w:tc>
        <w:tc>
          <w:tcPr>
            <w:tcW w:w="380" w:type="dxa"/>
            <w:vAlign w:val="bottom"/>
          </w:tcPr>
          <w:p>
            <w:pPr>
              <w:spacing w:after="0"/>
              <w:rPr>
                <w:sz w:val="12"/>
                <w:szCs w:val="12"/>
                <w:color w:val="auto"/>
              </w:rPr>
            </w:pPr>
          </w:p>
        </w:tc>
        <w:tc>
          <w:tcPr>
            <w:tcW w:w="114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March 30,</w:t>
            </w:r>
          </w:p>
        </w:tc>
        <w:tc>
          <w:tcPr>
            <w:tcW w:w="340" w:type="dxa"/>
            <w:vAlign w:val="bottom"/>
          </w:tcPr>
          <w:p>
            <w:pPr>
              <w:spacing w:after="0"/>
              <w:rPr>
                <w:sz w:val="12"/>
                <w:szCs w:val="12"/>
                <w:color w:val="auto"/>
              </w:rPr>
            </w:pPr>
          </w:p>
        </w:tc>
        <w:tc>
          <w:tcPr>
            <w:tcW w:w="114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April 1,</w:t>
            </w:r>
          </w:p>
        </w:tc>
        <w:tc>
          <w:tcPr>
            <w:tcW w:w="340" w:type="dxa"/>
            <w:vAlign w:val="bottom"/>
          </w:tcPr>
          <w:p>
            <w:pPr>
              <w:spacing w:after="0"/>
              <w:rPr>
                <w:sz w:val="12"/>
                <w:szCs w:val="12"/>
                <w:color w:val="auto"/>
              </w:rPr>
            </w:pPr>
          </w:p>
        </w:tc>
        <w:tc>
          <w:tcPr>
            <w:tcW w:w="112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April 2,</w:t>
            </w:r>
          </w:p>
        </w:tc>
        <w:tc>
          <w:tcPr>
            <w:tcW w:w="34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April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3"/>
              </w:rPr>
              <w:t>2009</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 from continuing operations</w:t>
            </w: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w w:val="97"/>
              </w:rPr>
              <w:t>284,356,000</w:t>
            </w:r>
          </w:p>
        </w:tc>
        <w:tc>
          <w:tcPr>
            <w:tcW w:w="3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w w:val="95"/>
              </w:rPr>
              <w:t>186,664,000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w w:val="93"/>
              </w:rPr>
              <w:t>151,766,000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w w:val="93"/>
              </w:rPr>
              <w:t>133,139,000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w w:val="95"/>
              </w:rPr>
              <w:t>105,660,000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920" w:type="dxa"/>
            <w:vAlign w:val="bottom"/>
            <w:gridSpan w:val="3"/>
          </w:tcPr>
          <w:p>
            <w:pPr>
              <w:spacing w:after="0"/>
              <w:rPr>
                <w:sz w:val="20"/>
                <w:szCs w:val="20"/>
                <w:color w:val="auto"/>
              </w:rPr>
            </w:pPr>
            <w:r>
              <w:rPr>
                <w:rFonts w:ascii="Arial" w:cs="Arial" w:eastAsia="Arial" w:hAnsi="Arial"/>
                <w:sz w:val="18"/>
                <w:szCs w:val="18"/>
                <w:color w:val="auto"/>
              </w:rPr>
              <w:t>Gross profit from continuing operations</w:t>
            </w:r>
          </w:p>
        </w:tc>
        <w:tc>
          <w:tcPr>
            <w:tcW w:w="50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62,420,000</w:t>
            </w:r>
          </w:p>
        </w:tc>
        <w:tc>
          <w:tcPr>
            <w:tcW w:w="38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38,528,000</w:t>
            </w:r>
          </w:p>
        </w:tc>
        <w:tc>
          <w:tcPr>
            <w:tcW w:w="340" w:type="dxa"/>
            <w:vAlign w:val="bottom"/>
          </w:tcPr>
          <w:p>
            <w:pPr>
              <w:spacing w:after="0"/>
              <w:rPr>
                <w:sz w:val="24"/>
                <w:szCs w:val="24"/>
                <w:color w:val="auto"/>
              </w:rPr>
            </w:pPr>
          </w:p>
        </w:tc>
        <w:tc>
          <w:tcPr>
            <w:tcW w:w="1140" w:type="dxa"/>
            <w:vAlign w:val="bottom"/>
          </w:tcPr>
          <w:p>
            <w:pPr>
              <w:jc w:val="right"/>
              <w:ind w:right="100"/>
              <w:spacing w:after="0"/>
              <w:rPr>
                <w:sz w:val="20"/>
                <w:szCs w:val="20"/>
                <w:color w:val="auto"/>
              </w:rPr>
            </w:pPr>
            <w:r>
              <w:rPr>
                <w:rFonts w:ascii="Arial" w:cs="Arial" w:eastAsia="Arial" w:hAnsi="Arial"/>
                <w:sz w:val="18"/>
                <w:szCs w:val="18"/>
                <w:color w:val="auto"/>
              </w:rPr>
              <w:t>34,709,000</w:t>
            </w:r>
          </w:p>
        </w:tc>
        <w:tc>
          <w:tcPr>
            <w:tcW w:w="340" w:type="dxa"/>
            <w:vAlign w:val="bottom"/>
          </w:tcPr>
          <w:p>
            <w:pPr>
              <w:spacing w:after="0"/>
              <w:rPr>
                <w:sz w:val="24"/>
                <w:szCs w:val="24"/>
                <w:color w:val="auto"/>
              </w:rPr>
            </w:pPr>
          </w:p>
        </w:tc>
        <w:tc>
          <w:tcPr>
            <w:tcW w:w="1120" w:type="dxa"/>
            <w:vAlign w:val="bottom"/>
          </w:tcPr>
          <w:p>
            <w:pPr>
              <w:jc w:val="right"/>
              <w:ind w:right="80"/>
              <w:spacing w:after="0"/>
              <w:rPr>
                <w:sz w:val="20"/>
                <w:szCs w:val="20"/>
                <w:color w:val="auto"/>
              </w:rPr>
            </w:pPr>
            <w:r>
              <w:rPr>
                <w:rFonts w:ascii="Arial" w:cs="Arial" w:eastAsia="Arial" w:hAnsi="Arial"/>
                <w:sz w:val="18"/>
                <w:szCs w:val="18"/>
                <w:color w:val="auto"/>
              </w:rPr>
              <w:t>30,060,000</w:t>
            </w:r>
          </w:p>
        </w:tc>
        <w:tc>
          <w:tcPr>
            <w:tcW w:w="34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26,377,000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9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23,424,000</w:t>
            </w:r>
          </w:p>
        </w:tc>
        <w:tc>
          <w:tcPr>
            <w:tcW w:w="38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8,488,000</w:t>
            </w:r>
          </w:p>
        </w:tc>
        <w:tc>
          <w:tcPr>
            <w:tcW w:w="3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7,724,000</w:t>
            </w:r>
          </w:p>
        </w:tc>
        <w:tc>
          <w:tcPr>
            <w:tcW w:w="34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7,412,000</w:t>
            </w: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7,327,000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920" w:type="dxa"/>
            <w:vAlign w:val="bottom"/>
            <w:gridSpan w:val="3"/>
          </w:tcPr>
          <w:p>
            <w:pPr>
              <w:spacing w:after="0"/>
              <w:rPr>
                <w:sz w:val="20"/>
                <w:szCs w:val="20"/>
                <w:color w:val="auto"/>
              </w:rPr>
            </w:pPr>
            <w:r>
              <w:rPr>
                <w:rFonts w:ascii="Arial" w:cs="Arial" w:eastAsia="Arial" w:hAnsi="Arial"/>
                <w:sz w:val="18"/>
                <w:szCs w:val="18"/>
                <w:color w:val="auto"/>
                <w:w w:val="95"/>
              </w:rPr>
              <w:t>Basic and diluted earnings per common share from</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continuing operations</w:t>
            </w:r>
          </w:p>
        </w:tc>
        <w:tc>
          <w:tcPr>
            <w:tcW w:w="500" w:type="dxa"/>
            <w:vAlign w:val="bottom"/>
          </w:tcPr>
          <w:p>
            <w:pPr>
              <w:spacing w:after="0"/>
              <w:rPr>
                <w:sz w:val="19"/>
                <w:szCs w:val="19"/>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2.29</w:t>
            </w:r>
          </w:p>
        </w:tc>
        <w:tc>
          <w:tcPr>
            <w:tcW w:w="38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0.83</w:t>
            </w:r>
          </w:p>
        </w:tc>
        <w:tc>
          <w:tcPr>
            <w:tcW w:w="340" w:type="dxa"/>
            <w:vAlign w:val="bottom"/>
          </w:tcPr>
          <w:p>
            <w:pPr>
              <w:spacing w:after="0"/>
              <w:rPr>
                <w:sz w:val="19"/>
                <w:szCs w:val="19"/>
                <w:color w:val="auto"/>
              </w:rPr>
            </w:pPr>
          </w:p>
        </w:tc>
        <w:tc>
          <w:tcPr>
            <w:tcW w:w="1140" w:type="dxa"/>
            <w:vAlign w:val="bottom"/>
          </w:tcPr>
          <w:p>
            <w:pPr>
              <w:jc w:val="right"/>
              <w:ind w:right="100"/>
              <w:spacing w:after="0"/>
              <w:rPr>
                <w:sz w:val="20"/>
                <w:szCs w:val="20"/>
                <w:color w:val="auto"/>
              </w:rPr>
            </w:pPr>
            <w:r>
              <w:rPr>
                <w:rFonts w:ascii="Arial" w:cs="Arial" w:eastAsia="Arial" w:hAnsi="Arial"/>
                <w:sz w:val="18"/>
                <w:szCs w:val="18"/>
                <w:color w:val="auto"/>
              </w:rPr>
              <w:t>0.76</w:t>
            </w:r>
          </w:p>
        </w:tc>
        <w:tc>
          <w:tcPr>
            <w:tcW w:w="34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Arial" w:cs="Arial" w:eastAsia="Arial" w:hAnsi="Arial"/>
                <w:sz w:val="18"/>
                <w:szCs w:val="18"/>
                <w:color w:val="auto"/>
              </w:rPr>
              <w:t>0.73</w:t>
            </w:r>
          </w:p>
        </w:tc>
        <w:tc>
          <w:tcPr>
            <w:tcW w:w="340" w:type="dxa"/>
            <w:vAlign w:val="bottom"/>
          </w:tcPr>
          <w:p>
            <w:pPr>
              <w:spacing w:after="0"/>
              <w:rPr>
                <w:sz w:val="19"/>
                <w:szCs w:val="19"/>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90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dividends declared per common share</w:t>
            </w:r>
          </w:p>
        </w:tc>
        <w:tc>
          <w:tcPr>
            <w:tcW w:w="50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0.44</w:t>
            </w:r>
          </w:p>
        </w:tc>
        <w:tc>
          <w:tcPr>
            <w:tcW w:w="340" w:type="dxa"/>
            <w:vAlign w:val="bottom"/>
            <w:shd w:val="clear" w:color="auto" w:fill="D6F3E8"/>
          </w:tcPr>
          <w:p>
            <w:pPr>
              <w:spacing w:after="0"/>
              <w:rPr>
                <w:sz w:val="18"/>
                <w:szCs w:val="18"/>
                <w:color w:val="auto"/>
              </w:rPr>
            </w:pPr>
          </w:p>
        </w:tc>
        <w:tc>
          <w:tcPr>
            <w:tcW w:w="112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0.40</w:t>
            </w:r>
          </w:p>
        </w:tc>
        <w:tc>
          <w:tcPr>
            <w:tcW w:w="34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920" w:type="dxa"/>
            <w:vAlign w:val="bottom"/>
            <w:gridSpan w:val="3"/>
          </w:tcPr>
          <w:p>
            <w:pPr>
              <w:spacing w:after="0"/>
              <w:rPr>
                <w:sz w:val="20"/>
                <w:szCs w:val="20"/>
                <w:color w:val="auto"/>
              </w:rPr>
            </w:pPr>
            <w:r>
              <w:rPr>
                <w:rFonts w:ascii="Arial" w:cs="Arial" w:eastAsia="Arial" w:hAnsi="Arial"/>
                <w:sz w:val="18"/>
                <w:szCs w:val="18"/>
                <w:color w:val="auto"/>
              </w:rPr>
              <w:t>Cash dividends paid per common share</w:t>
            </w:r>
          </w:p>
        </w:tc>
        <w:tc>
          <w:tcPr>
            <w:tcW w:w="50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0.50</w:t>
            </w:r>
          </w:p>
        </w:tc>
        <w:tc>
          <w:tcPr>
            <w:tcW w:w="38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0.46</w:t>
            </w:r>
          </w:p>
        </w:tc>
        <w:tc>
          <w:tcPr>
            <w:tcW w:w="340" w:type="dxa"/>
            <w:vAlign w:val="bottom"/>
          </w:tcPr>
          <w:p>
            <w:pPr>
              <w:spacing w:after="0"/>
              <w:rPr>
                <w:sz w:val="24"/>
                <w:szCs w:val="24"/>
                <w:color w:val="auto"/>
              </w:rPr>
            </w:pPr>
          </w:p>
        </w:tc>
        <w:tc>
          <w:tcPr>
            <w:tcW w:w="1140" w:type="dxa"/>
            <w:vAlign w:val="bottom"/>
          </w:tcPr>
          <w:p>
            <w:pPr>
              <w:jc w:val="right"/>
              <w:ind w:right="100"/>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24"/>
                <w:szCs w:val="24"/>
                <w:color w:val="auto"/>
              </w:rPr>
            </w:pPr>
          </w:p>
        </w:tc>
        <w:tc>
          <w:tcPr>
            <w:tcW w:w="1120" w:type="dxa"/>
            <w:vAlign w:val="bottom"/>
          </w:tcPr>
          <w:p>
            <w:pPr>
              <w:jc w:val="right"/>
              <w:ind w:right="80"/>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0.36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D6F3E8"/>
          </w:tcPr>
          <w:p>
            <w:pPr>
              <w:spacing w:after="0"/>
              <w:rPr>
                <w:sz w:val="20"/>
                <w:szCs w:val="20"/>
                <w:color w:val="auto"/>
              </w:rPr>
            </w:pPr>
            <w:r>
              <w:rPr>
                <w:rFonts w:ascii="Arial" w:cs="Arial" w:eastAsia="Arial" w:hAnsi="Arial"/>
                <w:sz w:val="18"/>
                <w:szCs w:val="18"/>
                <w:color w:val="auto"/>
              </w:rPr>
              <w:t>Total assets</w:t>
            </w:r>
          </w:p>
        </w:tc>
        <w:tc>
          <w:tcPr>
            <w:tcW w:w="282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w w:val="97"/>
              </w:rPr>
              <w:t>136,290,000</w:t>
            </w:r>
          </w:p>
        </w:tc>
        <w:tc>
          <w:tcPr>
            <w:tcW w:w="3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w w:val="95"/>
              </w:rPr>
              <w:t>108,943,000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w w:val="93"/>
              </w:rPr>
              <w:t>101,269,000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6F3E8"/>
          </w:tcPr>
          <w:p>
            <w:pPr>
              <w:jc w:val="right"/>
              <w:ind w:right="80"/>
              <w:spacing w:after="0"/>
              <w:rPr>
                <w:sz w:val="20"/>
                <w:szCs w:val="20"/>
                <w:color w:val="auto"/>
              </w:rPr>
            </w:pPr>
            <w:r>
              <w:rPr>
                <w:rFonts w:ascii="Arial" w:cs="Arial" w:eastAsia="Arial" w:hAnsi="Arial"/>
                <w:sz w:val="18"/>
                <w:szCs w:val="18"/>
                <w:color w:val="auto"/>
              </w:rPr>
              <w:t>94,057,000</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20"/>
              <w:spacing w:after="0"/>
              <w:rPr>
                <w:sz w:val="20"/>
                <w:szCs w:val="20"/>
                <w:color w:val="auto"/>
              </w:rPr>
            </w:pPr>
            <w:r>
              <w:rPr>
                <w:rFonts w:ascii="Arial" w:cs="Arial" w:eastAsia="Arial" w:hAnsi="Arial"/>
                <w:sz w:val="18"/>
                <w:szCs w:val="18"/>
                <w:color w:val="auto"/>
              </w:rPr>
              <w:t>87,658,000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28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40" w:right="199" w:bottom="1440" w:gutter="0" w:footer="0" w:header="0"/>
        </w:sectPr>
      </w:pPr>
    </w:p>
    <w:bookmarkStart w:id="9" w:name="page10"/>
    <w:bookmarkEnd w:id="9"/>
    <w:p>
      <w:pPr>
        <w:ind w:left="1380" w:right="700" w:hanging="1377"/>
        <w:spacing w:after="0" w:line="251" w:lineRule="auto"/>
        <w:tabs>
          <w:tab w:leader="none" w:pos="1360" w:val="left"/>
        </w:tabs>
        <w:rPr>
          <w:sz w:val="20"/>
          <w:szCs w:val="20"/>
          <w:color w:val="auto"/>
        </w:rPr>
      </w:pPr>
      <w:r>
        <w:rPr>
          <w:rFonts w:ascii="Arial" w:cs="Arial" w:eastAsia="Arial" w:hAnsi="Arial"/>
          <w:sz w:val="22"/>
          <w:szCs w:val="22"/>
          <w:color w:val="auto"/>
        </w:rPr>
        <w:t>ITEM 7.</w:t>
      </w:r>
      <w:r>
        <w:rPr>
          <w:sz w:val="20"/>
          <w:szCs w:val="20"/>
          <w:color w:val="auto"/>
        </w:rPr>
        <w:tab/>
      </w:r>
      <w:r>
        <w:rPr>
          <w:rFonts w:ascii="Arial" w:cs="Arial" w:eastAsia="Arial" w:hAnsi="Arial"/>
          <w:sz w:val="22"/>
          <w:szCs w:val="22"/>
          <w:color w:val="auto"/>
        </w:rPr>
        <w:t>MANAGEMENT’S DISCUSSION AND ANALYSIS OF FINANCIAL CONDITION AND RESULTS OF OPERATIONS</w:t>
      </w:r>
    </w:p>
    <w:p>
      <w:pPr>
        <w:spacing w:after="0" w:line="18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our fiscal years ended March 29, 2009, March 30, 2008, and April 1, 2007. This discussion should be read in conjunction with the Financial Statements and Notes to Financial Statements included in Item 8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including our food-grade products. We expect this specialty chemical portion of our business to continue to grow.</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continued to invest in growing our business. In fiscal 2008, we acquired the assets of Trumark, Inc., a producer of antimicrobial products for the food industry, for approximately $6,500,000. These operations have been consolidated into our Industrial Group. In fiscal 2008, we also opened two new warehouses for our Water Treatment Group to expand its geographic coverage. In fiscal 2009, we invested in two new facilities, which we expect will expand our ability to service our customers and facilitate growth within our Industrial Group. Our new facility in Centralia, Illinois, will primarily serve our food-grade products business and is expected to become operational in June 2009. We also opened a facility in Minneapolis, Minnesota, to handle bulk chemicals sold to pharmaceutical manufacturers. The total capital expenditures in fiscal 2009 on these two facilities were approximately $7,500,000 with approximately $2,600,000 of additional capital spending on these facilities expected in fiscal 2010. We opened one warehouse for our Water Treatment Group in the first quarter of fiscal 2010 and expect to continue to invest in new branches to expand our geographic coverage. The cost of these new branches is not expected to be material.</w:t>
      </w:r>
    </w:p>
    <w:p>
      <w:pPr>
        <w:spacing w:after="0" w:line="17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The transaction closed in May 2009 and we have no significant obligations to fulfill under the agreements. The results of the Pharmaceutical Segment have been reported as discontinued operations in our Financial Statements and Notes to Financial Statements for all periods presented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in fiscal 2009 was highlighted by:</w:t>
      </w:r>
    </w:p>
    <w:p>
      <w:pPr>
        <w:spacing w:after="0" w:line="239"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from continuing operations of $284,356,000, a 52.3% increase over fiscal 2008;</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Gross profit from continuing operations of $62,420,000 or 22.0% of sales, an increase of $23,892,000 over our gross profit in fiscal 2008;</w:t>
      </w:r>
    </w:p>
    <w:p>
      <w:pPr>
        <w:spacing w:after="0" w:line="32" w:lineRule="exact"/>
        <w:rPr>
          <w:rFonts w:ascii="Arial" w:cs="Arial" w:eastAsia="Arial" w:hAnsi="Arial"/>
          <w:sz w:val="16"/>
          <w:szCs w:val="16"/>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of $24,429,000, an increase of 100.2% over that of fiscal 2008;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of $29,536,000 as of the end of fiscal 2009.</w:t>
      </w:r>
    </w:p>
    <w:p>
      <w:pPr>
        <w:spacing w:after="0" w:line="21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prices of the majority of our primary raw materials increased substantially and rapidly during the first three quarters of fiscal 2009 due to high demand and, in some cases constrained supply. Due to this rapid escalation in pricing, we benefited from selling at the higher market prices the lower cost inventory that we had on hand, in part as a result of our strategic investments made in storage capacity over the last several years. In addition, our ability to continue to obtain supplies of key raw material ingredients at favorable prices while many of our competitors were facing raw material shortages and a resultant inability to supply their customers, allowed us to significantly expand our market share to new and existing customers. We expect to retain a portion of this new business, but expect a portion of it to return to our competition. These market and supply factors significantly increased our sales and gross profit in fiscal 2009 compared to prior periods. The raw material supply constraints experienced by our industry in fiscal 2009 have eased and commodity prices have leveled off or, in many cases, begun to decline with the slowing economy. With the changes in commodity pricing and decreases in demand resulting from the national economic downturn, we expect our fiscal 2010 business and the gross profit realized to return to levels more in line with our historic results prior to fiscal 2009.</w:t>
      </w:r>
    </w:p>
    <w:p>
      <w:pPr>
        <w:spacing w:after="0" w:line="17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While market forces in fiscal 2009 generated higher gross profit dollars and gross profit margins as a percentage of sales than we had experienced in the past, we seek to maintain relatively constant gross profit dollars on each of our products as the cost of our commodity chemical raw materials increase or decrease. Our product costs are subject to fluctuations, which are expected to continue in future periods. With this volatility in cost and the resulting fluctuations in selling prices, we believe that gross profit dollars is the best measure of our profitability from the sale of our products. If we maintain relatively stable profit dollars on each of our products, our reported gross margin percentage will decrease when the cost of the product increases and will increase when the cost of the product decreases. We use the last in, first out (LIFO) method of valuing inventory, which causes the most recent product costs to be recognized in our income statement. The LIFO inventory valuation method and the resulting cost of sales are consistent with our business practices of pricing to current commodity chemical raw material prices.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Fiscal</w:t>
            </w: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Fiscal</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500" w:type="dxa"/>
            <w:vAlign w:val="bottom"/>
            <w:gridSpan w:val="2"/>
          </w:tcPr>
          <w:p>
            <w:pPr>
              <w:spacing w:after="0"/>
              <w:rPr>
                <w:sz w:val="12"/>
                <w:szCs w:val="12"/>
                <w:color w:val="auto"/>
              </w:rPr>
            </w:pPr>
          </w:p>
        </w:tc>
        <w:tc>
          <w:tcPr>
            <w:tcW w:w="1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100.0%</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sales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(78.0)%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22.0%</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20.6%</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13.1%</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6.4%</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Investment income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13.2%</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7.1%</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8.2%</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8.4%</w:t>
            </w:r>
          </w:p>
        </w:tc>
        <w:tc>
          <w:tcPr>
            <w:tcW w:w="15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4.9%</w:t>
            </w:r>
          </w:p>
        </w:tc>
        <w:tc>
          <w:tcPr>
            <w:tcW w:w="11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D6F3E8"/>
            </w:tcBorders>
            <w:shd w:val="clear" w:color="auto" w:fill="D6F3E8"/>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D6F3E8"/>
            </w:tcBorders>
            <w:shd w:val="clear" w:color="auto" w:fill="D6F3E8"/>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D6F3E8"/>
            </w:tcBorders>
            <w:shd w:val="clear" w:color="auto" w:fill="D6F3E8"/>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Compared to Fiscal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Sales increased $97,692,000, or 52.3%, to $284,356,000 for fiscal 2009, as compared to sales of $186,664,000 for fiscal 2008. Sales of bulk chemicals, including caustic soda, were approximately 33% of sales compared to approximately 34% in the previous year. Caustic soda volumes sold were comparable to the prior year.</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$76,999,000, or 61.8%, to $201,596,000 for fiscal 2009. The sales increase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in selling prices related to rising material costs along existing product lines and supply constraints for certain products as well as higher volumes in higher value manufactured and specialty chemical products driven by increased demand.</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$20,693,000, or 33.3%, to $82,760,000 for fiscal 2009. The sales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price increases related to increased material costs and expansion of sales of existing product lines, including specialty chemical products, to new and existing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Gross profit was $62,420,000, or 22.0% of sales, for fiscal 2009, as compared to $38,528,000, or 20.6% of sales, for fiscal 2008. LIFO charges reduced gross profit by $10,026,000 in fiscal 2009 and $1,332,000 in fiscal 2008. To more accurately reflect their underlying nature, certain expenses that were classified as selling, general and administrative expenses in fiscal 2008 are now classified as cost of sales in fiscal 2009. These expenses totaled $3,509,000 in fiscal 2008.</w:t>
      </w:r>
    </w:p>
    <w:p>
      <w:pPr>
        <w:spacing w:after="0" w:line="142"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$41,466,000, or 20.6% of sales, for fiscal 2009, as compared to $19,796,000, or 15.9%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2008. The increases in gross profit and gross profit margin as a percent of sales were primarily driven by the sale of lower-cost inventory on hand in a period of rapidly escalating market prices and, to a lesser degree, an increase in profits and volumes on certain products where we had the inventory to meet escalating demand from current and new customers during a period of constrained supply. This was partially offset by a decrease in demand for lower-margin products sold into the agricultural markets during the second half of fiscal 2009 as compared to the second half of fiscal 2008. Additionally, charges related to the LIFO method of valuing inventory negatively impacted gross profit in this segment by $6,932,000 in fiscal 2009, as compared to $917,000 in fiscal 2008.</w:t>
      </w:r>
    </w:p>
    <w:p>
      <w:pPr>
        <w:spacing w:after="0" w:line="17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$20,954,000, or 25.3% of sales, for fiscal 2009, as compared to $18,732,000, or</w:t>
      </w:r>
      <w:r>
        <w:rPr>
          <w:rFonts w:ascii="Arial" w:cs="Arial" w:eastAsia="Arial" w:hAnsi="Arial"/>
          <w:sz w:val="16"/>
          <w:szCs w:val="16"/>
          <w:i w:val="1"/>
          <w:iCs w:val="1"/>
          <w:color w:val="auto"/>
        </w:rPr>
        <w:t xml:space="preserve"> </w:t>
      </w:r>
      <w:r>
        <w:rPr>
          <w:rFonts w:ascii="Arial" w:cs="Arial" w:eastAsia="Arial" w:hAnsi="Arial"/>
          <w:sz w:val="16"/>
          <w:szCs w:val="16"/>
          <w:color w:val="auto"/>
        </w:rPr>
        <w:t>30.2% of sales, for fiscal 2008. The increase in gross profit was primarily driven by the sale of lower-cost inventory on hand and increased demand for specialty chemical products. The decrease in gross profit margin as a percent of sales was due to increased raw material costs. Additionally, charges related to the LIFO method of valuing inventory negatively impacted gross profit in this segment by $3,094,000 in fiscal 2009, as compared to $415,000 in fiscal 2008.</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Selling, general and administrative (SG&amp;A) expenses were $25,083,000, or 8.8% of sales, for fiscal 2009, as compared to $26,524,000, or 14.2% of sales, for fiscal 2008. The decrease in expense in fiscal 2009 was primarily due to the reclassification of certain expenses as cost of sales in fiscal 2009, which were classified as SG&amp;A in fiscal 2008. These expenses totaled $3,509,000 in fiscal 2008. Additionally, SG&amp;A expenses were reduced by the reduction of contractor and consulting fees related to our implementation of an Enterprise Resource Planning (ERP) system and approximately $300,000 of non-recurring acquisition-related expenses associated with the Trumark acquisition recorded in the first quarter of fiscal 2008. These reductions were partially offset by increased variable pay expenses that we paid as a result of the higher profitability levels achieved in fiscal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Operating income was $37,337,000, or 13.1% of sales, for fiscal 2009, as compared to $12,004,000, or 6.4% of sales, for fiscal 2008. Of the fiscal 2009 increase of $25,333,000, $23,202,000 was attributable to the Industrial segment, and $2,131,000 was attributable to the Water Treatment segment. The increases were driven primarily by higher than usual profits on certain products due to the sale of lower-cost inventory during a period of rapidly escalating commodity chemical prices and higher margins caused by supply constraints for certain products as well as higher volumes of sales of higher value manufactured and specialty chemical products which were driven by increased demand. Shortages of certain raw materials in our Industrial segment restricted the ability of certain competitors to meet their customers’ product requirements, while our inventory position allowed us to meet the requirements of our current customer base and to expand our business and to add additional customers.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Investment income was $338,000 for fiscal 2009, as compared to $1,341,000 for fiscal 2008. The decrease was primarily due to lower average investment balances during the year due to higher working capital requirements and capacity expansion projects initiated during fiscal 2009. The decrease was also attributable to lower yields on investment balances in the current year as compared to the prior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effective income tax rate was 37.8% for fiscal 2009 compared to 36.4% for fiscal 2008. The higher effective tax rate for fiscal 2009 as compared to fiscal 2008 was primarily due to the increase in pre-tax income subject to higher marginal income tax rates and the reversal of a valuation allowance and tax contingency reserve in fiscal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2008 Compared to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increased $34,898,000, or 23.0%, to $186,664,000 for fiscal 2008, as compared to sales of $151,766,000 for fiscal 2007. Sales of bulk chemicals, including caustic soda, were approximately 34% of sales compared to approximately 35% in the previous year. Caustic soda volumes sold were comparable to the prior year.</w:t>
      </w:r>
    </w:p>
    <w:p>
      <w:pPr>
        <w:spacing w:after="0" w:line="19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increased $29,202,000, or 30.6%, to $124,597,000 for fiscal 2008. Sales were impacted by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Trumark, Inc. completed in May 2007, which accounted for approximately 8.0% of the increase in sales in fiscal 2008. The remaining portion of the increase in sales was primarily attributable to price increases related to increased material costs as well as higher volumes of sales of certain products.</w:t>
      </w:r>
    </w:p>
    <w:p>
      <w:pPr>
        <w:spacing w:after="0" w:line="16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Water Treatment Segment</w:t>
      </w:r>
      <w:r>
        <w:rPr>
          <w:rFonts w:ascii="Arial" w:cs="Arial" w:eastAsia="Arial" w:hAnsi="Arial"/>
          <w:sz w:val="16"/>
          <w:szCs w:val="16"/>
          <w:color w:val="auto"/>
        </w:rPr>
        <w:t>. Water Treatment segment sales increased $5,696,000, or 10.1%, to $62,067,000 for fiscal 2008. The sales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price increases related to increased material costs, successful expansion of sales of existing product lines, including specialty chemical products, to new and existing customers, and volume increases during the first quarter of fiscal 2008 related to favorable weather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Gross profit was $38,528,000, or 20.6% of sales, for fiscal 2008, as compared to $34,709,000, or 22.9% of sales, for fiscal 2007. LIFO charges reduced gross profit by $1,332,000 in fiscal 2008 and increased gross profit by $689,000 in fiscal 2007.</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$19,796,000, or 15.9% of sales, for fiscal 2008, as compared to $18,030,000, or 18.9%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2007. Changes in product mix toward higher volume, lower margin products and higher material costs negatively impacted gross profit margin as a percent of sales. Additionally, charges related to the LIFO method of valuing inventory negatively impacted fiscal 2008 gross profit by $917,000 and positively impacted fiscal 2007 by $737,000.</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ind w:right="100"/>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$18,732,000, or 30.2% of sales, for fiscal 2008, as compared to $16,679,000, or</w:t>
      </w:r>
      <w:r>
        <w:rPr>
          <w:rFonts w:ascii="Arial" w:cs="Arial" w:eastAsia="Arial" w:hAnsi="Arial"/>
          <w:sz w:val="18"/>
          <w:szCs w:val="18"/>
          <w:i w:val="1"/>
          <w:iCs w:val="1"/>
          <w:color w:val="auto"/>
        </w:rPr>
        <w:t xml:space="preserve"> </w:t>
      </w:r>
      <w:r>
        <w:rPr>
          <w:rFonts w:ascii="Arial" w:cs="Arial" w:eastAsia="Arial" w:hAnsi="Arial"/>
          <w:sz w:val="18"/>
          <w:szCs w:val="18"/>
          <w:color w:val="auto"/>
        </w:rPr>
        <w:t>29.6% of sales, for fiscal 2007. The fiscal 2008 increase related primarily to an increase in seasonal volumes sold and favorable changes in product mix. The increase was partially offset by charges related to the LIFO method of valuing inventory that negatively impacted fiscal 2008 gross profit by $415,000 compared to $48,000 for fiscal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Selling, general and administrative expenses were $26,524,000, or 14.2% of sales, for fiscal 2008 compared to $23,999,000, or 15.8% of sales, for fiscal 2007. The acquisition of Trumark accounted for approximately $1,600,000 of the $2,525,000 increase in fiscal 2008. This included the amortization of intangible assets and approximately $300,000 of non-recurring acquisition-related expenses. The increase in expense was also driven by higher employee compensation, including the issuance of restricted stock, sales incentive compensation expense, and a full year of depreciation expense related to the ERP system. These increases were partially offset by a decrease in professional and consulting expenses related to the ERP implementation.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Operating income was $12,004,000, or 6.4% of sales, for fiscal 2008, as compared to $10,710,000, or 7.1% of sales, for fiscal 2007. The increase of $1,294,000 in fiscal 2008 was driven by higher gross profits in both the Water Treatment and Industrial segments, partially offset by higher SG&amp;A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Investment income was $1,341,000 for fiscal 2008, as compared to $1,692,000 for fiscal 2007. The decrease was primarily related to an approximately $300,000 gain realized on the repayment of three notes receivable that were paid in full during the fourth quarter of fiscal 2007, lower average investment balances due to the Trumark acquisition and lower yields on investments. This was partially offset by a $245,000 gain on the sale of a mutual fund in fiscal 2008.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Our effective income tax rate was 36.4% for fiscal 2008 compared to 37.7% for fiscal 2007. The lower effective tax rate for fiscal 2008 as compared to fiscal 2007 was primarily due to the reversal of a valuation allowance and tax contingency reserve in fiscal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Cash provided by operations in fiscal 2009 was $24,429,000 compared to $12,205,000 in fiscal 2008 and $8,730,000 in fiscal 2007. The increase in fiscal 2009 was due primarily to the increase in net income and was partially offset by higher working capital balances caused by the higher commodity chemical costs in inventory and the resulting increase in selling prices which resulted in higher accounts receivable balances. Due to the nature of our operations, which includes purchases of large quantities of bulk chemicals, the timing of purchases can result in significant changes in working capital investment and the resulting operating cash flow. Historically, our cash requirements for working capital increase during the period from April through November as caustic soda inventory levels increase as the majority of barges are received during this period. Additionally, due to the seasonality of the water treatment business, our trade receivable balance generally increases during this period.</w:t>
      </w:r>
    </w:p>
    <w:p>
      <w:pPr>
        <w:spacing w:after="0" w:line="17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Cash and investments available-for-sale of $29,536,000 at March 29, 2009 increased by $5,422,000 as compared with the $24,114,000 available as of March 30, 2008, primarily due to the increase in cash generated from operations that was partially offset by capital expenditures and dividend payments. In February 2009, we sold our remaining investments classified as available-for-sale. The $29,536,000 balance at March 29, 2009 consisted entirely of cash and cash equivalents. Cash equivalents consist of a money market account and certificates of deposit with original maturities of three months or less.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Capital expenditures were $14,211,000 in fiscal 2009, $5,778,000 in fiscal 2008 and $4,688,000 in fiscal 2007. The total capital expenditures in fiscal 2009 for our new facilities projects were approximately $7,500,000. Additional significant capital expenditures during fiscal 2009 consisted of approximately $2,700,000 for facilities improvements and increased storage capacity, $1,100,000 for returnable containers, and $1,100,000 for new route sales trucks. We expect that recurring capital expenditures for storage, facilities improvements, returnable containers, and new route sales trucks in fiscal 2010 will be comparable with the fiscal 2009 spend rate. We also plan to spend approximately $2,600,000 to complete the new facilities projects that we started in fiscal 2009. We expect our cash flows from operations will be sufficient to fund our capital expenditures in fiscal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Board of Directors increased our semi-annual cash dividend by 8.3% during the second quarter of fiscal 2009 to $0.26 per share from $0.24 per share. We first started paying cash dividends in 1985 and have continued to do so since. Future dividend levels will be dependent upon our results of operations, financial position, cash flows and other factors, and will be evaluated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Payments due by period</w:t>
            </w: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29"/>
        </w:trPr>
        <w:tc>
          <w:tcPr>
            <w:tcW w:w="3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More than</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color w:val="auto"/>
              </w:rPr>
              <w:t>Contractual Obligation</w:t>
            </w: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160" w:type="dxa"/>
            <w:vAlign w:val="bottom"/>
            <w:shd w:val="clear" w:color="auto" w:fill="D6F3E8"/>
          </w:tcPr>
          <w:p>
            <w:pPr>
              <w:spacing w:after="0"/>
              <w:rPr>
                <w:sz w:val="20"/>
                <w:szCs w:val="20"/>
                <w:color w:val="auto"/>
              </w:rPr>
            </w:pPr>
            <w:r>
              <w:rPr>
                <w:rFonts w:ascii="Arial" w:cs="Arial" w:eastAsia="Arial" w:hAnsi="Arial"/>
                <w:sz w:val="18"/>
                <w:szCs w:val="18"/>
                <w:color w:val="auto"/>
              </w:rPr>
              <w:t>Operating lease obligations</w:t>
            </w:r>
          </w:p>
        </w:tc>
        <w:tc>
          <w:tcPr>
            <w:tcW w:w="10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8"/>
              </w:rPr>
              <w:t>$  496,000</w:t>
            </w:r>
          </w:p>
        </w:tc>
        <w:tc>
          <w:tcPr>
            <w:tcW w:w="10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w w:val="98"/>
              </w:rPr>
              <w:t>$  408,000</w:t>
            </w: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w w:val="98"/>
              </w:rPr>
              <w:t>$  372,000</w:t>
            </w:r>
          </w:p>
        </w:tc>
        <w:tc>
          <w:tcPr>
            <w:tcW w:w="1260" w:type="dxa"/>
            <w:vAlign w:val="bottom"/>
            <w:gridSpan w:val="3"/>
            <w:shd w:val="clear" w:color="auto" w:fill="D6F3E8"/>
          </w:tcPr>
          <w:p>
            <w:pPr>
              <w:jc w:val="right"/>
              <w:ind w:right="220"/>
              <w:spacing w:after="0"/>
              <w:rPr>
                <w:sz w:val="20"/>
                <w:szCs w:val="20"/>
                <w:color w:val="auto"/>
              </w:rPr>
            </w:pPr>
            <w:r>
              <w:rPr>
                <w:rFonts w:ascii="Arial" w:cs="Arial" w:eastAsia="Arial" w:hAnsi="Arial"/>
                <w:sz w:val="18"/>
                <w:szCs w:val="18"/>
                <w:color w:val="auto"/>
              </w:rPr>
              <w:t>$  379,000</w:t>
            </w: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auto"/>
              </w:rPr>
              <w:t>383,000</w:t>
            </w:r>
          </w:p>
        </w:tc>
        <w:tc>
          <w:tcPr>
            <w:tcW w:w="1180" w:type="dxa"/>
            <w:vAlign w:val="bottom"/>
            <w:gridSpan w:val="2"/>
            <w:shd w:val="clear" w:color="auto" w:fill="D6F3E8"/>
          </w:tcPr>
          <w:p>
            <w:pPr>
              <w:jc w:val="center"/>
              <w:ind w:right="200"/>
              <w:spacing w:after="0"/>
              <w:rPr>
                <w:sz w:val="20"/>
                <w:szCs w:val="20"/>
                <w:color w:val="auto"/>
              </w:rPr>
            </w:pPr>
            <w:r>
              <w:rPr>
                <w:rFonts w:ascii="Arial" w:cs="Arial" w:eastAsia="Arial" w:hAnsi="Arial"/>
                <w:sz w:val="18"/>
                <w:szCs w:val="18"/>
                <w:color w:val="auto"/>
                <w:w w:val="97"/>
              </w:rPr>
              <w:t>$  3,108,000</w:t>
            </w:r>
          </w:p>
        </w:tc>
        <w:tc>
          <w:tcPr>
            <w:tcW w:w="10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5"/>
              </w:rPr>
              <w:t>$  5,146,000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preparing the financial statements, we follow accounting principles generally accepted in the United States.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passes to our customer, performance has occurred, and collection of the receivable is reasonably assured.</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On a quarterly basis, management assesses the inventory quantities on hand to estimated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usage and sales and, if necessary, writes down to net realizable the value of inventory deemed obsolete or excess. Though management considers these reserves adequate and proper, changes in sales volumes due to unexpected economic or competitive conditions are among the factors that could materially affect the adequacy of this reserve.</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i w:val="1"/>
          <w:iCs w:val="1"/>
          <w:color w:val="auto"/>
        </w:rPr>
        <w:t xml:space="preserve">LIFO Reserve </w:t>
      </w:r>
      <w:r>
        <w:rPr>
          <w:rFonts w:ascii="Arial" w:cs="Arial" w:eastAsia="Arial" w:hAnsi="Arial"/>
          <w:sz w:val="16"/>
          <w:szCs w:val="16"/>
          <w:color w:val="auto"/>
        </w:rPr>
        <w:t>– Inventories are primarily valued at the lower of cost or market with cost being determined using the last-in, first-out (LIFO) method. We may</w:t>
      </w:r>
      <w:r>
        <w:rPr>
          <w:rFonts w:ascii="Arial" w:cs="Arial" w:eastAsia="Arial" w:hAnsi="Arial"/>
          <w:sz w:val="16"/>
          <w:szCs w:val="16"/>
          <w:i w:val="1"/>
          <w:iCs w:val="1"/>
          <w:color w:val="auto"/>
        </w:rPr>
        <w:t xml:space="preserve"> </w:t>
      </w:r>
      <w:r>
        <w:rPr>
          <w:rFonts w:ascii="Arial" w:cs="Arial" w:eastAsia="Arial" w:hAnsi="Arial"/>
          <w:sz w:val="16"/>
          <w:szCs w:val="16"/>
          <w:color w:val="auto"/>
        </w:rPr>
        <w:t>incur significant fluctuations in our gross margins due primarily to changes in the cost of a single, large-volume component of inventory. The price of this inventory component may fluctuate depending on the balance between supply and demand. Management reviews the LIFO reserve on a quarterly basis.</w:t>
      </w:r>
    </w:p>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We review the recoverability of long-lived assets to be held and used, such as property, plant and equipment and intangible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subject to amortization,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is recognized equal to the amount by which the carrying value exceeds the fair value of the long-lived assets. The measurement of impairment requires us to estimate future cash flows and the fair value of long-lived assets. Significant judgments and assumptions are required in the forecast of future operating results used in the preparation of the estimated future cash flows. We periodically review the appropriateness of the estimated useful lives of our long-lived assets. Changes in these estimates could have a material effect on the assessment of long-lived assets subject to amortization. There were no material assets that were determined to be impaired during fiscal 2009.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right="120"/>
        <w:spacing w:after="0" w:line="294" w:lineRule="auto"/>
        <w:rPr>
          <w:sz w:val="20"/>
          <w:szCs w:val="20"/>
          <w:color w:val="auto"/>
        </w:rPr>
      </w:pPr>
      <w:r>
        <w:rPr>
          <w:rFonts w:ascii="Arial" w:cs="Arial" w:eastAsia="Arial" w:hAnsi="Arial"/>
          <w:sz w:val="16"/>
          <w:szCs w:val="16"/>
          <w:i w:val="1"/>
          <w:iCs w:val="1"/>
          <w:color w:val="auto"/>
        </w:rPr>
        <w:t xml:space="preserve">Self Insurance </w:t>
      </w:r>
      <w:r>
        <w:rPr>
          <w:rFonts w:ascii="Arial" w:cs="Arial" w:eastAsia="Arial" w:hAnsi="Arial"/>
          <w:sz w:val="16"/>
          <w:szCs w:val="16"/>
          <w:color w:val="auto"/>
        </w:rPr>
        <w:t>– We purchase insurance for employee medical benefits with high deductibles. We carry third party insurance for what we believe to be the major</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potential exposures that would exceed our self-insured retentions. We have established a liability for potential uninsured claims. We consider factors such as known outstanding claims, historical experience, and other relevant factors in estimating the liability. These reserves are monitored and adjusted when warranted by changing circumstances. Though management believes these reserves are adequate, a substantial change in the number and/or severity of claims could result in materially different amounts for this item.</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the preparation of our financial statements, management calculates income taxes. This includes estimating the current tax liability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assessing temporary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A valuation allowance is established to the extent that management believes that recovery is not likely. Reserves are also established for potential and ongoing audits of federal and state tax issues. We routinely monitor the potential impact of such situations and believe that it is properly reserved. Valuations related to amounts owed and tax rates could be impacted by changes to tax codes, changes in statutory tax rates, our future taxable income levels and the results of tax audits.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See Item 8, Note 1 of the Notes to Financial Statements for information regarding recently adopted accounting standards or accounting standards to be adopted in the future.</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7A.</w:t>
      </w:r>
      <w:r>
        <w:rPr>
          <w:sz w:val="20"/>
          <w:szCs w:val="20"/>
          <w:color w:val="auto"/>
        </w:rPr>
        <w:tab/>
      </w:r>
      <w:r>
        <w:rPr>
          <w:rFonts w:ascii="Arial" w:cs="Arial" w:eastAsia="Arial" w:hAnsi="Arial"/>
          <w:sz w:val="21"/>
          <w:szCs w:val="21"/>
          <w:color w:val="auto"/>
        </w:rPr>
        <w:t>QUANTITATIVE AND QUALITATIVE DISCLOSURE ABOUT MARKET RISK</w:t>
      </w:r>
    </w:p>
    <w:p>
      <w:pPr>
        <w:spacing w:after="0" w:line="219"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tabs>
          <w:tab w:leader="none" w:pos="136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FINANCIAL STATEMENTS AND SUPPLEMENTARY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March 29, 2009, based on the criteria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(“COSO”) of the Treadway Commission. Based on this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our internal control over financial reporting was effective as of March 29, 2009.</w:t>
      </w:r>
    </w:p>
    <w:p>
      <w:pPr>
        <w:spacing w:after="0" w:line="16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29, 2009. That attestation report is set forth immediately following this management report.</w:t>
      </w:r>
    </w:p>
    <w:p>
      <w:pPr>
        <w:sectPr>
          <w:pgSz w:w="11900" w:h="16838" w:orient="portrait"/>
          <w:cols w:equalWidth="0" w:num="1">
            <w:col w:w="11320"/>
          </w:cols>
          <w:pgMar w:left="240" w:top="132" w:right="3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178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25400</wp:posOffset>
            </wp:positionV>
            <wp:extent cx="21697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Chief Financial Officer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June 5,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900" w:space="720"/>
            <w:col w:w="5700"/>
          </w:cols>
          <w:pgMar w:left="240" w:top="13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Hawkins,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We have audited the accompanying balance sheets of Hawkins, Inc. (the “Company”) as of March 29, 2009 and March 30, 2008, and the related statements of income, shareholders’ equity, and cash flows for each of the three years in the period ended March 29, 2009. Our audits also included the financial statement schedule listed in the Index at Item 15. We have also audited the Company’s internal control over financial reporting as of March 29, 2009,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The Company’s 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financial statement schedule and an opinion on the Company’s internal control over financial reporting based on our audits.</w:t>
      </w:r>
    </w:p>
    <w:p>
      <w:pPr>
        <w:spacing w:after="0" w:line="1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March 29, 2009 and March 30, 2008, and the results of their operations and their cash flows for each of the three years in the period ended March 29, 2009, in conformity with accounting principles generally accepted in the United States of America. Also, in our opinion, such financial statement schedule, when considered in relation to the basic financial statements taken as a whole, present fairly, in all material respects, the information set forth therein. Also, in our opinion, the Company maintained, in all material respects, effective internal control over financial reporting as of March 29, 2009, based on the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and per-share data</w:t>
            </w:r>
          </w:p>
        </w:tc>
        <w:tc>
          <w:tcPr>
            <w:tcW w:w="1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March 29, 2009</w:t>
            </w:r>
          </w:p>
        </w:tc>
        <w:tc>
          <w:tcPr>
            <w:tcW w:w="14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March 30, 2008</w:t>
            </w: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vMerge w:val="restart"/>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Investments available-for-sale</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Trade receivables - less allowance for doubtful accounts: $350 for 2009 and $225 for 2008</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28,883</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23,788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Prepaid expenses and other current assets (Note 11)</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3,875</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Assets held for sale (Note 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84,135</w:t>
            </w:r>
          </w:p>
        </w:tc>
        <w:tc>
          <w:tcPr>
            <w:tcW w:w="32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65,199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844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1,820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36,684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25,645</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18,470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Transportation equipment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Office furniture and equipment including computer systems</w:t>
            </w:r>
          </w:p>
        </w:tc>
        <w:tc>
          <w:tcPr>
            <w:tcW w:w="12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11,030</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10,638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D6F3E8"/>
            </w:tcBorders>
          </w:tcPr>
          <w:p>
            <w:pPr>
              <w:spacing w:after="0"/>
              <w:rPr>
                <w:sz w:val="18"/>
                <w:szCs w:val="18"/>
                <w:color w:val="auto"/>
              </w:rPr>
            </w:pPr>
          </w:p>
        </w:tc>
        <w:tc>
          <w:tcPr>
            <w:tcW w:w="6640" w:type="dxa"/>
            <w:vAlign w:val="bottom"/>
            <w:tcBorders>
              <w:top w:val="single" w:sz="8" w:color="D6F3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85,756</w:t>
            </w:r>
          </w:p>
        </w:tc>
        <w:tc>
          <w:tcPr>
            <w:tcW w:w="320" w:type="dxa"/>
            <w:vAlign w:val="bottom"/>
            <w:tcBorders>
              <w:top w:val="single" w:sz="8" w:color="D6F3E8"/>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71,961</w:t>
            </w:r>
          </w:p>
        </w:tc>
        <w:tc>
          <w:tcPr>
            <w:tcW w:w="1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40,136</w:t>
            </w:r>
          </w:p>
        </w:tc>
        <w:tc>
          <w:tcPr>
            <w:tcW w:w="3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36,032</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62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Goodwill and intangible assets – less accumulated amortization:</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$2,556 for 2009 and $2,089 for 2008 (Note 6)</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6,440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6,907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Long-term investments</w:t>
            </w:r>
          </w:p>
        </w:tc>
        <w:tc>
          <w:tcPr>
            <w:tcW w:w="1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ind w:left="62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D6F3E8"/>
            </w:tcBorders>
            <w:shd w:val="clear" w:color="auto" w:fill="D6F3E8"/>
          </w:tcPr>
          <w:p>
            <w:pPr>
              <w:spacing w:after="0"/>
              <w:rPr>
                <w:sz w:val="21"/>
                <w:szCs w:val="21"/>
                <w:color w:val="auto"/>
              </w:rPr>
            </w:pPr>
          </w:p>
        </w:tc>
        <w:tc>
          <w:tcPr>
            <w:tcW w:w="66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136,290</w:t>
            </w:r>
          </w:p>
        </w:tc>
        <w:tc>
          <w:tcPr>
            <w:tcW w:w="32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108,943</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Accounts payable—trade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14,426</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2,666</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Accrued payroll and employee benefits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Container deposits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946</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Other accruals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27,836</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22,705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4,120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440" w:type="dxa"/>
            <w:vAlign w:val="bottom"/>
            <w:gridSpan w:val="3"/>
          </w:tcPr>
          <w:p>
            <w:pPr>
              <w:spacing w:after="0"/>
              <w:rPr>
                <w:sz w:val="20"/>
                <w:szCs w:val="20"/>
                <w:color w:val="auto"/>
              </w:rPr>
            </w:pPr>
            <w:r>
              <w:rPr>
                <w:rFonts w:ascii="Arial" w:cs="Arial" w:eastAsia="Arial" w:hAnsi="Arial"/>
                <w:sz w:val="18"/>
                <w:szCs w:val="18"/>
                <w:color w:val="auto"/>
              </w:rPr>
              <w:t>COMMITMENTS AND CONTINGENCIES (Note 10)</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4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w w:val="92"/>
              </w:rPr>
              <w:t>Common stock; authorized: 30,000,000 shares of $.05 par value; 10,246,458 and 10,239,458 shares issued and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2"/>
          </w:tcPr>
          <w:p>
            <w:pPr>
              <w:ind w:left="300"/>
              <w:spacing w:after="0"/>
              <w:rPr>
                <w:sz w:val="20"/>
                <w:szCs w:val="20"/>
                <w:color w:val="auto"/>
              </w:rPr>
            </w:pPr>
            <w:r>
              <w:rPr>
                <w:rFonts w:ascii="Arial" w:cs="Arial" w:eastAsia="Arial" w:hAnsi="Arial"/>
                <w:sz w:val="18"/>
                <w:szCs w:val="18"/>
                <w:color w:val="auto"/>
              </w:rPr>
              <w:t>outstanding for 2009 and 2008, respectively</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38,368</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38,091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64,860</w:t>
            </w:r>
          </w:p>
        </w:tc>
        <w:tc>
          <w:tcPr>
            <w:tcW w:w="3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46,428</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tcPr>
          <w:p>
            <w:pPr>
              <w:ind w:left="62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103,730</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80" w:type="dxa"/>
            <w:vAlign w:val="bottom"/>
            <w:tcBorders>
              <w:bottom w:val="single" w:sz="8" w:color="D6F3E8"/>
            </w:tcBorders>
            <w:shd w:val="clear" w:color="auto" w:fill="D6F3E8"/>
          </w:tcPr>
          <w:p>
            <w:pPr>
              <w:spacing w:after="0"/>
              <w:rPr>
                <w:sz w:val="21"/>
                <w:szCs w:val="21"/>
                <w:color w:val="auto"/>
              </w:rPr>
            </w:pPr>
          </w:p>
        </w:tc>
        <w:tc>
          <w:tcPr>
            <w:tcW w:w="66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136,290</w:t>
            </w:r>
          </w:p>
        </w:tc>
        <w:tc>
          <w:tcPr>
            <w:tcW w:w="32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108,943</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 except share and per-share data</w:t>
            </w:r>
          </w:p>
        </w:tc>
        <w:tc>
          <w:tcPr>
            <w:tcW w:w="1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89"/>
              </w:rPr>
              <w:t>Fiscal Year Ended</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gridSpan w:val="3"/>
            <w:vMerge w:val="continue"/>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March 29, 2009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8"/>
              </w:rPr>
              <w:t>March 30, 2008</w:t>
            </w:r>
          </w:p>
        </w:tc>
        <w:tc>
          <w:tcPr>
            <w:tcW w:w="220" w:type="dxa"/>
            <w:vAlign w:val="bottom"/>
          </w:tcPr>
          <w:p>
            <w:pPr>
              <w:spacing w:after="0"/>
              <w:rPr>
                <w:sz w:val="12"/>
                <w:szCs w:val="12"/>
                <w:color w:val="auto"/>
              </w:rPr>
            </w:pPr>
          </w:p>
        </w:tc>
        <w:tc>
          <w:tcPr>
            <w:tcW w:w="118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April 1, 2007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w:t>
            </w:r>
          </w:p>
        </w:tc>
        <w:tc>
          <w:tcPr>
            <w:tcW w:w="184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284,356</w:t>
            </w:r>
          </w:p>
        </w:tc>
        <w:tc>
          <w:tcPr>
            <w:tcW w:w="200" w:type="dxa"/>
            <w:vAlign w:val="bottom"/>
            <w:shd w:val="clear" w:color="auto" w:fill="D6F3E8"/>
          </w:tcPr>
          <w:p>
            <w:pPr>
              <w:spacing w:after="0"/>
              <w:rPr>
                <w:sz w:val="18"/>
                <w:szCs w:val="18"/>
                <w:color w:val="auto"/>
              </w:rPr>
            </w:pPr>
          </w:p>
        </w:tc>
        <w:tc>
          <w:tcPr>
            <w:tcW w:w="2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186,664</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151,766</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(221,936)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(148,136)</w:t>
            </w:r>
          </w:p>
        </w:tc>
        <w:tc>
          <w:tcPr>
            <w:tcW w:w="2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(117,057)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gridSpan w:val="2"/>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62,420</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38,528</w:t>
            </w:r>
          </w:p>
        </w:tc>
        <w:tc>
          <w:tcPr>
            <w:tcW w:w="22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34,709</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(25,083)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(26,524)</w:t>
            </w:r>
          </w:p>
        </w:tc>
        <w:tc>
          <w:tcPr>
            <w:tcW w:w="2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(23,999)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gridSpan w:val="2"/>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37,337</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12,004</w:t>
            </w:r>
          </w:p>
        </w:tc>
        <w:tc>
          <w:tcPr>
            <w:tcW w:w="22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10,710</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rPr>
              <w:t>Investment income</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1,341</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gridSpan w:val="2"/>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6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37,675</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13,345</w:t>
            </w:r>
          </w:p>
        </w:tc>
        <w:tc>
          <w:tcPr>
            <w:tcW w:w="22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12,402</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(14,251)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(4,857)</w:t>
            </w:r>
          </w:p>
        </w:tc>
        <w:tc>
          <w:tcPr>
            <w:tcW w:w="220" w:type="dxa"/>
            <w:vAlign w:val="bottom"/>
          </w:tcPr>
          <w:p>
            <w:pPr>
              <w:spacing w:after="0"/>
              <w:rPr>
                <w:sz w:val="24"/>
                <w:szCs w:val="2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gridSpan w:val="2"/>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16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23,424</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8,488</w:t>
            </w:r>
          </w:p>
        </w:tc>
        <w:tc>
          <w:tcPr>
            <w:tcW w:w="220" w:type="dxa"/>
            <w:vAlign w:val="bottom"/>
            <w:shd w:val="clear" w:color="auto" w:fill="D6F3E8"/>
          </w:tcPr>
          <w:p>
            <w:pPr>
              <w:spacing w:after="0"/>
              <w:rPr>
                <w:sz w:val="18"/>
                <w:szCs w:val="18"/>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820" w:type="dxa"/>
            <w:vAlign w:val="bottom"/>
            <w:gridSpan w:val="3"/>
          </w:tcPr>
          <w:p>
            <w:pPr>
              <w:spacing w:after="0"/>
              <w:rPr>
                <w:sz w:val="20"/>
                <w:szCs w:val="20"/>
                <w:color w:val="auto"/>
              </w:rPr>
            </w:pPr>
            <w:r>
              <w:rPr>
                <w:rFonts w:ascii="Arial" w:cs="Arial" w:eastAsia="Arial" w:hAnsi="Arial"/>
                <w:sz w:val="18"/>
                <w:szCs w:val="18"/>
                <w:color w:val="auto"/>
              </w:rPr>
              <w:t>Income from discontinued operations, net of tax (Note 3)</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gridSpan w:val="2"/>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23,764</w:t>
            </w:r>
          </w:p>
        </w:tc>
        <w:tc>
          <w:tcPr>
            <w:tcW w:w="200" w:type="dxa"/>
            <w:vAlign w:val="bottom"/>
            <w:shd w:val="clear" w:color="auto" w:fill="D6F3E8"/>
          </w:tcPr>
          <w:p>
            <w:pPr>
              <w:spacing w:after="0"/>
              <w:rPr>
                <w:sz w:val="20"/>
                <w:szCs w:val="20"/>
                <w:color w:val="auto"/>
              </w:rPr>
            </w:pPr>
          </w:p>
        </w:tc>
        <w:tc>
          <w:tcPr>
            <w:tcW w:w="2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9,110</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8,069</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3460" w:type="dxa"/>
            <w:vAlign w:val="bottom"/>
            <w:tcBorders>
              <w:top w:val="single" w:sz="8" w:color="D6F3E8"/>
            </w:tcBorders>
            <w:shd w:val="clear" w:color="auto" w:fill="D6F3E8"/>
          </w:tcPr>
          <w:p>
            <w:pPr>
              <w:spacing w:after="0" w:line="20" w:lineRule="exact"/>
              <w:rPr>
                <w:sz w:val="1"/>
                <w:szCs w:val="1"/>
                <w:color w:val="auto"/>
              </w:rPr>
            </w:pPr>
          </w:p>
        </w:tc>
        <w:tc>
          <w:tcPr>
            <w:tcW w:w="168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820" w:type="dxa"/>
            <w:vAlign w:val="bottom"/>
            <w:gridSpan w:val="3"/>
          </w:tcPr>
          <w:p>
            <w:pPr>
              <w:spacing w:after="0"/>
              <w:rPr>
                <w:sz w:val="20"/>
                <w:szCs w:val="20"/>
                <w:color w:val="auto"/>
              </w:rPr>
            </w:pPr>
            <w:r>
              <w:rPr>
                <w:rFonts w:ascii="Arial" w:cs="Arial" w:eastAsia="Arial" w:hAnsi="Arial"/>
                <w:sz w:val="18"/>
                <w:szCs w:val="18"/>
                <w:color w:val="auto"/>
              </w:rPr>
              <w:t>Weighted average number of shares outstanding-basic</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10,243,970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10,213,225</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10,171,496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480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8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168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10,249,027</w:t>
            </w:r>
          </w:p>
        </w:tc>
        <w:tc>
          <w:tcPr>
            <w:tcW w:w="20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10,214,387</w:t>
            </w:r>
          </w:p>
        </w:tc>
        <w:tc>
          <w:tcPr>
            <w:tcW w:w="220" w:type="dxa"/>
            <w:vAlign w:val="bottom"/>
            <w:shd w:val="clear" w:color="auto" w:fill="D6F3E8"/>
          </w:tcPr>
          <w:p>
            <w:pPr>
              <w:spacing w:after="0"/>
              <w:rPr>
                <w:sz w:val="20"/>
                <w:szCs w:val="20"/>
                <w:color w:val="auto"/>
              </w:rPr>
            </w:pP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10,173,719</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3460" w:type="dxa"/>
            <w:vAlign w:val="bottom"/>
            <w:tcBorders>
              <w:top w:val="single" w:sz="8" w:color="D6F3E8"/>
            </w:tcBorders>
            <w:shd w:val="clear" w:color="auto" w:fill="D6F3E8"/>
          </w:tcPr>
          <w:p>
            <w:pPr>
              <w:spacing w:after="0" w:line="20" w:lineRule="exact"/>
              <w:rPr>
                <w:sz w:val="1"/>
                <w:szCs w:val="1"/>
                <w:color w:val="auto"/>
              </w:rPr>
            </w:pPr>
          </w:p>
        </w:tc>
        <w:tc>
          <w:tcPr>
            <w:tcW w:w="168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820" w:type="dxa"/>
            <w:vAlign w:val="bottom"/>
            <w:gridSpan w:val="3"/>
          </w:tcPr>
          <w:p>
            <w:pPr>
              <w:spacing w:after="0"/>
              <w:rPr>
                <w:sz w:val="20"/>
                <w:szCs w:val="20"/>
                <w:color w:val="auto"/>
              </w:rPr>
            </w:pPr>
            <w:r>
              <w:rPr>
                <w:rFonts w:ascii="Arial" w:cs="Arial" w:eastAsia="Arial" w:hAnsi="Arial"/>
                <w:sz w:val="18"/>
                <w:szCs w:val="18"/>
                <w:color w:val="auto"/>
              </w:rPr>
              <w:t>Basic and diluted net income per share</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Net income from continuing operations per share</w:t>
            </w:r>
          </w:p>
        </w:tc>
        <w:tc>
          <w:tcPr>
            <w:tcW w:w="184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D6F3E8"/>
          </w:tcPr>
          <w:p>
            <w:pPr>
              <w:spacing w:after="0"/>
              <w:rPr>
                <w:sz w:val="18"/>
                <w:szCs w:val="18"/>
                <w:color w:val="auto"/>
              </w:rPr>
            </w:pPr>
          </w:p>
        </w:tc>
        <w:tc>
          <w:tcPr>
            <w:tcW w:w="2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0.76</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Net income from discontinued operations per share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Net income per share</w:t>
            </w:r>
          </w:p>
        </w:tc>
        <w:tc>
          <w:tcPr>
            <w:tcW w:w="168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0.89</w:t>
            </w:r>
          </w:p>
        </w:tc>
        <w:tc>
          <w:tcPr>
            <w:tcW w:w="34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top w:val="single" w:sz="8" w:color="auto"/>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4820" w:type="dxa"/>
            <w:vAlign w:val="bottom"/>
            <w:gridSpan w:val="3"/>
          </w:tcPr>
          <w:p>
            <w:pPr>
              <w:spacing w:after="0"/>
              <w:rPr>
                <w:sz w:val="20"/>
                <w:szCs w:val="20"/>
                <w:color w:val="auto"/>
              </w:rPr>
            </w:pPr>
            <w:r>
              <w:rPr>
                <w:rFonts w:ascii="Arial" w:cs="Arial" w:eastAsia="Arial" w:hAnsi="Arial"/>
                <w:sz w:val="18"/>
                <w:szCs w:val="18"/>
                <w:color w:val="auto"/>
              </w:rPr>
              <w:t>Cash dividends declared per common share</w:t>
            </w:r>
          </w:p>
        </w:tc>
        <w:tc>
          <w:tcPr>
            <w:tcW w:w="18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0.48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3"/>
            <w:vMerge w:val="continue"/>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80" w:type="dxa"/>
            <w:vAlign w:val="bottom"/>
          </w:tcPr>
          <w:p>
            <w:pPr>
              <w:jc w:val="right"/>
              <w:ind w:right="612"/>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1340" w:type="dxa"/>
            <w:vAlign w:val="bottom"/>
            <w:tcBorders>
              <w:bottom w:val="single" w:sz="8" w:color="808080"/>
            </w:tcBorders>
          </w:tcPr>
          <w:p>
            <w:pPr>
              <w:spacing w:after="0"/>
              <w:rPr>
                <w:sz w:val="21"/>
                <w:szCs w:val="21"/>
                <w:color w:val="auto"/>
              </w:rPr>
            </w:pPr>
          </w:p>
        </w:tc>
        <w:tc>
          <w:tcPr>
            <w:tcW w:w="3460" w:type="dxa"/>
            <w:vAlign w:val="bottom"/>
            <w:tcBorders>
              <w:bottom w:val="single" w:sz="8" w:color="808080"/>
            </w:tcBorders>
          </w:tcPr>
          <w:p>
            <w:pPr>
              <w:spacing w:after="0"/>
              <w:rPr>
                <w:sz w:val="21"/>
                <w:szCs w:val="21"/>
                <w:color w:val="auto"/>
              </w:rPr>
            </w:pPr>
          </w:p>
        </w:tc>
        <w:tc>
          <w:tcPr>
            <w:tcW w:w="16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4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6"/>
                <w:szCs w:val="6"/>
                <w:color w:val="auto"/>
              </w:rPr>
            </w:pPr>
          </w:p>
        </w:tc>
        <w:tc>
          <w:tcPr>
            <w:tcW w:w="110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Retained</w:t>
            </w:r>
          </w:p>
        </w:tc>
        <w:tc>
          <w:tcPr>
            <w:tcW w:w="120" w:type="dxa"/>
            <w:vAlign w:val="bottom"/>
          </w:tcPr>
          <w:p>
            <w:pPr>
              <w:spacing w:after="0"/>
              <w:rPr>
                <w:sz w:val="6"/>
                <w:szCs w:val="6"/>
                <w:color w:val="auto"/>
              </w:rPr>
            </w:pPr>
          </w:p>
        </w:tc>
        <w:tc>
          <w:tcPr>
            <w:tcW w:w="13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6"/>
                <w:szCs w:val="6"/>
                <w:color w:val="auto"/>
              </w:rPr>
            </w:pPr>
          </w:p>
        </w:tc>
        <w:tc>
          <w:tcPr>
            <w:tcW w:w="11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BALANCE—April 2, 2006</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140" w:type="dxa"/>
            <w:vAlign w:val="bottom"/>
            <w:shd w:val="clear" w:color="auto" w:fill="D6F3E8"/>
          </w:tcPr>
          <w:p>
            <w:pPr>
              <w:spacing w:after="0"/>
              <w:rPr>
                <w:sz w:val="18"/>
                <w:szCs w:val="18"/>
                <w:color w:val="auto"/>
              </w:rPr>
            </w:pPr>
          </w:p>
        </w:tc>
        <w:tc>
          <w:tcPr>
            <w:tcW w:w="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D6F3E8"/>
          </w:tcPr>
          <w:p>
            <w:pPr>
              <w:spacing w:after="0"/>
              <w:rPr>
                <w:sz w:val="18"/>
                <w:szCs w:val="18"/>
                <w:color w:val="auto"/>
              </w:rPr>
            </w:pPr>
          </w:p>
        </w:tc>
        <w:tc>
          <w:tcPr>
            <w:tcW w:w="2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37,056</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38,657</w:t>
            </w: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76,096</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Restricted stock compensation</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w w:val="96"/>
              </w:rPr>
              <w:t>Unrealized gain on investments available for</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sale, net of tax</w:t>
            </w:r>
          </w:p>
        </w:tc>
        <w:tc>
          <w:tcPr>
            <w:tcW w:w="11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6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4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Unrealized loss on post-retirement plan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liability, net of tax</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7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6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40" w:type="dxa"/>
            <w:vAlign w:val="bottom"/>
            <w:tcBorders>
              <w:bottom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8,069</w:t>
            </w:r>
          </w:p>
        </w:tc>
        <w:tc>
          <w:tcPr>
            <w:tcW w:w="26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114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8,069</w:t>
            </w:r>
          </w:p>
        </w:tc>
        <w:tc>
          <w:tcPr>
            <w:tcW w:w="12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2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BALANCE—April 1, 2007</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10,171,496</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37,242</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42,241</w:t>
            </w: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79,978</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(4,923)</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Shares surrendered for payroll taxes</w:t>
            </w:r>
          </w:p>
        </w:tc>
        <w:tc>
          <w:tcPr>
            <w:tcW w:w="12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(17,626)</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Restricted stock compensation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Vesting of restricted stock</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45,257</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Acquisition of Trumark</w:t>
            </w:r>
          </w:p>
        </w:tc>
        <w:tc>
          <w:tcPr>
            <w:tcW w:w="1120" w:type="dxa"/>
            <w:vAlign w:val="bottom"/>
          </w:tcPr>
          <w:p>
            <w:pPr>
              <w:jc w:val="right"/>
              <w:spacing w:after="0"/>
              <w:rPr>
                <w:sz w:val="20"/>
                <w:szCs w:val="20"/>
                <w:color w:val="auto"/>
              </w:rPr>
            </w:pPr>
            <w:r>
              <w:rPr>
                <w:rFonts w:ascii="Arial" w:cs="Arial" w:eastAsia="Arial" w:hAnsi="Arial"/>
                <w:sz w:val="18"/>
                <w:szCs w:val="18"/>
                <w:color w:val="auto"/>
              </w:rPr>
              <w:t>40,331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Comprehensive income:</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w w:val="96"/>
              </w:rPr>
              <w:t>Unrealized loss on investments available for</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sale, net of tax</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Unrealized gain on post-retirement plan</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liability, net of tax</w:t>
            </w:r>
          </w:p>
        </w:tc>
        <w:tc>
          <w:tcPr>
            <w:tcW w:w="11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72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86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840" w:type="dxa"/>
            <w:vAlign w:val="bottom"/>
            <w:shd w:val="clear" w:color="auto" w:fill="D6F3E8"/>
          </w:tcPr>
          <w:p>
            <w:pPr>
              <w:spacing w:after="0"/>
              <w:rPr>
                <w:sz w:val="19"/>
                <w:szCs w:val="19"/>
                <w:color w:val="auto"/>
              </w:rPr>
            </w:pPr>
          </w:p>
        </w:tc>
        <w:tc>
          <w:tcPr>
            <w:tcW w:w="26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D6F3E8"/>
            </w:tcBorders>
            <w:gridSpan w:val="2"/>
            <w:shd w:val="clear" w:color="auto" w:fill="D6F3E8"/>
          </w:tcPr>
          <w:p>
            <w:pPr>
              <w:ind w:left="460"/>
              <w:spacing w:after="0"/>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72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60" w:type="dxa"/>
            <w:vAlign w:val="bottom"/>
            <w:tcBorders>
              <w:bottom w:val="single" w:sz="8" w:color="auto"/>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840" w:type="dxa"/>
            <w:vAlign w:val="bottom"/>
            <w:tcBorders>
              <w:bottom w:val="single" w:sz="8" w:color="auto"/>
            </w:tcBorders>
            <w:shd w:val="clear" w:color="auto" w:fill="D6F3E8"/>
          </w:tcPr>
          <w:p>
            <w:pPr>
              <w:spacing w:after="0"/>
              <w:rPr>
                <w:sz w:val="18"/>
                <w:szCs w:val="18"/>
                <w:color w:val="auto"/>
              </w:rPr>
            </w:pPr>
          </w:p>
        </w:tc>
        <w:tc>
          <w:tcPr>
            <w:tcW w:w="26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9,114</w:t>
            </w:r>
          </w:p>
        </w:tc>
        <w:tc>
          <w:tcPr>
            <w:tcW w:w="12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740" w:type="dxa"/>
            <w:vAlign w:val="bottom"/>
            <w:gridSpan w:val="3"/>
          </w:tcPr>
          <w:p>
            <w:pPr>
              <w:spacing w:after="0"/>
              <w:rPr>
                <w:sz w:val="20"/>
                <w:szCs w:val="20"/>
                <w:color w:val="auto"/>
              </w:rPr>
            </w:pPr>
            <w:r>
              <w:rPr>
                <w:rFonts w:ascii="Arial" w:cs="Arial" w:eastAsia="Arial" w:hAnsi="Arial"/>
                <w:sz w:val="18"/>
                <w:szCs w:val="18"/>
                <w:color w:val="auto"/>
              </w:rPr>
              <w:t>BALANCE—March 30, 2008</w:t>
            </w:r>
          </w:p>
        </w:tc>
        <w:tc>
          <w:tcPr>
            <w:tcW w:w="1120" w:type="dxa"/>
            <w:vAlign w:val="bottom"/>
          </w:tcPr>
          <w:p>
            <w:pPr>
              <w:jc w:val="right"/>
              <w:spacing w:after="0"/>
              <w:rPr>
                <w:sz w:val="20"/>
                <w:szCs w:val="20"/>
                <w:color w:val="auto"/>
              </w:rPr>
            </w:pPr>
            <w:r>
              <w:rPr>
                <w:rFonts w:ascii="Arial" w:cs="Arial" w:eastAsia="Arial" w:hAnsi="Arial"/>
                <w:sz w:val="18"/>
                <w:szCs w:val="18"/>
                <w:color w:val="auto"/>
              </w:rPr>
              <w:t>10,239,458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38,091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46,428</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2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dividends</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(5,332)</w:t>
            </w: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Stock compensation expense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Vesting of restricted stock</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40"/>
              <w:spacing w:after="0"/>
              <w:rPr>
                <w:sz w:val="20"/>
                <w:szCs w:val="20"/>
                <w:color w:val="auto"/>
              </w:rPr>
            </w:pPr>
            <w:r>
              <w:rPr>
                <w:rFonts w:ascii="Arial" w:cs="Arial" w:eastAsia="Arial" w:hAnsi="Arial"/>
                <w:sz w:val="18"/>
                <w:szCs w:val="18"/>
                <w:color w:val="auto"/>
              </w:rPr>
              <w:t>Comprehensive income: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Adjustment for sale of securities, net of tax</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tcPr>
          <w:p>
            <w:pPr>
              <w:ind w:left="300"/>
              <w:spacing w:after="0"/>
              <w:rPr>
                <w:sz w:val="20"/>
                <w:szCs w:val="20"/>
                <w:color w:val="auto"/>
              </w:rPr>
            </w:pPr>
            <w:r>
              <w:rPr>
                <w:rFonts w:ascii="Arial" w:cs="Arial" w:eastAsia="Arial" w:hAnsi="Arial"/>
                <w:sz w:val="18"/>
                <w:szCs w:val="18"/>
                <w:color w:val="auto"/>
              </w:rPr>
              <w:t>Unrealized loss on post-retirement plan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liability, net of tax</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7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86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840" w:type="dxa"/>
            <w:vAlign w:val="bottom"/>
            <w:tcBorders>
              <w:bottom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23,764</w:t>
            </w:r>
          </w:p>
        </w:tc>
        <w:tc>
          <w:tcPr>
            <w:tcW w:w="26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114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23,764</w:t>
            </w:r>
          </w:p>
        </w:tc>
        <w:tc>
          <w:tcPr>
            <w:tcW w:w="12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tcPr>
          <w:p>
            <w:pPr>
              <w:ind w:left="460"/>
              <w:spacing w:after="0"/>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2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1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7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BALANCE—March 29, 2009</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10,246,458</w:t>
            </w:r>
          </w:p>
        </w:tc>
        <w:tc>
          <w:tcPr>
            <w:tcW w:w="14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38,368</w:t>
            </w:r>
          </w:p>
        </w:tc>
        <w:tc>
          <w:tcPr>
            <w:tcW w:w="240" w:type="dxa"/>
            <w:vAlign w:val="bottom"/>
            <w:shd w:val="clear" w:color="auto" w:fill="D6F3E8"/>
          </w:tcPr>
          <w:p>
            <w:pPr>
              <w:spacing w:after="0"/>
              <w:rPr>
                <w:sz w:val="20"/>
                <w:szCs w:val="20"/>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64,860</w:t>
            </w:r>
          </w:p>
        </w:tc>
        <w:tc>
          <w:tcPr>
            <w:tcW w:w="260" w:type="dxa"/>
            <w:vAlign w:val="bottom"/>
            <w:shd w:val="clear" w:color="auto" w:fill="D6F3E8"/>
          </w:tcPr>
          <w:p>
            <w:pPr>
              <w:spacing w:after="0"/>
              <w:rPr>
                <w:sz w:val="20"/>
                <w:szCs w:val="20"/>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103,730</w:t>
            </w:r>
          </w:p>
        </w:tc>
        <w:tc>
          <w:tcPr>
            <w:tcW w:w="120" w:type="dxa"/>
            <w:vAlign w:val="bottom"/>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740" w:type="dxa"/>
            <w:vAlign w:val="bottom"/>
            <w:gridSpan w:val="3"/>
          </w:tcPr>
          <w:p>
            <w:pPr>
              <w:spacing w:after="0"/>
              <w:rPr>
                <w:sz w:val="20"/>
                <w:szCs w:val="20"/>
                <w:color w:val="auto"/>
              </w:rPr>
            </w:pPr>
            <w:r>
              <w:rPr>
                <w:rFonts w:ascii="Arial" w:cs="Arial" w:eastAsia="Arial" w:hAnsi="Arial"/>
                <w:sz w:val="18"/>
                <w:szCs w:val="18"/>
                <w:color w:val="auto"/>
                <w:w w:val="95"/>
              </w:rPr>
              <w:t>See accompanying notes to financial statements.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35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87"/>
              </w:rPr>
              <w:t>Fiscal Year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March 29, 2009</w:t>
            </w:r>
          </w:p>
        </w:tc>
        <w:tc>
          <w:tcPr>
            <w:tcW w:w="120" w:type="dxa"/>
            <w:vAlign w:val="bottom"/>
          </w:tcPr>
          <w:p>
            <w:pPr>
              <w:spacing w:after="0"/>
              <w:rPr>
                <w:sz w:val="12"/>
                <w:szCs w:val="12"/>
                <w:color w:val="auto"/>
              </w:rPr>
            </w:pPr>
          </w:p>
        </w:tc>
        <w:tc>
          <w:tcPr>
            <w:tcW w:w="15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8"/>
              </w:rPr>
              <w:t>March 30, 2008</w:t>
            </w:r>
          </w:p>
        </w:tc>
        <w:tc>
          <w:tcPr>
            <w:tcW w:w="200" w:type="dxa"/>
            <w:vAlign w:val="bottom"/>
          </w:tcPr>
          <w:p>
            <w:pPr>
              <w:spacing w:after="0"/>
              <w:rPr>
                <w:sz w:val="12"/>
                <w:szCs w:val="12"/>
                <w:color w:val="auto"/>
              </w:rPr>
            </w:pPr>
          </w:p>
        </w:tc>
        <w:tc>
          <w:tcPr>
            <w:tcW w:w="11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99"/>
              </w:rPr>
              <w:t>April 1, 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23,764</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9,110</w:t>
            </w:r>
          </w:p>
        </w:tc>
        <w:tc>
          <w:tcPr>
            <w:tcW w:w="3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Reconciliation to cash flows: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5,249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3,046</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678</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0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Loss (gain) on sale of investments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00"/>
              <w:spacing w:after="0"/>
              <w:rPr>
                <w:sz w:val="20"/>
                <w:szCs w:val="20"/>
                <w:color w:val="auto"/>
              </w:rPr>
            </w:pPr>
            <w:r>
              <w:rPr>
                <w:rFonts w:ascii="Arial" w:cs="Arial" w:eastAsia="Arial" w:hAnsi="Arial"/>
                <w:sz w:val="18"/>
                <w:szCs w:val="18"/>
                <w:color w:val="auto"/>
              </w:rPr>
              <w:t>Impairment of investments</w:t>
            </w:r>
          </w:p>
        </w:tc>
        <w:tc>
          <w:tcPr>
            <w:tcW w:w="1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Loss from property disposals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00"/>
              <w:spacing w:after="0"/>
              <w:rPr>
                <w:sz w:val="20"/>
                <w:szCs w:val="20"/>
                <w:color w:val="auto"/>
              </w:rPr>
            </w:pPr>
            <w:r>
              <w:rPr>
                <w:rFonts w:ascii="Arial" w:cs="Arial" w:eastAsia="Arial" w:hAnsi="Arial"/>
                <w:sz w:val="18"/>
                <w:szCs w:val="18"/>
                <w:color w:val="auto"/>
              </w:rPr>
              <w:t>Changes in operating accounts (using) providing cash:</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Trade receivables</w:t>
            </w:r>
          </w:p>
        </w:tc>
        <w:tc>
          <w:tcPr>
            <w:tcW w:w="16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(5,095)</w:t>
            </w:r>
          </w:p>
        </w:tc>
        <w:tc>
          <w:tcPr>
            <w:tcW w:w="1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(3,010)</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(959)</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1,844</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4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top w:val="single" w:sz="8" w:color="D6F3E8"/>
            </w:tcBorders>
            <w:gridSpan w:val="2"/>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24,429</w:t>
            </w:r>
          </w:p>
        </w:tc>
        <w:tc>
          <w:tcPr>
            <w:tcW w:w="340" w:type="dxa"/>
            <w:vAlign w:val="bottom"/>
            <w:tcBorders>
              <w:top w:val="single" w:sz="8" w:color="D6F3E8"/>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12,205</w:t>
            </w:r>
          </w:p>
        </w:tc>
        <w:tc>
          <w:tcPr>
            <w:tcW w:w="340" w:type="dxa"/>
            <w:vAlign w:val="bottom"/>
            <w:tcBorders>
              <w:top w:val="single" w:sz="8" w:color="D6F3E8"/>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1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(14,211)</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(5,778)</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Sale and maturities of investments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2,841</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14,069</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Proceeds from property disposals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Payments received on notes receivable</w:t>
            </w:r>
          </w:p>
        </w:tc>
        <w:tc>
          <w:tcPr>
            <w:tcW w:w="16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Acquisition of Trumark</w:t>
            </w:r>
          </w:p>
        </w:tc>
        <w:tc>
          <w:tcPr>
            <w:tcW w:w="16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shd w:val="clear" w:color="auto" w:fill="D6F3E8"/>
          </w:tcPr>
          <w:p>
            <w:pPr>
              <w:ind w:left="62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shd w:val="clear" w:color="auto" w:fill="D6F3E8"/>
          </w:tcPr>
          <w:p>
            <w:pPr>
              <w:spacing w:after="0"/>
              <w:rPr>
                <w:sz w:val="18"/>
                <w:szCs w:val="18"/>
                <w:color w:val="auto"/>
              </w:rPr>
            </w:pP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(11,277)</w:t>
            </w:r>
          </w:p>
        </w:tc>
        <w:tc>
          <w:tcPr>
            <w:tcW w:w="34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12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2,422</w:t>
            </w:r>
          </w:p>
        </w:tc>
        <w:tc>
          <w:tcPr>
            <w:tcW w:w="340" w:type="dxa"/>
            <w:vAlign w:val="bottom"/>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6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gridSpan w:val="2"/>
            <w:shd w:val="clear" w:color="auto" w:fill="D6F3E8"/>
          </w:tcPr>
          <w:p>
            <w:pPr>
              <w:ind w:left="140"/>
              <w:spacing w:after="0"/>
              <w:rPr>
                <w:sz w:val="20"/>
                <w:szCs w:val="20"/>
                <w:color w:val="auto"/>
              </w:rPr>
            </w:pPr>
            <w:r>
              <w:rPr>
                <w:rFonts w:ascii="Arial" w:cs="Arial" w:eastAsia="Arial" w:hAnsi="Arial"/>
                <w:sz w:val="18"/>
                <w:szCs w:val="18"/>
                <w:color w:val="auto"/>
              </w:rPr>
              <w:t>Cash dividends paid</w:t>
            </w:r>
          </w:p>
        </w:tc>
        <w:tc>
          <w:tcPr>
            <w:tcW w:w="16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(4,711)</w:t>
            </w:r>
          </w:p>
        </w:tc>
        <w:tc>
          <w:tcPr>
            <w:tcW w:w="2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D6F3E8"/>
          </w:tcPr>
          <w:p>
            <w:pPr>
              <w:spacing w:after="0" w:line="20" w:lineRule="exact"/>
              <w:rPr>
                <w:sz w:val="1"/>
                <w:szCs w:val="1"/>
                <w:color w:val="auto"/>
              </w:rPr>
            </w:pPr>
          </w:p>
        </w:tc>
        <w:tc>
          <w:tcPr>
            <w:tcW w:w="578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gridSpan w:val="2"/>
          </w:tcPr>
          <w:p>
            <w:pPr>
              <w:ind w:left="6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(5,125)</w:t>
            </w:r>
          </w:p>
        </w:tc>
        <w:tc>
          <w:tcPr>
            <w:tcW w:w="12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(4,711)</w:t>
            </w: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8,027</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9,916</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5,263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21,509</w:t>
            </w:r>
          </w:p>
        </w:tc>
        <w:tc>
          <w:tcPr>
            <w:tcW w:w="3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11,593</w:t>
            </w:r>
          </w:p>
        </w:tc>
        <w:tc>
          <w:tcPr>
            <w:tcW w:w="3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6,330</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340" w:type="dxa"/>
            <w:vAlign w:val="bottom"/>
            <w:tcBorders>
              <w:bottom w:val="single" w:sz="8" w:color="D6F3E8"/>
            </w:tcBorders>
            <w:shd w:val="clear" w:color="auto" w:fill="D6F3E8"/>
          </w:tcPr>
          <w:p>
            <w:pPr>
              <w:spacing w:after="0"/>
              <w:rPr>
                <w:sz w:val="22"/>
                <w:szCs w:val="22"/>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21,509</w:t>
            </w:r>
          </w:p>
        </w:tc>
        <w:tc>
          <w:tcPr>
            <w:tcW w:w="340" w:type="dxa"/>
            <w:vAlign w:val="bottom"/>
            <w:tcBorders>
              <w:bottom w:val="single" w:sz="8" w:color="D6F3E8"/>
            </w:tcBorders>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11,593</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6620" w:type="dxa"/>
            <w:vAlign w:val="bottom"/>
            <w:gridSpan w:val="3"/>
          </w:tcPr>
          <w:p>
            <w:pPr>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D6F3E8"/>
            </w:tcBorders>
            <w:gridSpan w:val="2"/>
            <w:shd w:val="clear" w:color="auto" w:fill="D6F3E8"/>
          </w:tcPr>
          <w:p>
            <w:pPr>
              <w:ind w:left="140"/>
              <w:spacing w:after="0"/>
              <w:rPr>
                <w:sz w:val="20"/>
                <w:szCs w:val="20"/>
                <w:color w:val="auto"/>
              </w:rPr>
            </w:pPr>
            <w:r>
              <w:rPr>
                <w:rFonts w:ascii="Arial" w:cs="Arial" w:eastAsia="Arial" w:hAnsi="Arial"/>
                <w:sz w:val="18"/>
                <w:szCs w:val="18"/>
                <w:color w:val="auto"/>
              </w:rPr>
              <w:t>Cash paid during the year for income taxes</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11,588</w:t>
            </w:r>
          </w:p>
        </w:tc>
        <w:tc>
          <w:tcPr>
            <w:tcW w:w="340" w:type="dxa"/>
            <w:vAlign w:val="bottom"/>
            <w:tcBorders>
              <w:bottom w:val="single" w:sz="8" w:color="D6F3E8"/>
            </w:tcBorders>
            <w:shd w:val="clear" w:color="auto" w:fill="D6F3E8"/>
          </w:tcPr>
          <w:p>
            <w:pPr>
              <w:spacing w:after="0"/>
              <w:rPr>
                <w:sz w:val="22"/>
                <w:szCs w:val="22"/>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4,900</w:t>
            </w:r>
          </w:p>
        </w:tc>
        <w:tc>
          <w:tcPr>
            <w:tcW w:w="340" w:type="dxa"/>
            <w:vAlign w:val="bottom"/>
            <w:tcBorders>
              <w:bottom w:val="single" w:sz="8" w:color="D6F3E8"/>
            </w:tcBorders>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5,858</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600" w:type="dxa"/>
            <w:vAlign w:val="bottom"/>
            <w:gridSpan w:val="2"/>
          </w:tcPr>
          <w:p>
            <w:pPr>
              <w:ind w:left="140"/>
              <w:spacing w:after="0"/>
              <w:rPr>
                <w:sz w:val="20"/>
                <w:szCs w:val="20"/>
                <w:color w:val="auto"/>
              </w:rPr>
            </w:pPr>
            <w:r>
              <w:rPr>
                <w:rFonts w:ascii="Arial" w:cs="Arial" w:eastAsia="Arial" w:hAnsi="Arial"/>
                <w:sz w:val="18"/>
                <w:szCs w:val="18"/>
                <w:color w:val="auto"/>
              </w:rPr>
              <w:t>Noncash investing activities—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Capital expenditures in accounts payable</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1,142</w:t>
            </w:r>
          </w:p>
        </w:tc>
        <w:tc>
          <w:tcPr>
            <w:tcW w:w="340" w:type="dxa"/>
            <w:vAlign w:val="bottom"/>
            <w:tcBorders>
              <w:bottom w:val="single" w:sz="8" w:color="D6F3E8"/>
            </w:tcBorders>
            <w:shd w:val="clear" w:color="auto" w:fill="D6F3E8"/>
          </w:tcPr>
          <w:p>
            <w:pPr>
              <w:spacing w:after="0"/>
              <w:rPr>
                <w:sz w:val="22"/>
                <w:szCs w:val="22"/>
                <w:color w:val="auto"/>
              </w:rPr>
            </w:pP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D6F3E8"/>
            </w:tcBorders>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D6F3E8"/>
            </w:tcBorders>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Stock issued for acquisition of Trumark</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163" w:lineRule="exact"/>
        <w:rPr>
          <w:rFonts w:ascii="Arial" w:cs="Arial" w:eastAsia="Arial" w:hAnsi="Arial"/>
          <w:sz w:val="18"/>
          <w:szCs w:val="18"/>
          <w:b w:val="1"/>
          <w:bCs w:val="1"/>
          <w:color w:val="auto"/>
        </w:rPr>
      </w:pPr>
    </w:p>
    <w:p>
      <w:pPr>
        <w:ind w:left="580" w:right="8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Business</w:t>
      </w:r>
      <w:r>
        <w:rPr>
          <w:rFonts w:ascii="Arial" w:cs="Arial" w:eastAsia="Arial" w:hAnsi="Arial"/>
          <w:sz w:val="18"/>
          <w:szCs w:val="18"/>
          <w:color w:val="auto"/>
        </w:rPr>
        <w:t>—We have two reportable segments: Industrial and Water Treatment. The Industrial Group operates our Industrial segment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specializes in providing industrial chemicals, products and services to the agriculture, energy, electronics, food, chemical processing, pulp and paper, pharmaceutical, medical device and plating industries. The group also manufactures and sells certain food-grade products, including our patented Cheese Phos® liquid phosphate, lactates and other blended products. The Water Treatment Group operates our Water Treatment segment and specializes in providing equipment, chemicals and solutions for potable water, municipal and industrial wastewater, industrial process water and non-residential swimming pool water. The group has the resources and flexibility to treat systems ranging in size from a small single well to a multi-million gallon-per-day facility.</w:t>
      </w:r>
    </w:p>
    <w:p>
      <w:pPr>
        <w:spacing w:after="0" w:line="133" w:lineRule="exact"/>
        <w:rPr>
          <w:rFonts w:ascii="Arial" w:cs="Arial" w:eastAsia="Arial" w:hAnsi="Arial"/>
          <w:sz w:val="18"/>
          <w:szCs w:val="18"/>
          <w:b w:val="1"/>
          <w:bCs w:val="1"/>
          <w:color w:val="auto"/>
        </w:rPr>
      </w:pPr>
    </w:p>
    <w:p>
      <w:pPr>
        <w:ind w:left="580" w:right="34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—Our fiscal year is a 52/53-week year ending on the Sunday closest to March 31. The fiscal years ended March 29, 2009 (“fiscal 2009”),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30, 2008 (“fiscal 2008”) and April 1, 2007 (“fiscal 2007”) were 52-week years.</w:t>
      </w:r>
    </w:p>
    <w:p>
      <w:pPr>
        <w:spacing w:after="0" w:line="118" w:lineRule="exact"/>
        <w:rPr>
          <w:rFonts w:ascii="Arial" w:cs="Arial" w:eastAsia="Arial" w:hAnsi="Arial"/>
          <w:sz w:val="18"/>
          <w:szCs w:val="18"/>
          <w:b w:val="1"/>
          <w:bCs w:val="1"/>
          <w:color w:val="auto"/>
        </w:rPr>
      </w:pPr>
    </w:p>
    <w:p>
      <w:pPr>
        <w:ind w:left="580" w:right="380"/>
        <w:spacing w:after="0" w:line="298"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accounting principles generally accepted in the United States of America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99" w:lineRule="exact"/>
        <w:rPr>
          <w:rFonts w:ascii="Arial" w:cs="Arial" w:eastAsia="Arial" w:hAnsi="Arial"/>
          <w:sz w:val="18"/>
          <w:szCs w:val="18"/>
          <w:b w:val="1"/>
          <w:bCs w:val="1"/>
          <w:color w:val="auto"/>
        </w:rPr>
      </w:pPr>
    </w:p>
    <w:p>
      <w:pPr>
        <w:ind w:left="580" w:right="120"/>
        <w:spacing w:after="0" w:line="370"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Revenue Recognition</w:t>
      </w:r>
      <w:r>
        <w:rPr>
          <w:rFonts w:ascii="Arial" w:cs="Arial" w:eastAsia="Arial" w:hAnsi="Arial"/>
          <w:sz w:val="15"/>
          <w:szCs w:val="15"/>
          <w:color w:val="auto"/>
        </w:rPr>
        <w:t>— We recognize revenue when there is evidence that the customer has agreed to purchase the product, the price and terms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 are fixed, the product has shipped and title passes to our customer, performance has occurred, and collection of the receivable is reasonably assured.</w:t>
      </w:r>
    </w:p>
    <w:p>
      <w:pPr>
        <w:spacing w:after="0" w:line="48" w:lineRule="exact"/>
        <w:rPr>
          <w:rFonts w:ascii="Arial" w:cs="Arial" w:eastAsia="Arial" w:hAnsi="Arial"/>
          <w:sz w:val="18"/>
          <w:szCs w:val="18"/>
          <w:b w:val="1"/>
          <w:bCs w:val="1"/>
          <w:color w:val="auto"/>
        </w:rPr>
      </w:pPr>
    </w:p>
    <w:p>
      <w:pPr>
        <w:ind w:left="580" w:right="36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Shipping and Handling</w:t>
      </w:r>
      <w:r>
        <w:rPr>
          <w:rFonts w:ascii="Arial" w:cs="Arial" w:eastAsia="Arial" w:hAnsi="Arial"/>
          <w:sz w:val="18"/>
          <w:szCs w:val="18"/>
          <w:i w:val="1"/>
          <w:iCs w:val="1"/>
          <w:color w:val="auto"/>
        </w:rPr>
        <w:t>—</w:t>
      </w:r>
      <w:r>
        <w:rPr>
          <w:rFonts w:ascii="Arial" w:cs="Arial" w:eastAsia="Arial" w:hAnsi="Arial"/>
          <w:sz w:val="18"/>
          <w:szCs w:val="18"/>
          <w:color w:val="auto"/>
        </w:rPr>
        <w:t>All shipping and handling amounts billed to customers are included in revenues. Costs incurred related to the shipping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costs of sales.</w:t>
      </w:r>
    </w:p>
    <w:p>
      <w:pPr>
        <w:spacing w:after="0" w:line="118" w:lineRule="exact"/>
        <w:rPr>
          <w:rFonts w:ascii="Arial" w:cs="Arial" w:eastAsia="Arial" w:hAnsi="Arial"/>
          <w:sz w:val="18"/>
          <w:szCs w:val="18"/>
          <w:b w:val="1"/>
          <w:bCs w:val="1"/>
          <w:color w:val="auto"/>
        </w:rPr>
      </w:pPr>
    </w:p>
    <w:p>
      <w:pPr>
        <w:ind w:left="580" w:right="42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—Cash equivalents include all liquid debt instruments (primarily cash funds, money market accounts and certificates of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with an original maturity of three months or less. The balances maintained at financial institutions may, at times, exceed federally insured limits.</w:t>
      </w:r>
    </w:p>
    <w:p>
      <w:pPr>
        <w:spacing w:after="0" w:line="126" w:lineRule="exact"/>
        <w:rPr>
          <w:rFonts w:ascii="Arial" w:cs="Arial" w:eastAsia="Arial" w:hAnsi="Arial"/>
          <w:sz w:val="18"/>
          <w:szCs w:val="18"/>
          <w:b w:val="1"/>
          <w:bCs w:val="1"/>
          <w:color w:val="auto"/>
        </w:rPr>
      </w:pPr>
    </w:p>
    <w:p>
      <w:pPr>
        <w:ind w:left="580" w:right="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Held-to-maturity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 of debt securities, which we held to maturity and were valued at amortized historical cost. No held-to-maturity securities existed at March 29, 2009. Held-to-maturity securities with a market value of $261,000 were classified as non-current at March 30, 2008.</w:t>
      </w:r>
    </w:p>
    <w:p>
      <w:pPr>
        <w:spacing w:after="0" w:line="126" w:lineRule="exact"/>
        <w:rPr>
          <w:rFonts w:ascii="Arial" w:cs="Arial" w:eastAsia="Arial" w:hAnsi="Arial"/>
          <w:sz w:val="18"/>
          <w:szCs w:val="18"/>
          <w:b w:val="1"/>
          <w:bCs w:val="1"/>
          <w:color w:val="auto"/>
        </w:rPr>
      </w:pPr>
    </w:p>
    <w:p>
      <w:pPr>
        <w:ind w:left="580" w:right="40"/>
        <w:spacing w:after="0" w:line="294" w:lineRule="auto"/>
        <w:rPr>
          <w:rFonts w:ascii="Arial" w:cs="Arial" w:eastAsia="Arial" w:hAnsi="Arial"/>
          <w:sz w:val="18"/>
          <w:szCs w:val="18"/>
          <w:b w:val="1"/>
          <w:bCs w:val="1"/>
          <w:color w:val="auto"/>
        </w:rPr>
      </w:pPr>
      <w:r>
        <w:rPr>
          <w:rFonts w:ascii="Arial" w:cs="Arial" w:eastAsia="Arial" w:hAnsi="Arial"/>
          <w:sz w:val="16"/>
          <w:szCs w:val="16"/>
          <w:i w:val="1"/>
          <w:iCs w:val="1"/>
          <w:color w:val="auto"/>
        </w:rPr>
        <w:t xml:space="preserve">Available-for-sale securities </w:t>
      </w:r>
      <w:r>
        <w:rPr>
          <w:rFonts w:ascii="Arial" w:cs="Arial" w:eastAsia="Arial" w:hAnsi="Arial"/>
          <w:sz w:val="16"/>
          <w:szCs w:val="16"/>
          <w:color w:val="auto"/>
        </w:rPr>
        <w:t>consist of debt securities that were held for indefinite periods of time, including securities that were sold in response to</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market interest or prepayment rates, needs for liquidity, or changes in the availability or yield of alternative investments. These securities were valued at current market value, with the resulting unrealized holding gains and losses excluded from earnings and reported, net of tax, as a separate component of shareholders’ equity until realized. No available-for-sale securities existed at March 29, 2009, while available-for-sale-securities with a market value of $329,000 were classified as non-current at March 30, 2008.</w:t>
      </w:r>
    </w:p>
    <w:p>
      <w:pPr>
        <w:spacing w:after="0" w:line="102" w:lineRule="exact"/>
        <w:rPr>
          <w:rFonts w:ascii="Arial" w:cs="Arial" w:eastAsia="Arial" w:hAnsi="Arial"/>
          <w:sz w:val="18"/>
          <w:szCs w:val="18"/>
          <w:b w:val="1"/>
          <w:bCs w:val="1"/>
          <w:color w:val="auto"/>
        </w:rPr>
      </w:pPr>
    </w:p>
    <w:p>
      <w:pPr>
        <w:ind w:left="5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All securities with gross unrealized losses were subjected to our process for identifying other-than-temporary impairments. We wrote down to fair value securities that we deem to be other-than-temporarily impaired in the period the securities were deemed to be impaired. The initial indicator of impairment was a sustained decline in market price below the amortized cost of the investment. On a case-by-case basis, we considered the length of time and the extent to which market value had been less than cost, the cause of the price decline, the extent to which the price decline was due to the general level of interest rates or other issuer-specific factors, the issuer’s financial condition and ability to make future payments in a timely manner, and our investment horizon. As of April 1, 2007, an aggregate loss of $311,000, including $31,000 recorded during fiscal 2007, was recorded due to a decline in market value of a mutual fund that was deemed other than temporary. In fiscal 2008, we sold the mutual fund and recognized a gain of $245,000. We do not engage in trading activities.</w:t>
      </w:r>
    </w:p>
    <w:p>
      <w:pPr>
        <w:spacing w:after="0" w:line="104" w:lineRule="exact"/>
        <w:rPr>
          <w:rFonts w:ascii="Arial" w:cs="Arial" w:eastAsia="Arial" w:hAnsi="Arial"/>
          <w:sz w:val="18"/>
          <w:szCs w:val="18"/>
          <w:b w:val="1"/>
          <w:bCs w:val="1"/>
          <w:color w:val="auto"/>
        </w:rPr>
      </w:pPr>
    </w:p>
    <w:p>
      <w:pPr>
        <w:ind w:left="580" w:right="4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 The cost of the March 29, 2009 inventory balance of $1,890,000, classified as held for sale, and the March 30, 2008 inventory balance of $2,258,000 related to the discontinued operations of the Pharmaceutical Segment was determined using the first-in, first-out (FIFO) method.</w:t>
      </w:r>
    </w:p>
    <w:p>
      <w:pPr>
        <w:spacing w:after="0" w:line="129" w:lineRule="exact"/>
        <w:rPr>
          <w:rFonts w:ascii="Arial" w:cs="Arial" w:eastAsia="Arial" w:hAnsi="Arial"/>
          <w:sz w:val="18"/>
          <w:szCs w:val="18"/>
          <w:b w:val="1"/>
          <w:bCs w:val="1"/>
          <w:color w:val="auto"/>
        </w:rPr>
      </w:pPr>
    </w:p>
    <w:p>
      <w:pPr>
        <w:ind w:left="580" w:right="40"/>
        <w:spacing w:after="0" w:line="30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Property, Plant and Equipment</w:t>
      </w:r>
      <w:r>
        <w:rPr>
          <w:rFonts w:ascii="Arial" w:cs="Arial" w:eastAsia="Arial" w:hAnsi="Arial"/>
          <w:sz w:val="16"/>
          <w:szCs w:val="16"/>
          <w:color w:val="auto"/>
        </w:rPr>
        <w:t>—Property is stated at cost and depreciated or amortized over the lives of the assets, using both straight-line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declining-balance methods. Estimated lives are: 10 to 40 years for buildings and improvements; 3 to 20 years for machinery and equipment; 3 to 10 years for transportation equipment; and 3 to 10 years for office furniture and equipment including computer systems.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or asset group may not be recoverable, such as prolonged industry downturn or significant reductions in projected future cash flows.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would be measured by which the carrying value exceeds the fair value of the long-lived assets. The measurement of impairment requires us to estimate future cash flows and the fair value of long-lived assets. No material long-lived assets were determined to be impaired during fiscal 2009, 2008, or 2007.</w:t>
      </w:r>
    </w:p>
    <w:p>
      <w:pPr>
        <w:spacing w:after="0" w:line="1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Goodwill and Identifiable Intangible Assets</w:t>
      </w:r>
      <w:r>
        <w:rPr>
          <w:rFonts w:ascii="Arial" w:cs="Arial" w:eastAsia="Arial" w:hAnsi="Arial"/>
          <w:sz w:val="16"/>
          <w:szCs w:val="16"/>
          <w:color w:val="auto"/>
        </w:rPr>
        <w:t>— Goodwill represents the excess of the cost of acquired businesses over the fair value of identifiable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tangible net assets and 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3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primary identifiable intangible assets include customer lists, trade secrets, non-compete agreements, trademarks, and trade names acquired in previous business acquisitions. Under the provisions of Statements of Financial Accounting Standards (SFAS) No. 142, “Goodwill and Other Intangible Assets,” identifiable intangibles with finite lives are amortized and those identifiable intangibles with indefinite lives are not amortized. The values assigned to the intangible assets with finite lives are being amortized on average over approximately 12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w:t>
      </w:r>
    </w:p>
    <w:p>
      <w:pPr>
        <w:spacing w:after="0" w:line="10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completed step one of our annual goodwill impairment evaluation during the fourth quarter of fiscal 2009 with the reporting unit’s fair value exceeding its carrying value. Accordingly, step two of the impairment analysis was not required. We also completed an impairment test of intangible assets not subject to amortization during the fourth quarter, in which the fair value exceeded the carrying amount. Additionally, no impairment charges were required for fiscal 2008 or 2007.</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—We follow SFAS No. 109, “Accounting for Income Taxes.” In the preparation of our financial statements, management calculates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accordance with Financial Accounting Standards Board (FASB) Interpretation (FIN) No. 48, “Accounting for Uncertainty in Income Taxes,” we recognize the effect of income tax positions only if those positions are more likely than not of being sustained. Changes in recognition or measurement are reflected in the period in which the change in judgment occurs.</w:t>
      </w:r>
    </w:p>
    <w:p>
      <w:pPr>
        <w:spacing w:after="0" w:line="19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23" w:name="page24"/>
    <w:bookmarkEnd w:id="23"/>
    <w:p>
      <w:pPr>
        <w:ind w:right="640"/>
        <w:spacing w:after="0" w:line="332" w:lineRule="auto"/>
        <w:rPr>
          <w:sz w:val="20"/>
          <w:szCs w:val="20"/>
          <w:color w:val="auto"/>
        </w:rPr>
      </w:pPr>
      <w:r>
        <w:rPr>
          <w:rFonts w:ascii="Arial" w:cs="Arial" w:eastAsia="Arial" w:hAnsi="Arial"/>
          <w:sz w:val="16"/>
          <w:szCs w:val="16"/>
          <w:color w:val="auto"/>
        </w:rPr>
        <w:t>We are subject to U.S. federal income tax as well as income tax of multiple state jurisdictions. The tax years beginning with 2005 remain open to examination by the Internal Revenue Service, and with few exceptions, state and local income tax jurisdictions.</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account for the fair value recognition provisions of SFAS No. 123R (revised 2004), “Share Based Payment.” SFAS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123R which revised SFAS No. 123, “Accounting for Stock-Based Compensation (SFAS No. 123)” and supercedes Accounting Principles Board Opinion No. 25, “Accounting for Stock Issued to Employees (APB 25)” requiring us to recognize expense related to the fair value of our stock-based compensation awards.</w:t>
      </w:r>
    </w:p>
    <w:p>
      <w:pPr>
        <w:spacing w:after="0" w:line="130"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In accordance with SFAS 123R, the estimated grant date fair value of each stock-based award is recognized in expense on an accelerated basis over the requisite service period (generally the vesting period). The estimated fair value of each option is calculated using the Black-Scholes option-pricing model. Non-vested share awards are recorded as compensation expense over the requisite service periods based on the market value on the date of grant.</w:t>
      </w:r>
    </w:p>
    <w:p>
      <w:pPr>
        <w:spacing w:after="0" w:line="7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Earnings Per Share</w:t>
      </w:r>
      <w:r>
        <w:rPr>
          <w:rFonts w:ascii="Arial" w:cs="Arial" w:eastAsia="Arial" w:hAnsi="Arial"/>
          <w:sz w:val="16"/>
          <w:szCs w:val="16"/>
          <w:i w:val="1"/>
          <w:iCs w:val="1"/>
          <w:color w:val="auto"/>
        </w:rPr>
        <w:t>—</w:t>
      </w:r>
      <w:r>
        <w:rPr>
          <w:rFonts w:ascii="Arial" w:cs="Arial" w:eastAsia="Arial" w:hAnsi="Arial"/>
          <w:sz w:val="16"/>
          <w:szCs w:val="16"/>
          <w:color w:val="auto"/>
        </w:rPr>
        <w:t>Basic earnings per share (EPS) are computed by dividing net earnings by the weighted-average number of common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March 29, 2009</w:t>
            </w:r>
          </w:p>
        </w:tc>
        <w:tc>
          <w:tcPr>
            <w:tcW w:w="320" w:type="dxa"/>
            <w:vAlign w:val="bottom"/>
          </w:tcPr>
          <w:p>
            <w:pPr>
              <w:spacing w:after="0"/>
              <w:rPr>
                <w:sz w:val="14"/>
                <w:szCs w:val="14"/>
                <w:color w:val="auto"/>
              </w:rPr>
            </w:pP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March 30, 2008</w:t>
            </w:r>
          </w:p>
        </w:tc>
        <w:tc>
          <w:tcPr>
            <w:tcW w:w="320" w:type="dxa"/>
            <w:vAlign w:val="bottom"/>
          </w:tcPr>
          <w:p>
            <w:pPr>
              <w:spacing w:after="0"/>
              <w:rPr>
                <w:sz w:val="14"/>
                <w:szCs w:val="14"/>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April 1, 2007</w:t>
            </w:r>
          </w:p>
        </w:tc>
        <w:tc>
          <w:tcPr>
            <w:tcW w:w="12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spacing w:after="0"/>
              <w:rPr>
                <w:sz w:val="12"/>
                <w:szCs w:val="12"/>
                <w:color w:val="auto"/>
              </w:rPr>
            </w:pPr>
          </w:p>
        </w:tc>
        <w:tc>
          <w:tcPr>
            <w:tcW w:w="1320" w:type="dxa"/>
            <w:vAlign w:val="bottom"/>
            <w:gridSpan w:val="2"/>
          </w:tcPr>
          <w:p>
            <w:pPr>
              <w:spacing w:after="0"/>
              <w:rPr>
                <w:sz w:val="12"/>
                <w:szCs w:val="12"/>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10,243,970</w:t>
            </w:r>
          </w:p>
        </w:tc>
        <w:tc>
          <w:tcPr>
            <w:tcW w:w="32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10,213,225</w:t>
            </w: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10,171,496</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5,057</w:t>
            </w:r>
          </w:p>
        </w:tc>
        <w:tc>
          <w:tcPr>
            <w:tcW w:w="32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1,162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r>
      <w:tr>
        <w:trPr>
          <w:trHeight w:val="250"/>
        </w:trPr>
        <w:tc>
          <w:tcPr>
            <w:tcW w:w="64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10,249,027</w:t>
            </w:r>
          </w:p>
        </w:tc>
        <w:tc>
          <w:tcPr>
            <w:tcW w:w="320" w:type="dxa"/>
            <w:vAlign w:val="bottom"/>
            <w:tcBorders>
              <w:bottom w:val="single" w:sz="8" w:color="D6F3E8"/>
            </w:tcBorders>
            <w:shd w:val="clear" w:color="auto" w:fill="D6F3E8"/>
          </w:tcPr>
          <w:p>
            <w:pPr>
              <w:spacing w:after="0"/>
              <w:rPr>
                <w:sz w:val="21"/>
                <w:szCs w:val="21"/>
                <w:color w:val="auto"/>
              </w:rPr>
            </w:pP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10,214,387</w:t>
            </w:r>
          </w:p>
        </w:tc>
        <w:tc>
          <w:tcPr>
            <w:tcW w:w="320" w:type="dxa"/>
            <w:vAlign w:val="bottom"/>
            <w:tcBorders>
              <w:bottom w:val="single" w:sz="8" w:color="D6F3E8"/>
            </w:tcBorders>
            <w:shd w:val="clear" w:color="auto" w:fill="D6F3E8"/>
          </w:tcPr>
          <w:p>
            <w:pPr>
              <w:spacing w:after="0"/>
              <w:rPr>
                <w:sz w:val="21"/>
                <w:szCs w:val="21"/>
                <w:color w:val="auto"/>
              </w:rPr>
            </w:pP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10,173,719</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For fiscal 2009, 61,332 stock options were excluded from the calculation of weighted average shares for diluted EPS because their effects were antidilutive. There were no stock options outstanding during fiscal 2008 and 2007.</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Concentrations of Credit Risk</w:t>
      </w:r>
      <w:r>
        <w:rPr>
          <w:rFonts w:ascii="Arial" w:cs="Arial" w:eastAsia="Arial" w:hAnsi="Arial"/>
          <w:sz w:val="16"/>
          <w:szCs w:val="16"/>
          <w:color w:val="auto"/>
        </w:rPr>
        <w:t>—Financial instruments, which potentially subject us to a concentration of credit risk, principally consist of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We sell our principal products to a large number of customers in many different industries. There are no concentrations of business transacted with a particular customer or sales from a particular service or geographic area that would significantly impact us in the near term. To reduce credit risk, we routinely assess the financial strength of our customers. We invest our excess cash balances at times in certificate of deposits with original maturities of three months or less and a money market account at two separate financial institutions.</w:t>
      </w:r>
    </w:p>
    <w:p>
      <w:pPr>
        <w:spacing w:after="0" w:line="1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i w:val="1"/>
          <w:iCs w:val="1"/>
          <w:color w:val="auto"/>
        </w:rPr>
        <w:t>Derivative Instruments and Hedging Activities</w:t>
      </w:r>
      <w:r>
        <w:rPr>
          <w:rFonts w:ascii="Arial" w:cs="Arial" w:eastAsia="Arial" w:hAnsi="Arial"/>
          <w:sz w:val="16"/>
          <w:szCs w:val="16"/>
          <w:color w:val="auto"/>
        </w:rPr>
        <w:t>—We follow SFAS No. 133, “Accounting for Derivative Instruments and Hedging Activities,”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by SFAS No. 138, “Accounting for Certain Derivative Instruments and Certain Hedging Activities.” SFAS 133 establishes accounting and reporting standards for derivative instruments and for hedging activities. It requires that all derivatives, including those embedded in other contracts, be recognized as either assets or liabilities and that those financial instruments be measured at fair value. The accounting for changes in the fair value of derivatives depends on their intended use and designation. Management has reviewed the requirements of SFAS 133 and has determined that we have no freestanding or embedded derivatives. All contracts that contain provisions meeting the definition of a derivative also meet the requirements of, and have been designated as, normal purchases and sales. Our policy is to not use freestanding derivatives and to not enter into contracts with terms that cannot be designated as normal purchases or sales.</w:t>
      </w:r>
    </w:p>
    <w:p>
      <w:pPr>
        <w:spacing w:after="0" w:line="1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i w:val="1"/>
          <w:iCs w:val="1"/>
          <w:color w:val="auto"/>
        </w:rPr>
        <w:t>Accounting Pronouncements</w:t>
      </w:r>
      <w:r>
        <w:rPr>
          <w:rFonts w:ascii="Arial" w:cs="Arial" w:eastAsia="Arial" w:hAnsi="Arial"/>
          <w:sz w:val="16"/>
          <w:szCs w:val="16"/>
          <w:color w:val="auto"/>
        </w:rPr>
        <w:t>— In September 2006, the FASB issued SFAS No. 157, “Fair Value Measurements.” This statement defines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establishes a consistent framework for measuring fair value, and expands disclosures on fair value measurements. This Statement applies to other accounting pronouncements that require or permit fair value measurements, the FASB having previously concluded in those accounting pronouncements that fair value is the relevant measurement attribute. Accordingly, this Statement does not require any new fair value measurements. We adopted SFAS 157 at the beginning of the first quarter of fiscal 2009 for financial assets and liabilities, and the adoption had no impact on our results of operations and financial condition. The application of the Statement to the determination of fair value of nonfinancial assets and liabilities that are recognized or disclosed on a nonrecurring basis is effective for fiscal years beginning after November 15, 2008. We do not expect there to be a material impact upon the adoption of this Statement in regards to nonfinancial assets and liabilities.</w:t>
      </w:r>
    </w:p>
    <w:p>
      <w:pPr>
        <w:spacing w:after="0" w:line="172"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40"/>
          </w:cols>
          <w:pgMar w:left="820" w:top="145" w:right="239" w:bottom="1440" w:gutter="0" w:footer="0" w:header="0"/>
        </w:sectPr>
      </w:pPr>
    </w:p>
    <w:bookmarkStart w:id="24" w:name="page25"/>
    <w:bookmarkEnd w:id="24"/>
    <w:p>
      <w:pPr>
        <w:ind w:left="572" w:right="20"/>
        <w:spacing w:after="0" w:line="290" w:lineRule="auto"/>
        <w:rPr>
          <w:sz w:val="20"/>
          <w:szCs w:val="20"/>
          <w:color w:val="auto"/>
        </w:rPr>
      </w:pPr>
      <w:r>
        <w:rPr>
          <w:rFonts w:ascii="Arial" w:cs="Arial" w:eastAsia="Arial" w:hAnsi="Arial"/>
          <w:sz w:val="16"/>
          <w:szCs w:val="16"/>
          <w:color w:val="auto"/>
        </w:rPr>
        <w:t>SFAS 157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and Level 3 inputs are unobservable inputs based upon our own assumptions used to measure assets and liabilities at fair value. A financial asset or liability’s classification within the hierarchy is determined based on the lowest level of input that is significant to the fair value measurement. As of March 29, 2009, our financial assets that are measured at fair value on a recurring basis are money markets, which fall under valuation techniques Level 1. The carrying value of money market accounts approximates fair value.</w:t>
      </w:r>
    </w:p>
    <w:p>
      <w:pPr>
        <w:spacing w:after="0" w:line="99" w:lineRule="exact"/>
        <w:rPr>
          <w:sz w:val="20"/>
          <w:szCs w:val="20"/>
          <w:color w:val="auto"/>
        </w:rPr>
      </w:pPr>
    </w:p>
    <w:p>
      <w:pPr>
        <w:ind w:left="572" w:hanging="572"/>
        <w:spacing w:after="0"/>
        <w:tabs>
          <w:tab w:leader="none" w:pos="5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63" w:lineRule="exact"/>
        <w:rPr>
          <w:rFonts w:ascii="Arial" w:cs="Arial" w:eastAsia="Arial" w:hAnsi="Arial"/>
          <w:sz w:val="18"/>
          <w:szCs w:val="18"/>
          <w:b w:val="1"/>
          <w:bCs w:val="1"/>
          <w:color w:val="auto"/>
        </w:rPr>
      </w:pPr>
    </w:p>
    <w:p>
      <w:pPr>
        <w:ind w:left="572"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May 15, 2007, we signed an asset purchase agreement with Trumark, Inc., Trumark Ltd., Profloc Inc. (collectively “Trumark”), which produces antimicrobial products for the food industry, and the shareholders of each entity, under which we agreed to acquire substantially all of the assets of the entities and assume certain operating liabilities for cash of approximately $5,963,000 and Hawkins stock of $588,000. On May 31, 2007, we completed the acquisition. The acquired business is included in our Industrial segment.</w:t>
      </w:r>
    </w:p>
    <w:p>
      <w:pPr>
        <w:spacing w:after="0" w:line="129" w:lineRule="exact"/>
        <w:rPr>
          <w:rFonts w:ascii="Arial" w:cs="Arial" w:eastAsia="Arial" w:hAnsi="Arial"/>
          <w:sz w:val="18"/>
          <w:szCs w:val="18"/>
          <w:b w:val="1"/>
          <w:bCs w:val="1"/>
          <w:color w:val="auto"/>
        </w:rPr>
      </w:pPr>
    </w:p>
    <w:p>
      <w:pPr>
        <w:jc w:val="both"/>
        <w:ind w:left="572" w:right="1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assets acquired consist of assets used by Trumark to operate its business, including intellectual property, manufacturing equipment and inventories. We funded the cash portion of the transaction with existing cash and issued new shares of common stock. The purchase price allocation was as follows:</w:t>
      </w:r>
    </w:p>
    <w:p>
      <w:pPr>
        <w:spacing w:after="0" w:line="165"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9500" w:type="dxa"/>
            <w:vAlign w:val="bottom"/>
            <w:shd w:val="clear" w:color="auto" w:fill="D6F3E8"/>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1,115,000</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265,000</w:t>
            </w:r>
          </w:p>
        </w:tc>
        <w:tc>
          <w:tcPr>
            <w:tcW w:w="120" w:type="dxa"/>
            <w:vAlign w:val="bottom"/>
          </w:tcPr>
          <w:p>
            <w:pPr>
              <w:spacing w:after="0"/>
              <w:rPr>
                <w:sz w:val="18"/>
                <w:szCs w:val="18"/>
                <w:color w:val="auto"/>
              </w:rPr>
            </w:pPr>
          </w:p>
        </w:tc>
      </w:tr>
      <w:tr>
        <w:trPr>
          <w:trHeight w:val="216"/>
        </w:trPr>
        <w:tc>
          <w:tcPr>
            <w:tcW w:w="950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259,000</w:t>
            </w:r>
          </w:p>
        </w:tc>
        <w:tc>
          <w:tcPr>
            <w:tcW w:w="120" w:type="dxa"/>
            <w:vAlign w:val="bottom"/>
            <w:shd w:val="clear" w:color="auto" w:fill="D6F3E8"/>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r>
      <w:tr>
        <w:trPr>
          <w:trHeight w:val="216"/>
        </w:trPr>
        <w:tc>
          <w:tcPr>
            <w:tcW w:w="9500" w:type="dxa"/>
            <w:vAlign w:val="bottom"/>
            <w:shd w:val="clear" w:color="auto" w:fill="D6F3E8"/>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2,058,000</w:t>
            </w:r>
          </w:p>
        </w:tc>
        <w:tc>
          <w:tcPr>
            <w:tcW w:w="120" w:type="dxa"/>
            <w:vAlign w:val="bottom"/>
            <w:shd w:val="clear" w:color="auto" w:fill="D6F3E8"/>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1,227,000</w:t>
            </w:r>
          </w:p>
        </w:tc>
        <w:tc>
          <w:tcPr>
            <w:tcW w:w="120" w:type="dxa"/>
            <w:vAlign w:val="bottom"/>
          </w:tcPr>
          <w:p>
            <w:pPr>
              <w:spacing w:after="0"/>
              <w:rPr>
                <w:sz w:val="18"/>
                <w:szCs w:val="18"/>
                <w:color w:val="auto"/>
              </w:rPr>
            </w:pPr>
          </w:p>
        </w:tc>
      </w:tr>
      <w:tr>
        <w:trPr>
          <w:trHeight w:val="216"/>
        </w:trPr>
        <w:tc>
          <w:tcPr>
            <w:tcW w:w="9500" w:type="dxa"/>
            <w:vAlign w:val="bottom"/>
            <w:shd w:val="clear" w:color="auto" w:fill="D6F3E8"/>
          </w:tcPr>
          <w:p>
            <w:pPr>
              <w:spacing w:after="0"/>
              <w:rPr>
                <w:sz w:val="20"/>
                <w:szCs w:val="20"/>
                <w:color w:val="auto"/>
              </w:rPr>
            </w:pPr>
            <w:r>
              <w:rPr>
                <w:rFonts w:ascii="Arial" w:cs="Arial" w:eastAsia="Arial" w:hAnsi="Arial"/>
                <w:sz w:val="18"/>
                <w:szCs w:val="18"/>
                <w:color w:val="auto"/>
              </w:rPr>
              <w:t>Trade secrets</w:t>
            </w:r>
          </w:p>
        </w:tc>
        <w:tc>
          <w:tcPr>
            <w:tcW w:w="3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862,000</w:t>
            </w:r>
          </w:p>
        </w:tc>
        <w:tc>
          <w:tcPr>
            <w:tcW w:w="120" w:type="dxa"/>
            <w:vAlign w:val="bottom"/>
            <w:shd w:val="clear" w:color="auto" w:fill="D6F3E8"/>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Non-compete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162,000</w:t>
            </w:r>
          </w:p>
        </w:tc>
        <w:tc>
          <w:tcPr>
            <w:tcW w:w="120" w:type="dxa"/>
            <w:vAlign w:val="bottom"/>
          </w:tcPr>
          <w:p>
            <w:pPr>
              <w:spacing w:after="0"/>
              <w:rPr>
                <w:sz w:val="18"/>
                <w:szCs w:val="18"/>
                <w:color w:val="auto"/>
              </w:rPr>
            </w:pPr>
          </w:p>
        </w:tc>
      </w:tr>
      <w:tr>
        <w:trPr>
          <w:trHeight w:val="216"/>
        </w:trPr>
        <w:tc>
          <w:tcPr>
            <w:tcW w:w="9500" w:type="dxa"/>
            <w:vAlign w:val="bottom"/>
            <w:shd w:val="clear" w:color="auto" w:fill="D6F3E8"/>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1,204,000</w:t>
            </w:r>
          </w:p>
        </w:tc>
        <w:tc>
          <w:tcPr>
            <w:tcW w:w="120" w:type="dxa"/>
            <w:vAlign w:val="bottom"/>
            <w:shd w:val="clear" w:color="auto" w:fill="D6F3E8"/>
          </w:tcPr>
          <w:p>
            <w:pPr>
              <w:spacing w:after="0"/>
              <w:rPr>
                <w:sz w:val="18"/>
                <w:szCs w:val="18"/>
                <w:color w:val="auto"/>
              </w:rPr>
            </w:pP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(611,000)</w:t>
            </w:r>
          </w:p>
        </w:tc>
      </w:tr>
      <w:tr>
        <w:trPr>
          <w:trHeight w:val="250"/>
        </w:trPr>
        <w:tc>
          <w:tcPr>
            <w:tcW w:w="95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6,551,000</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72" w:right="280"/>
        <w:spacing w:after="0" w:line="268" w:lineRule="auto"/>
        <w:rPr>
          <w:sz w:val="20"/>
          <w:szCs w:val="20"/>
          <w:color w:val="auto"/>
        </w:rPr>
      </w:pPr>
      <w:r>
        <w:rPr>
          <w:rFonts w:ascii="Arial" w:cs="Arial" w:eastAsia="Arial" w:hAnsi="Arial"/>
          <w:sz w:val="18"/>
          <w:szCs w:val="18"/>
          <w:color w:val="auto"/>
        </w:rPr>
        <w:t>The operations of Trumark are included in our statement of income beginning on June 1, 2007. The proforma effect of this acquisition on prior period sales, operating income, and earnings per share was not significant.</w:t>
      </w:r>
    </w:p>
    <w:p>
      <w:pPr>
        <w:spacing w:after="0" w:line="112" w:lineRule="exact"/>
        <w:rPr>
          <w:sz w:val="20"/>
          <w:szCs w:val="20"/>
          <w:color w:val="auto"/>
        </w:rPr>
      </w:pPr>
    </w:p>
    <w:p>
      <w:pPr>
        <w:ind w:left="572" w:hanging="572"/>
        <w:spacing w:after="0"/>
        <w:tabs>
          <w:tab w:leader="none" w:pos="5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63" w:lineRule="exact"/>
        <w:rPr>
          <w:rFonts w:ascii="Arial" w:cs="Arial" w:eastAsia="Arial" w:hAnsi="Arial"/>
          <w:sz w:val="18"/>
          <w:szCs w:val="18"/>
          <w:b w:val="1"/>
          <w:bCs w:val="1"/>
          <w:color w:val="auto"/>
        </w:rPr>
      </w:pPr>
    </w:p>
    <w:p>
      <w:pPr>
        <w:ind w:left="572"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February 2009, we entered into two agreements whereby we agreed to sell our inventory and enter into a marketing relationship regarding the business of our Pharmaceutical segment, which provided pharmaceutical chemicals to retail pharmacies and small-scale pharmaceutical manufacturers. On May 22, 2009 the majority of the inventory was sold for cash of approximately $1,600,000 which approximated its carrying value. The remaining inventory, with a carrying value of approximately $120,000, is expected to be sold during fiscal 2010. The agreements provide for annual payments based on a percentage of gross profit on future sales up to a maximum of approximately $3,700,000. We have no significant obligations to fulfill under the agreements. Amounts received in excess of approximately $1,800,000, the carrying value of our customer list and other assets, will be recorded as a gain on sale of discontinued operations in future periods. The results of the Pharmaceutical segment have been reported as discontinued operations for all periods presented. The Pharmaceutical segment inventories as of March 29, 2009 have been classified as held for sale.</w:t>
      </w:r>
    </w:p>
    <w:p>
      <w:pPr>
        <w:spacing w:after="0" w:line="98" w:lineRule="exact"/>
        <w:rPr>
          <w:rFonts w:ascii="Arial" w:cs="Arial" w:eastAsia="Arial" w:hAnsi="Arial"/>
          <w:sz w:val="18"/>
          <w:szCs w:val="18"/>
          <w:b w:val="1"/>
          <w:bCs w:val="1"/>
          <w:color w:val="auto"/>
        </w:rPr>
      </w:pPr>
    </w:p>
    <w:p>
      <w:pPr>
        <w:ind w:left="572" w:hanging="572"/>
        <w:spacing w:after="0"/>
        <w:tabs>
          <w:tab w:leader="none" w:pos="5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63" w:lineRule="exact"/>
        <w:rPr>
          <w:rFonts w:ascii="Arial" w:cs="Arial" w:eastAsia="Arial" w:hAnsi="Arial"/>
          <w:sz w:val="18"/>
          <w:szCs w:val="18"/>
          <w:b w:val="1"/>
          <w:bCs w:val="1"/>
          <w:color w:val="auto"/>
        </w:rPr>
      </w:pPr>
    </w:p>
    <w:p>
      <w:pPr>
        <w:ind w:left="57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had no investment securities as of March 29, 2009. The amortized cost and fair value of investment securities available-for-sale as of March 30, 2008, were as follows:</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25" w:name="page26"/>
    <w:bookmarkEnd w:id="25"/>
    <w:tbl>
      <w:tblPr>
        <w:tblLayout w:type="fixed"/>
        <w:tblInd w:w="572"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March 30, 2008</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12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5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Fair</w:t>
            </w:r>
          </w:p>
        </w:tc>
      </w:tr>
      <w:tr>
        <w:trPr>
          <w:trHeight w:val="161"/>
        </w:trPr>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Value</w:t>
            </w:r>
          </w:p>
        </w:tc>
      </w:tr>
      <w:tr>
        <w:trPr>
          <w:trHeight w:val="142"/>
        </w:trPr>
        <w:tc>
          <w:tcPr>
            <w:tcW w:w="5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740" w:type="dxa"/>
            <w:vAlign w:val="bottom"/>
            <w:shd w:val="clear" w:color="auto" w:fill="D6F3E8"/>
          </w:tcPr>
          <w:p>
            <w:pPr>
              <w:spacing w:after="0"/>
              <w:rPr>
                <w:sz w:val="20"/>
                <w:szCs w:val="20"/>
                <w:color w:val="auto"/>
              </w:rPr>
            </w:pPr>
            <w:r>
              <w:rPr>
                <w:rFonts w:ascii="Arial" w:cs="Arial" w:eastAsia="Arial" w:hAnsi="Arial"/>
                <w:sz w:val="18"/>
                <w:szCs w:val="18"/>
                <w:color w:val="auto"/>
              </w:rPr>
              <w:t>Fixed Income Securities:</w:t>
            </w:r>
          </w:p>
        </w:tc>
        <w:tc>
          <w:tcPr>
            <w:tcW w:w="140" w:type="dxa"/>
            <w:vAlign w:val="bottom"/>
            <w:shd w:val="clear" w:color="auto" w:fill="D6F3E8"/>
          </w:tcPr>
          <w:p>
            <w:pPr>
              <w:spacing w:after="0"/>
              <w:rPr>
                <w:sz w:val="18"/>
                <w:szCs w:val="18"/>
                <w:color w:val="auto"/>
              </w:rPr>
            </w:pPr>
          </w:p>
        </w:tc>
        <w:tc>
          <w:tcPr>
            <w:tcW w:w="880" w:type="dxa"/>
            <w:vAlign w:val="bottom"/>
            <w:tcBorders>
              <w:right w:val="single" w:sz="8" w:color="D6F3E8"/>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5740" w:type="dxa"/>
            <w:vAlign w:val="bottom"/>
          </w:tcPr>
          <w:p>
            <w:pPr>
              <w:ind w:left="160"/>
              <w:spacing w:after="0"/>
              <w:rPr>
                <w:sz w:val="20"/>
                <w:szCs w:val="20"/>
                <w:color w:val="auto"/>
              </w:rPr>
            </w:pPr>
            <w:r>
              <w:rPr>
                <w:rFonts w:ascii="Arial" w:cs="Arial" w:eastAsia="Arial" w:hAnsi="Arial"/>
                <w:sz w:val="18"/>
                <w:szCs w:val="18"/>
                <w:color w:val="auto"/>
              </w:rPr>
              <w:t>U.S. Corporate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1,856,000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1,849,000</w:t>
            </w:r>
          </w:p>
        </w:tc>
      </w:tr>
      <w:tr>
        <w:trPr>
          <w:trHeight w:val="216"/>
        </w:trPr>
        <w:tc>
          <w:tcPr>
            <w:tcW w:w="57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shd w:val="clear" w:color="auto" w:fill="D6F3E8"/>
          </w:tcPr>
          <w:p>
            <w:pPr>
              <w:spacing w:after="0"/>
              <w:rPr>
                <w:sz w:val="18"/>
                <w:szCs w:val="18"/>
                <w:color w:val="auto"/>
              </w:rPr>
            </w:pPr>
          </w:p>
        </w:tc>
        <w:tc>
          <w:tcPr>
            <w:tcW w:w="88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758,000</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756,000</w:t>
            </w:r>
          </w:p>
        </w:tc>
      </w:tr>
      <w:tr>
        <w:trPr>
          <w:trHeight w:val="20"/>
        </w:trPr>
        <w:tc>
          <w:tcPr>
            <w:tcW w:w="57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D6F3E8"/>
            </w:tcBorders>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r>
      <w:tr>
        <w:trPr>
          <w:trHeight w:val="357"/>
        </w:trPr>
        <w:tc>
          <w:tcPr>
            <w:tcW w:w="5740" w:type="dxa"/>
            <w:vAlign w:val="bottom"/>
          </w:tcPr>
          <w:p>
            <w:pPr>
              <w:spacing w:after="0"/>
              <w:rPr>
                <w:sz w:val="20"/>
                <w:szCs w:val="20"/>
                <w:color w:val="auto"/>
              </w:rPr>
            </w:pPr>
            <w:r>
              <w:rPr>
                <w:rFonts w:ascii="Arial" w:cs="Arial" w:eastAsia="Arial" w:hAnsi="Arial"/>
                <w:sz w:val="18"/>
                <w:szCs w:val="18"/>
                <w:color w:val="auto"/>
              </w:rPr>
              <w:t>Total Fixed Income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2,614,000</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(14,000)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2,605,000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72" w:right="20"/>
        <w:spacing w:after="0" w:line="259" w:lineRule="auto"/>
        <w:rPr>
          <w:sz w:val="20"/>
          <w:szCs w:val="20"/>
          <w:color w:val="auto"/>
        </w:rPr>
      </w:pPr>
      <w:r>
        <w:rPr>
          <w:rFonts w:ascii="Arial" w:cs="Arial" w:eastAsia="Arial" w:hAnsi="Arial"/>
          <w:sz w:val="18"/>
          <w:szCs w:val="18"/>
          <w:color w:val="auto"/>
        </w:rPr>
        <w:t>Proceeds from the sale/maturity of investments were $2,841,000 for fiscal 2009, $14,069,000 for fiscal 2008, and $3,293,000 for fiscal year 2007. During fiscal 2008, we sold the mutual fund held at April 1, 2007 and recorded a gain of $245,000 and sold our investment contracts held at April 1, 2007 at amortized cost. Realized gains and losses were not material for the fiscal years 2009 or 2007.</w:t>
      </w:r>
    </w:p>
    <w:p>
      <w:pPr>
        <w:spacing w:after="0" w:line="127" w:lineRule="exact"/>
        <w:rPr>
          <w:sz w:val="20"/>
          <w:szCs w:val="20"/>
          <w:color w:val="auto"/>
        </w:rPr>
      </w:pPr>
    </w:p>
    <w:p>
      <w:pPr>
        <w:ind w:left="572"/>
        <w:spacing w:after="0" w:line="268" w:lineRule="auto"/>
        <w:rPr>
          <w:sz w:val="20"/>
          <w:szCs w:val="20"/>
          <w:color w:val="auto"/>
        </w:rPr>
      </w:pPr>
      <w:r>
        <w:rPr>
          <w:rFonts w:ascii="Arial" w:cs="Arial" w:eastAsia="Arial" w:hAnsi="Arial"/>
          <w:sz w:val="18"/>
          <w:szCs w:val="18"/>
          <w:color w:val="auto"/>
        </w:rPr>
        <w:t>The following table provides the gross unrealized losses and fair value, aggregated by investment category, and the length of time the individual securities have been in a continuous unrealized loss position at March 30, 2008:</w:t>
      </w:r>
    </w:p>
    <w:p>
      <w:pPr>
        <w:spacing w:after="0" w:line="222"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2008</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Equal to or Greater</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ind w:left="22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4"/>
                <w:szCs w:val="14"/>
                <w:color w:val="auto"/>
              </w:rPr>
            </w:pPr>
          </w:p>
        </w:tc>
        <w:tc>
          <w:tcPr>
            <w:tcW w:w="15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Than 12 Months</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3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2"/>
                <w:szCs w:val="12"/>
                <w:color w:val="auto"/>
              </w:rPr>
            </w:pPr>
          </w:p>
        </w:tc>
        <w:tc>
          <w:tcPr>
            <w:tcW w:w="11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Fair</w:t>
            </w:r>
          </w:p>
        </w:tc>
        <w:tc>
          <w:tcPr>
            <w:tcW w:w="124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60"/>
              <w:spacing w:after="0"/>
              <w:rPr>
                <w:sz w:val="20"/>
                <w:szCs w:val="20"/>
                <w:color w:val="auto"/>
              </w:rPr>
            </w:pPr>
            <w:r>
              <w:rPr>
                <w:rFonts w:ascii="Arial" w:cs="Arial" w:eastAsia="Arial" w:hAnsi="Arial"/>
                <w:sz w:val="18"/>
                <w:szCs w:val="18"/>
                <w:color w:val="auto"/>
              </w:rPr>
              <w:t>U.S. Corporate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1,849,000</w:t>
            </w:r>
          </w:p>
        </w:tc>
        <w:tc>
          <w:tcPr>
            <w:tcW w:w="360" w:type="dxa"/>
            <w:vAlign w:val="bottom"/>
          </w:tcPr>
          <w:p>
            <w:pPr>
              <w:jc w:val="right"/>
              <w:ind w:right="18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1,849,000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4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D6F3E8"/>
          </w:tcPr>
          <w:p>
            <w:pPr>
              <w:spacing w:after="0"/>
              <w:rPr>
                <w:sz w:val="18"/>
                <w:szCs w:val="18"/>
                <w:color w:val="auto"/>
              </w:rPr>
            </w:pPr>
          </w:p>
        </w:tc>
        <w:tc>
          <w:tcPr>
            <w:tcW w:w="960" w:type="dxa"/>
            <w:vAlign w:val="bottom"/>
            <w:gridSpan w:val="2"/>
            <w:shd w:val="clear" w:color="auto" w:fill="D6F3E8"/>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ind w:lef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756,000</w:t>
            </w:r>
          </w:p>
        </w:tc>
        <w:tc>
          <w:tcPr>
            <w:tcW w:w="360" w:type="dxa"/>
            <w:vAlign w:val="bottom"/>
            <w:shd w:val="clear" w:color="auto" w:fill="D6F3E8"/>
          </w:tcPr>
          <w:p>
            <w:pPr>
              <w:spacing w:after="0"/>
              <w:rPr>
                <w:sz w:val="18"/>
                <w:szCs w:val="18"/>
                <w:color w:val="auto"/>
              </w:rPr>
            </w:pPr>
          </w:p>
        </w:tc>
        <w:tc>
          <w:tcPr>
            <w:tcW w:w="8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756,000</w:t>
            </w:r>
          </w:p>
        </w:tc>
        <w:tc>
          <w:tcPr>
            <w:tcW w:w="1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480" w:type="dxa"/>
            <w:vAlign w:val="bottom"/>
          </w:tcPr>
          <w:p>
            <w:pPr>
              <w:spacing w:after="0"/>
              <w:rPr>
                <w:sz w:val="20"/>
                <w:szCs w:val="20"/>
                <w:color w:val="auto"/>
              </w:rPr>
            </w:pPr>
            <w:r>
              <w:rPr>
                <w:rFonts w:ascii="Arial" w:cs="Arial" w:eastAsia="Arial" w:hAnsi="Arial"/>
                <w:sz w:val="18"/>
                <w:szCs w:val="18"/>
                <w:color w:val="auto"/>
              </w:rPr>
              <w:t>Total Fixed Income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2,605,000</w:t>
            </w:r>
          </w:p>
        </w:tc>
        <w:tc>
          <w:tcPr>
            <w:tcW w:w="360" w:type="dxa"/>
            <w:vAlign w:val="bottom"/>
          </w:tcPr>
          <w:p>
            <w:pPr>
              <w:jc w:val="right"/>
              <w:ind w:right="182"/>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2,605,000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72" w:right="20"/>
        <w:spacing w:after="0" w:line="294" w:lineRule="auto"/>
        <w:rPr>
          <w:sz w:val="20"/>
          <w:szCs w:val="20"/>
          <w:color w:val="auto"/>
        </w:rPr>
      </w:pPr>
      <w:r>
        <w:rPr>
          <w:rFonts w:ascii="Arial" w:cs="Arial" w:eastAsia="Arial" w:hAnsi="Arial"/>
          <w:sz w:val="16"/>
          <w:szCs w:val="16"/>
          <w:color w:val="auto"/>
        </w:rPr>
        <w:t>We had 14 investments in an unrealized loss position as of March 30, 2008. We believed that the unrealized losses in the investment portfolio were primarily the result of changes in market interest rates and not from the deterioration in the creditworthiness of the underlying issuers. The majority of the investments had contractual terms, which did not permit the issuer to settle the securities at a price less than the amortized cost of the investment. The U.S. Government agency securities were guaranteed by an agency of the U.S. Government. We had the ability and intent to hold these investments until a recovery of fair value. The Company did not consider these investments to be other-than-temporarily impaired.</w:t>
      </w:r>
    </w:p>
    <w:p>
      <w:pPr>
        <w:spacing w:after="0" w:line="96" w:lineRule="exact"/>
        <w:rPr>
          <w:sz w:val="20"/>
          <w:szCs w:val="20"/>
          <w:color w:val="auto"/>
        </w:rPr>
      </w:pPr>
    </w:p>
    <w:p>
      <w:pPr>
        <w:ind w:left="572" w:hanging="572"/>
        <w:spacing w:after="0"/>
        <w:tabs>
          <w:tab w:leader="none" w:pos="57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63"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Inventories at March 29, 2009 and March 30, 2008 consisted of the following:</w:t>
      </w:r>
    </w:p>
    <w:p>
      <w:pPr>
        <w:spacing w:after="0" w:line="261"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142"/>
        </w:trPr>
        <w:tc>
          <w:tcPr>
            <w:tcW w:w="8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216"/>
        </w:trPr>
        <w:tc>
          <w:tcPr>
            <w:tcW w:w="820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34,479,000</w:t>
            </w:r>
          </w:p>
        </w:tc>
        <w:tc>
          <w:tcPr>
            <w:tcW w:w="22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99"/>
              </w:rPr>
              <w:t>18,513,000</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LIFO reserve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(14,528,000)</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(4,502,000)</w:t>
            </w:r>
          </w:p>
        </w:tc>
      </w:tr>
      <w:tr>
        <w:trPr>
          <w:trHeight w:val="230"/>
        </w:trPr>
        <w:tc>
          <w:tcPr>
            <w:tcW w:w="8200" w:type="dxa"/>
            <w:vAlign w:val="bottom"/>
            <w:shd w:val="clear" w:color="auto" w:fill="D6F3E8"/>
          </w:tcPr>
          <w:p>
            <w:pPr>
              <w:spacing w:after="0"/>
              <w:rPr>
                <w:sz w:val="20"/>
                <w:szCs w:val="20"/>
                <w:color w:val="auto"/>
              </w:rPr>
            </w:pPr>
            <w:r>
              <w:rPr>
                <w:rFonts w:ascii="Arial" w:cs="Arial" w:eastAsia="Arial" w:hAnsi="Arial"/>
                <w:sz w:val="18"/>
                <w:szCs w:val="18"/>
                <w:color w:val="auto"/>
              </w:rPr>
              <w:t>Net inventory</w:t>
            </w:r>
          </w:p>
        </w:tc>
        <w:tc>
          <w:tcPr>
            <w:tcW w:w="180" w:type="dxa"/>
            <w:vAlign w:val="bottom"/>
            <w:tcBorders>
              <w:top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19,951,000</w:t>
            </w:r>
          </w:p>
        </w:tc>
        <w:tc>
          <w:tcPr>
            <w:tcW w:w="220" w:type="dxa"/>
            <w:vAlign w:val="bottom"/>
            <w:shd w:val="clear" w:color="auto" w:fill="D6F3E8"/>
          </w:tcPr>
          <w:p>
            <w:pPr>
              <w:spacing w:after="0"/>
              <w:rPr>
                <w:sz w:val="19"/>
                <w:szCs w:val="19"/>
                <w:color w:val="auto"/>
              </w:rPr>
            </w:pPr>
          </w:p>
        </w:tc>
        <w:tc>
          <w:tcPr>
            <w:tcW w:w="220" w:type="dxa"/>
            <w:vAlign w:val="bottom"/>
            <w:tcBorders>
              <w:top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9"/>
              </w:rPr>
              <w:t>14,011,000</w:t>
            </w:r>
          </w:p>
        </w:tc>
        <w:tc>
          <w:tcPr>
            <w:tcW w:w="120" w:type="dxa"/>
            <w:vAlign w:val="bottom"/>
            <w:shd w:val="clear" w:color="auto" w:fill="D6F3E8"/>
          </w:tcPr>
          <w:p>
            <w:pPr>
              <w:spacing w:after="0"/>
              <w:rPr>
                <w:sz w:val="19"/>
                <w:szCs w:val="19"/>
                <w:color w:val="auto"/>
              </w:rPr>
            </w:pPr>
          </w:p>
        </w:tc>
      </w:tr>
      <w:tr>
        <w:trPr>
          <w:trHeight w:val="20"/>
        </w:trPr>
        <w:tc>
          <w:tcPr>
            <w:tcW w:w="8200" w:type="dxa"/>
            <w:vAlign w:val="bottom"/>
            <w:tcBorders>
              <w:top w:val="single" w:sz="8" w:color="D6F3E8"/>
            </w:tcBorders>
            <w:shd w:val="clear" w:color="auto" w:fill="D6F3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D6F3E8"/>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572" w:right="420"/>
        <w:spacing w:after="0" w:line="268" w:lineRule="auto"/>
        <w:rPr>
          <w:sz w:val="20"/>
          <w:szCs w:val="20"/>
          <w:color w:val="auto"/>
        </w:rPr>
      </w:pPr>
      <w:r>
        <w:rPr>
          <w:rFonts w:ascii="Arial" w:cs="Arial" w:eastAsia="Arial" w:hAnsi="Arial"/>
          <w:sz w:val="18"/>
          <w:szCs w:val="18"/>
          <w:color w:val="auto"/>
        </w:rPr>
        <w:t>The FIFO value of inventories accounted for under the LIFO method were $34,323,000 at March 29, 2009 and $16,182,000 at March 30, 2008. The remainder of the inventory was valued and accounted for under the FIFO method.</w:t>
      </w:r>
    </w:p>
    <w:p>
      <w:pPr>
        <w:spacing w:after="0" w:line="118" w:lineRule="exact"/>
        <w:rPr>
          <w:sz w:val="20"/>
          <w:szCs w:val="20"/>
          <w:color w:val="auto"/>
        </w:rPr>
      </w:pPr>
    </w:p>
    <w:p>
      <w:pPr>
        <w:ind w:left="572" w:right="100"/>
        <w:spacing w:after="0" w:line="268" w:lineRule="auto"/>
        <w:rPr>
          <w:sz w:val="20"/>
          <w:szCs w:val="20"/>
          <w:color w:val="auto"/>
        </w:rPr>
      </w:pPr>
      <w:r>
        <w:rPr>
          <w:rFonts w:ascii="Arial" w:cs="Arial" w:eastAsia="Arial" w:hAnsi="Arial"/>
          <w:sz w:val="18"/>
          <w:szCs w:val="18"/>
          <w:color w:val="auto"/>
        </w:rPr>
        <w:t>We increased the LIFO reserve by $10,026,000 in fiscal 2009 and $1,332,000 in fiscal 2008 due to increases in inventory costs and changes in inventory product mix.</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40" w:right="259" w:bottom="1440" w:gutter="0" w:footer="0" w:header="0"/>
        </w:sectPr>
      </w:pPr>
    </w:p>
    <w:bookmarkStart w:id="26" w:name="page27"/>
    <w:bookmarkEnd w:id="26"/>
    <w:p>
      <w:pPr>
        <w:ind w:left="572" w:hanging="572"/>
        <w:spacing w:after="0"/>
        <w:tabs>
          <w:tab w:leader="none" w:pos="57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163" w:lineRule="exact"/>
        <w:rPr>
          <w:rFonts w:ascii="Arial" w:cs="Arial" w:eastAsia="Arial" w:hAnsi="Arial"/>
          <w:sz w:val="18"/>
          <w:szCs w:val="18"/>
          <w:b w:val="1"/>
          <w:bCs w:val="1"/>
          <w:color w:val="auto"/>
        </w:rPr>
      </w:pPr>
    </w:p>
    <w:p>
      <w:pPr>
        <w:ind w:left="572"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There were no changes in the carrying amount of goodwill for fiscal 2009. The changes in the carrying amount of goodwill for fiscal 2008 are within the Industrial segment and were as follows:</w:t>
      </w:r>
    </w:p>
    <w:p>
      <w:pPr>
        <w:spacing w:after="0" w:line="210"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center"/>
              <w:ind w:right="286"/>
              <w:spacing w:after="0"/>
              <w:rPr>
                <w:sz w:val="20"/>
                <w:szCs w:val="20"/>
                <w:color w:val="auto"/>
              </w:rPr>
            </w:pPr>
            <w:r>
              <w:rPr>
                <w:rFonts w:ascii="Arial" w:cs="Arial" w:eastAsia="Arial" w:hAnsi="Arial"/>
                <w:sz w:val="14"/>
                <w:szCs w:val="14"/>
                <w:b w:val="1"/>
                <w:bCs w:val="1"/>
                <w:color w:val="auto"/>
                <w:w w:val="92"/>
              </w:rPr>
              <w:t>Trumark</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3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2007</w:t>
            </w: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66"/>
              <w:spacing w:after="0"/>
              <w:rPr>
                <w:sz w:val="20"/>
                <w:szCs w:val="20"/>
                <w:color w:val="auto"/>
              </w:rPr>
            </w:pPr>
            <w:r>
              <w:rPr>
                <w:rFonts w:ascii="Arial" w:cs="Arial" w:eastAsia="Arial" w:hAnsi="Arial"/>
                <w:sz w:val="14"/>
                <w:szCs w:val="14"/>
                <w:b w:val="1"/>
                <w:bCs w:val="1"/>
                <w:color w:val="auto"/>
                <w:w w:val="86"/>
              </w:rPr>
              <w:t>Acquisition</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March 30, 2008</w:t>
            </w:r>
          </w:p>
        </w:tc>
        <w:tc>
          <w:tcPr>
            <w:tcW w:w="120" w:type="dxa"/>
            <w:vAlign w:val="bottom"/>
          </w:tcPr>
          <w:p>
            <w:pPr>
              <w:spacing w:after="0"/>
              <w:rPr>
                <w:sz w:val="14"/>
                <w:szCs w:val="14"/>
                <w:color w:val="auto"/>
              </w:rPr>
            </w:pPr>
          </w:p>
        </w:tc>
      </w:tr>
      <w:tr>
        <w:trPr>
          <w:trHeight w:val="210"/>
        </w:trPr>
        <w:tc>
          <w:tcPr>
            <w:tcW w:w="3260" w:type="dxa"/>
            <w:vAlign w:val="bottom"/>
            <w:shd w:val="clear" w:color="auto" w:fill="D6F3E8"/>
          </w:tcPr>
          <w:p>
            <w:pPr>
              <w:spacing w:after="0"/>
              <w:rPr>
                <w:sz w:val="20"/>
                <w:szCs w:val="20"/>
                <w:color w:val="auto"/>
              </w:rPr>
            </w:pPr>
            <w:r>
              <w:rPr>
                <w:rFonts w:ascii="Arial" w:cs="Arial" w:eastAsia="Arial" w:hAnsi="Arial"/>
                <w:sz w:val="18"/>
                <w:szCs w:val="18"/>
                <w:color w:val="auto"/>
              </w:rPr>
              <w:t>Goodwill</w:t>
            </w:r>
          </w:p>
        </w:tc>
        <w:tc>
          <w:tcPr>
            <w:tcW w:w="3540" w:type="dxa"/>
            <w:vAlign w:val="bottom"/>
            <w:gridSpan w:val="2"/>
            <w:shd w:val="clear" w:color="auto" w:fill="D6F3E8"/>
          </w:tcPr>
          <w:p>
            <w:pPr>
              <w:jc w:val="right"/>
              <w:ind w:right="812"/>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D6F3E8"/>
          </w:tcPr>
          <w:p>
            <w:pPr>
              <w:jc w:val="right"/>
              <w:ind w:right="86"/>
              <w:spacing w:after="0"/>
              <w:rPr>
                <w:sz w:val="20"/>
                <w:szCs w:val="20"/>
                <w:color w:val="auto"/>
              </w:rPr>
            </w:pPr>
            <w:r>
              <w:rPr>
                <w:rFonts w:ascii="Arial" w:cs="Arial" w:eastAsia="Arial" w:hAnsi="Arial"/>
                <w:sz w:val="18"/>
                <w:szCs w:val="18"/>
                <w:color w:val="auto"/>
              </w:rPr>
              <w:t>1,204,000</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1,204,000</w:t>
            </w:r>
          </w:p>
        </w:tc>
        <w:tc>
          <w:tcPr>
            <w:tcW w:w="120" w:type="dxa"/>
            <w:vAlign w:val="bottom"/>
            <w:shd w:val="clear" w:color="auto" w:fill="D6F3E8"/>
          </w:tcPr>
          <w:p>
            <w:pPr>
              <w:spacing w:after="0"/>
              <w:rPr>
                <w:sz w:val="18"/>
                <w:szCs w:val="18"/>
                <w:color w:val="auto"/>
              </w:rPr>
            </w:pPr>
          </w:p>
        </w:tc>
      </w:tr>
    </w:tbl>
    <w:p>
      <w:pPr>
        <w:spacing w:after="0" w:line="248" w:lineRule="exact"/>
        <w:rPr>
          <w:sz w:val="20"/>
          <w:szCs w:val="20"/>
          <w:color w:val="auto"/>
        </w:rPr>
      </w:pPr>
    </w:p>
    <w:p>
      <w:pPr>
        <w:ind w:left="572" w:right="80"/>
        <w:spacing w:after="0" w:line="259" w:lineRule="auto"/>
        <w:rPr>
          <w:sz w:val="20"/>
          <w:szCs w:val="20"/>
          <w:color w:val="auto"/>
        </w:rPr>
      </w:pPr>
      <w:r>
        <w:rPr>
          <w:rFonts w:ascii="Arial" w:cs="Arial" w:eastAsia="Arial" w:hAnsi="Arial"/>
          <w:sz w:val="18"/>
          <w:szCs w:val="18"/>
          <w:color w:val="auto"/>
        </w:rPr>
        <w:t>Intangible assets consist primarily of customer lists, trade secrets and non-compete agreements classified as finite life and trademarks and trade names classified as indefinite life, related to previous business acquisitions. A summary of our intangible assets as of March 29, 2009 and March 30, 2008 were as follows:</w:t>
      </w:r>
    </w:p>
    <w:p>
      <w:pPr>
        <w:spacing w:after="0" w:line="230"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286"/>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280" w:type="dxa"/>
            <w:vAlign w:val="bottom"/>
          </w:tcPr>
          <w:p>
            <w:pPr>
              <w:jc w:val="right"/>
              <w:ind w:right="346"/>
              <w:spacing w:after="0" w:line="149" w:lineRule="exact"/>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86"/>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r>
      <w:tr>
        <w:trPr>
          <w:trHeight w:val="210"/>
        </w:trPr>
        <w:tc>
          <w:tcPr>
            <w:tcW w:w="6040" w:type="dxa"/>
            <w:vAlign w:val="bottom"/>
            <w:shd w:val="clear" w:color="auto" w:fill="D6F3E8"/>
          </w:tcPr>
          <w:p>
            <w:pPr>
              <w:spacing w:after="0"/>
              <w:rPr>
                <w:sz w:val="20"/>
                <w:szCs w:val="20"/>
                <w:color w:val="auto"/>
              </w:rPr>
            </w:pPr>
            <w:r>
              <w:rPr>
                <w:rFonts w:ascii="Arial" w:cs="Arial" w:eastAsia="Arial" w:hAnsi="Arial"/>
                <w:sz w:val="18"/>
                <w:szCs w:val="18"/>
                <w:color w:val="auto"/>
              </w:rPr>
              <w:t>Finite-life intangible assets</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D6F3E8"/>
          </w:tcPr>
          <w:p>
            <w:pPr>
              <w:jc w:val="right"/>
              <w:ind w:right="46"/>
              <w:spacing w:after="0"/>
              <w:rPr>
                <w:sz w:val="20"/>
                <w:szCs w:val="20"/>
                <w:color w:val="auto"/>
              </w:rPr>
            </w:pPr>
            <w:r>
              <w:rPr>
                <w:rFonts w:ascii="Arial" w:cs="Arial" w:eastAsia="Arial" w:hAnsi="Arial"/>
                <w:sz w:val="18"/>
                <w:szCs w:val="18"/>
                <w:color w:val="auto"/>
              </w:rPr>
              <w:t>6,565,000</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6F3E8"/>
          </w:tcPr>
          <w:p>
            <w:pPr>
              <w:jc w:val="right"/>
              <w:ind w:right="6"/>
              <w:spacing w:after="0"/>
              <w:rPr>
                <w:sz w:val="20"/>
                <w:szCs w:val="20"/>
                <w:color w:val="auto"/>
              </w:rPr>
            </w:pPr>
            <w:r>
              <w:rPr>
                <w:rFonts w:ascii="Arial" w:cs="Arial" w:eastAsia="Arial" w:hAnsi="Arial"/>
                <w:sz w:val="18"/>
                <w:szCs w:val="18"/>
                <w:color w:val="auto"/>
              </w:rPr>
              <w:t>(2,556,000)</w:t>
            </w:r>
          </w:p>
        </w:tc>
        <w:tc>
          <w:tcPr>
            <w:tcW w:w="26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4,009,000</w:t>
            </w:r>
          </w:p>
        </w:tc>
        <w:tc>
          <w:tcPr>
            <w:tcW w:w="120" w:type="dxa"/>
            <w:vAlign w:val="bottom"/>
            <w:shd w:val="clear" w:color="auto" w:fill="D6F3E8"/>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
              <w:spacing w:after="0"/>
              <w:rPr>
                <w:sz w:val="20"/>
                <w:szCs w:val="20"/>
                <w:color w:val="auto"/>
              </w:rPr>
            </w:pPr>
            <w:r>
              <w:rPr>
                <w:rFonts w:ascii="Arial" w:cs="Arial" w:eastAsia="Arial" w:hAnsi="Arial"/>
                <w:sz w:val="18"/>
                <w:szCs w:val="18"/>
                <w:color w:val="auto"/>
              </w:rPr>
              <w:t>1,227,000</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1,227,000</w:t>
            </w:r>
          </w:p>
        </w:tc>
        <w:tc>
          <w:tcPr>
            <w:tcW w:w="120" w:type="dxa"/>
            <w:vAlign w:val="bottom"/>
          </w:tcPr>
          <w:p>
            <w:pPr>
              <w:spacing w:after="0"/>
              <w:rPr>
                <w:sz w:val="18"/>
                <w:szCs w:val="18"/>
                <w:color w:val="auto"/>
              </w:rPr>
            </w:pPr>
          </w:p>
        </w:tc>
      </w:tr>
      <w:tr>
        <w:trPr>
          <w:trHeight w:val="250"/>
        </w:trPr>
        <w:tc>
          <w:tcPr>
            <w:tcW w:w="60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intangibles, net</w:t>
            </w: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D6F3E8"/>
          </w:tcPr>
          <w:p>
            <w:pPr>
              <w:jc w:val="right"/>
              <w:ind w:right="46"/>
              <w:spacing w:after="0"/>
              <w:rPr>
                <w:sz w:val="20"/>
                <w:szCs w:val="20"/>
                <w:color w:val="auto"/>
              </w:rPr>
            </w:pPr>
            <w:r>
              <w:rPr>
                <w:rFonts w:ascii="Arial" w:cs="Arial" w:eastAsia="Arial" w:hAnsi="Arial"/>
                <w:sz w:val="18"/>
                <w:szCs w:val="18"/>
                <w:color w:val="auto"/>
              </w:rPr>
              <w:t>7,792,000</w:t>
            </w:r>
          </w:p>
        </w:tc>
        <w:tc>
          <w:tcPr>
            <w:tcW w:w="2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6F3E8"/>
          </w:tcPr>
          <w:p>
            <w:pPr>
              <w:jc w:val="right"/>
              <w:ind w:right="6"/>
              <w:spacing w:after="0"/>
              <w:rPr>
                <w:sz w:val="20"/>
                <w:szCs w:val="20"/>
                <w:color w:val="auto"/>
              </w:rPr>
            </w:pPr>
            <w:r>
              <w:rPr>
                <w:rFonts w:ascii="Arial" w:cs="Arial" w:eastAsia="Arial" w:hAnsi="Arial"/>
                <w:sz w:val="18"/>
                <w:szCs w:val="18"/>
                <w:color w:val="auto"/>
              </w:rPr>
              <w:t>(2,556,000)</w:t>
            </w:r>
          </w:p>
        </w:tc>
        <w:tc>
          <w:tcPr>
            <w:tcW w:w="260" w:type="dxa"/>
            <w:vAlign w:val="bottom"/>
            <w:tcBorders>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7"/>
              </w:rPr>
              <w:t>5,236,000</w:t>
            </w:r>
          </w:p>
        </w:tc>
        <w:tc>
          <w:tcPr>
            <w:tcW w:w="120" w:type="dxa"/>
            <w:vAlign w:val="bottom"/>
            <w:tcBorders>
              <w:bottom w:val="single" w:sz="8" w:color="D6F3E8"/>
            </w:tcBorders>
            <w:shd w:val="clear" w:color="auto" w:fill="D6F3E8"/>
          </w:tcPr>
          <w:p>
            <w:pPr>
              <w:spacing w:after="0"/>
              <w:rPr>
                <w:sz w:val="21"/>
                <w:szCs w:val="21"/>
                <w:color w:val="auto"/>
              </w:rPr>
            </w:pPr>
          </w:p>
        </w:tc>
      </w:tr>
      <w:tr>
        <w:trPr>
          <w:trHeight w:val="386"/>
        </w:trPr>
        <w:tc>
          <w:tcPr>
            <w:tcW w:w="6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center"/>
              <w:ind w:right="286"/>
              <w:spacing w:after="0" w:line="129"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286"/>
              <w:spacing w:after="0" w:line="149"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Pr>
          <w:p>
            <w:pPr>
              <w:spacing w:after="0"/>
              <w:rPr>
                <w:sz w:val="12"/>
                <w:szCs w:val="12"/>
                <w:color w:val="auto"/>
              </w:rPr>
            </w:pPr>
          </w:p>
        </w:tc>
        <w:tc>
          <w:tcPr>
            <w:tcW w:w="1280" w:type="dxa"/>
            <w:vAlign w:val="bottom"/>
          </w:tcPr>
          <w:p>
            <w:pPr>
              <w:jc w:val="right"/>
              <w:ind w:right="346"/>
              <w:spacing w:after="0" w:line="149" w:lineRule="exact"/>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6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86"/>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r>
    </w:tbl>
    <w:p>
      <w:pPr>
        <w:spacing w:after="0" w:line="140" w:lineRule="exact"/>
        <w:rPr>
          <w:sz w:val="20"/>
          <w:szCs w:val="20"/>
          <w:color w:val="auto"/>
        </w:rPr>
      </w:pPr>
    </w:p>
    <w:p>
      <w:pPr>
        <w:sectPr>
          <w:pgSz w:w="11900" w:h="16838" w:orient="portrait"/>
          <w:cols w:equalWidth="0" w:num="1">
            <w:col w:w="11372"/>
          </w:cols>
          <w:pgMar w:left="248" w:top="139" w:right="279" w:bottom="1440" w:gutter="0" w:footer="0" w:header="0"/>
        </w:sectPr>
      </w:pPr>
    </w:p>
    <w:p>
      <w:pPr>
        <w:ind w:left="572"/>
        <w:spacing w:after="0"/>
        <w:rPr>
          <w:sz w:val="20"/>
          <w:szCs w:val="20"/>
          <w:color w:val="auto"/>
        </w:rPr>
      </w:pPr>
      <w:r>
        <w:rPr>
          <w:rFonts w:ascii="Arial" w:cs="Arial" w:eastAsia="Arial" w:hAnsi="Arial"/>
          <w:sz w:val="18"/>
          <w:szCs w:val="18"/>
          <w:color w:val="auto"/>
        </w:rPr>
        <w:t>Finite-life intangible assets</w:t>
      </w:r>
    </w:p>
    <w:p>
      <w:pPr>
        <w:spacing w:after="0" w:line="15" w:lineRule="exact"/>
        <w:rPr>
          <w:sz w:val="20"/>
          <w:szCs w:val="20"/>
          <w:color w:val="auto"/>
        </w:rPr>
      </w:pPr>
    </w:p>
    <w:p>
      <w:pPr>
        <w:ind w:left="572"/>
        <w:spacing w:after="0"/>
        <w:rPr>
          <w:sz w:val="20"/>
          <w:szCs w:val="20"/>
          <w:color w:val="auto"/>
        </w:rPr>
      </w:pPr>
      <w:r>
        <w:rPr>
          <w:rFonts w:ascii="Arial" w:cs="Arial" w:eastAsia="Arial" w:hAnsi="Arial"/>
          <w:sz w:val="16"/>
          <w:szCs w:val="16"/>
          <w:color w:val="auto"/>
        </w:rPr>
        <w:t>Indefinite-life intangible assets</w:t>
      </w:r>
    </w:p>
    <w:p>
      <w:pPr>
        <w:spacing w:after="0" w:line="3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Total intangibles, net</w:t>
      </w:r>
    </w:p>
    <w:p>
      <w:pPr>
        <w:spacing w:after="0" w:line="20" w:lineRule="exact"/>
        <w:rPr>
          <w:sz w:val="20"/>
          <w:szCs w:val="20"/>
          <w:color w:val="auto"/>
        </w:rPr>
      </w:pPr>
      <w:r>
        <w:rPr>
          <w:sz w:val="20"/>
          <w:szCs w:val="20"/>
          <w:color w:val="auto"/>
        </w:rPr>
        <w:br w:type="column"/>
      </w:r>
    </w:p>
    <w:p>
      <w:pPr>
        <w:ind w:left="700" w:hanging="695"/>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6,565,000   $</w:t>
      </w:r>
      <w:r>
        <w:rPr>
          <w:rFonts w:ascii="Arial" w:cs="Arial" w:eastAsia="Arial" w:hAnsi="Arial"/>
          <w:sz w:val="16"/>
          <w:szCs w:val="16"/>
          <w:color w:val="auto"/>
        </w:rPr>
        <w:t>(2,089,000)  $  4,476,000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-125730</wp:posOffset>
            </wp:positionV>
            <wp:extent cx="651764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1,227,000</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1,227,000</w:t>
            </w:r>
          </w:p>
        </w:tc>
      </w:tr>
      <w:tr>
        <w:trPr>
          <w:trHeight w:val="210"/>
        </w:trPr>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7,792,000</w:t>
            </w: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(2,089,000)</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5,703,000</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-3816350</wp:posOffset>
            </wp:positionH>
            <wp:positionV relativeFrom="paragraph">
              <wp:posOffset>-162560</wp:posOffset>
            </wp:positionV>
            <wp:extent cx="651764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72" w:space="720"/>
            <w:col w:w="4780"/>
          </w:cols>
          <w:pgMar w:left="248" w:top="139" w:right="279" w:bottom="1440" w:gutter="0" w:footer="0" w:header="0"/>
          <w:type w:val="continuous"/>
        </w:sectPr>
      </w:pPr>
    </w:p>
    <w:p>
      <w:pPr>
        <w:spacing w:after="0" w:line="48" w:lineRule="exact"/>
        <w:rPr>
          <w:sz w:val="20"/>
          <w:szCs w:val="20"/>
          <w:color w:val="auto"/>
        </w:rPr>
      </w:pPr>
    </w:p>
    <w:p>
      <w:pPr>
        <w:ind w:left="572"/>
        <w:spacing w:after="0"/>
        <w:rPr>
          <w:sz w:val="20"/>
          <w:szCs w:val="20"/>
          <w:color w:val="auto"/>
        </w:rPr>
      </w:pPr>
      <w:r>
        <w:rPr>
          <w:rFonts w:ascii="Arial" w:cs="Arial" w:eastAsia="Arial" w:hAnsi="Arial"/>
          <w:sz w:val="18"/>
          <w:szCs w:val="18"/>
          <w:color w:val="auto"/>
        </w:rPr>
        <w:t>Intangible asset amortization expense was $467,000 during fiscal 2009, $445,000 during fiscal 2008, and $225,000 during fiscal 2007.</w:t>
      </w:r>
    </w:p>
    <w:p>
      <w:pPr>
        <w:spacing w:after="0" w:line="158"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61"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2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D6F3E8"/>
          </w:tcPr>
          <w:p>
            <w:pPr>
              <w:spacing w:after="0"/>
              <w:rPr>
                <w:sz w:val="20"/>
                <w:szCs w:val="20"/>
                <w:color w:val="auto"/>
              </w:rPr>
            </w:pPr>
            <w:r>
              <w:rPr>
                <w:rFonts w:ascii="Arial" w:cs="Arial" w:eastAsia="Arial" w:hAnsi="Arial"/>
                <w:sz w:val="18"/>
                <w:szCs w:val="18"/>
                <w:color w:val="auto"/>
              </w:rPr>
              <w:t>Estimated amortization expense</w:t>
            </w:r>
          </w:p>
        </w:tc>
        <w:tc>
          <w:tcPr>
            <w:tcW w:w="140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779,000</w:t>
            </w:r>
          </w:p>
        </w:tc>
        <w:tc>
          <w:tcPr>
            <w:tcW w:w="12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   867,000</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D6F3E8"/>
          </w:tcPr>
          <w:p>
            <w:pPr>
              <w:ind w:left="120"/>
              <w:spacing w:after="0"/>
              <w:rPr>
                <w:sz w:val="20"/>
                <w:szCs w:val="20"/>
                <w:color w:val="auto"/>
              </w:rPr>
            </w:pPr>
            <w:r>
              <w:rPr>
                <w:rFonts w:ascii="Arial" w:cs="Arial" w:eastAsia="Arial" w:hAnsi="Arial"/>
                <w:sz w:val="18"/>
                <w:szCs w:val="18"/>
                <w:color w:val="auto"/>
                <w:w w:val="86"/>
              </w:rPr>
              <w:t>439,000</w:t>
            </w:r>
          </w:p>
        </w:tc>
        <w:tc>
          <w:tcPr>
            <w:tcW w:w="4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ind w:left="140"/>
              <w:spacing w:after="0"/>
              <w:rPr>
                <w:sz w:val="20"/>
                <w:szCs w:val="20"/>
                <w:color w:val="auto"/>
              </w:rPr>
            </w:pPr>
            <w:r>
              <w:rPr>
                <w:rFonts w:ascii="Arial" w:cs="Arial" w:eastAsia="Arial" w:hAnsi="Arial"/>
                <w:sz w:val="18"/>
                <w:szCs w:val="18"/>
                <w:color w:val="auto"/>
                <w:w w:val="86"/>
              </w:rPr>
              <w:t>220,000</w:t>
            </w:r>
          </w:p>
        </w:tc>
        <w:tc>
          <w:tcPr>
            <w:tcW w:w="4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215,000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72" w:hanging="572"/>
        <w:spacing w:after="0"/>
        <w:tabs>
          <w:tab w:leader="none" w:pos="5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163" w:lineRule="exact"/>
        <w:rPr>
          <w:rFonts w:ascii="Arial" w:cs="Arial" w:eastAsia="Arial" w:hAnsi="Arial"/>
          <w:sz w:val="18"/>
          <w:szCs w:val="18"/>
          <w:b w:val="1"/>
          <w:bCs w:val="1"/>
          <w:color w:val="auto"/>
        </w:rPr>
      </w:pPr>
    </w:p>
    <w:p>
      <w:pPr>
        <w:ind w:left="572"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had three notes receivable related to the sales of a portion of our business, and in 2007, the notes were paid in full in the amount of approximately $2.3 million. The interest rate on the notes receivable was 8% and we recorded interest income of approximately $300,000 during the fourth quarter of fiscal 2007.</w:t>
      </w:r>
    </w:p>
    <w:p>
      <w:pPr>
        <w:spacing w:after="0" w:line="120" w:lineRule="exact"/>
        <w:rPr>
          <w:rFonts w:ascii="Arial" w:cs="Arial" w:eastAsia="Arial" w:hAnsi="Arial"/>
          <w:sz w:val="18"/>
          <w:szCs w:val="18"/>
          <w:b w:val="1"/>
          <w:bCs w:val="1"/>
          <w:color w:val="auto"/>
        </w:rPr>
      </w:pPr>
    </w:p>
    <w:p>
      <w:pPr>
        <w:ind w:left="572" w:hanging="572"/>
        <w:spacing w:after="0"/>
        <w:tabs>
          <w:tab w:leader="none" w:pos="5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63"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Components of accumulated other comprehensive loss, net of tax, were as follows:</w:t>
      </w:r>
    </w:p>
    <w:p>
      <w:pPr>
        <w:spacing w:after="0" w:line="261"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210"/>
        </w:trPr>
        <w:tc>
          <w:tcPr>
            <w:tcW w:w="7020" w:type="dxa"/>
            <w:vAlign w:val="bottom"/>
            <w:shd w:val="clear" w:color="auto" w:fill="D6F3E8"/>
          </w:tcPr>
          <w:p>
            <w:pPr>
              <w:spacing w:after="0"/>
              <w:rPr>
                <w:sz w:val="20"/>
                <w:szCs w:val="20"/>
                <w:color w:val="auto"/>
              </w:rPr>
            </w:pPr>
            <w:r>
              <w:rPr>
                <w:rFonts w:ascii="Arial" w:cs="Arial" w:eastAsia="Arial" w:hAnsi="Arial"/>
                <w:sz w:val="18"/>
                <w:szCs w:val="18"/>
                <w:color w:val="auto"/>
              </w:rPr>
              <w:t>Available-for-sale investments</w:t>
            </w:r>
          </w:p>
        </w:tc>
        <w:tc>
          <w:tcPr>
            <w:tcW w:w="200" w:type="dxa"/>
            <w:vAlign w:val="bottom"/>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(6,000)</w:t>
            </w: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D6F3E8"/>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Post-retirement plan liability adjustments</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900" w:type="dxa"/>
            <w:vAlign w:val="bottom"/>
            <w:gridSpan w:val="2"/>
          </w:tcPr>
          <w:p>
            <w:pPr>
              <w:jc w:val="right"/>
              <w:ind w:right="142"/>
              <w:spacing w:after="0"/>
              <w:rPr>
                <w:sz w:val="20"/>
                <w:szCs w:val="20"/>
                <w:color w:val="auto"/>
              </w:rPr>
            </w:pPr>
            <w:r>
              <w:rPr>
                <w:rFonts w:ascii="Arial" w:cs="Arial" w:eastAsia="Arial" w:hAnsi="Arial"/>
                <w:sz w:val="18"/>
                <w:szCs w:val="18"/>
                <w:color w:val="auto"/>
              </w:rPr>
              <w:t>(4,000)</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50"/>
        </w:trPr>
        <w:tc>
          <w:tcPr>
            <w:tcW w:w="70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top w:val="single" w:sz="8" w:color="auto"/>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D6F3E8"/>
            </w:tcBorders>
            <w:shd w:val="clear" w:color="auto" w:fill="D6F3E8"/>
          </w:tcPr>
          <w:p>
            <w:pPr>
              <w:jc w:val="right"/>
              <w:ind w:right="142"/>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Borders>
              <w:bottom w:val="single" w:sz="8" w:color="D6F3E8"/>
            </w:tcBorders>
            <w:shd w:val="clear" w:color="auto" w:fill="D6F3E8"/>
          </w:tcPr>
          <w:p>
            <w:pPr>
              <w:jc w:val="right"/>
              <w:spacing w:after="0"/>
              <w:rPr>
                <w:sz w:val="20"/>
                <w:szCs w:val="20"/>
                <w:color w:val="auto"/>
              </w:rPr>
            </w:pPr>
            <w:r>
              <w:rPr>
                <w:rFonts w:ascii="Arial" w:cs="Arial" w:eastAsia="Arial" w:hAnsi="Arial"/>
                <w:sz w:val="16"/>
                <w:szCs w:val="16"/>
                <w:color w:val="auto"/>
                <w:w w:val="74"/>
              </w:rPr>
              <w:t>)</w:t>
            </w:r>
          </w:p>
        </w:tc>
      </w:tr>
    </w:tbl>
    <w:p>
      <w:pPr>
        <w:spacing w:after="0" w:line="242" w:lineRule="exact"/>
        <w:rPr>
          <w:sz w:val="20"/>
          <w:szCs w:val="20"/>
          <w:color w:val="auto"/>
        </w:rPr>
      </w:pPr>
    </w:p>
    <w:p>
      <w:pPr>
        <w:ind w:left="572" w:hanging="572"/>
        <w:spacing w:after="0"/>
        <w:tabs>
          <w:tab w:leader="none" w:pos="57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STOCK OWNERSHIP PLANS</w:t>
      </w:r>
    </w:p>
    <w:p>
      <w:pPr>
        <w:spacing w:after="0" w:line="163" w:lineRule="exact"/>
        <w:rPr>
          <w:rFonts w:ascii="Arial" w:cs="Arial" w:eastAsia="Arial" w:hAnsi="Arial"/>
          <w:sz w:val="18"/>
          <w:szCs w:val="18"/>
          <w:b w:val="1"/>
          <w:bCs w:val="1"/>
          <w:color w:val="auto"/>
        </w:rPr>
      </w:pPr>
    </w:p>
    <w:p>
      <w:pPr>
        <w:ind w:left="57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We have a defined contribution pension plan covering substantially all of our non-bargaining employees. Contributions are made at our discretion subject to a maximum amount allowed under the Internal Revenue Code. Our cost for the pension plan was 15% of each employee’s covered compensation in each of the fiscal years 2009, 2008 and 2007. Effective April 1, 2009, we converted the pension plan to a profit sharing plan. Amounts charged to pension expense and contributed to union multi-employer pension plans were not material. It is our policy to fund all pension costs accrued.</w:t>
      </w:r>
    </w:p>
    <w:p>
      <w:pPr>
        <w:spacing w:after="0" w:line="16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39" w:right="279" w:bottom="1440" w:gutter="0" w:footer="0" w:header="0"/>
          <w:type w:val="continuous"/>
        </w:sectPr>
      </w:pPr>
    </w:p>
    <w:bookmarkStart w:id="27" w:name="page28"/>
    <w:bookmarkEnd w:id="27"/>
    <w:p>
      <w:pPr>
        <w:ind w:left="80" w:right="80"/>
        <w:spacing w:after="0" w:line="259" w:lineRule="auto"/>
        <w:rPr>
          <w:sz w:val="20"/>
          <w:szCs w:val="20"/>
          <w:color w:val="auto"/>
        </w:rPr>
      </w:pPr>
      <w:r>
        <w:rPr>
          <w:rFonts w:ascii="Arial" w:cs="Arial" w:eastAsia="Arial" w:hAnsi="Arial"/>
          <w:sz w:val="18"/>
          <w:szCs w:val="18"/>
          <w:color w:val="auto"/>
        </w:rPr>
        <w:t>We have an employee stock ownership plan (ESOP) covering substantially all of our non-bargaining employees, excluding officers. Contributions are made at the discretion of the Board of Directors subject to a maximum amount allowed under the Internal Revenue Code. Our cost for the ESOP was 5% of each employee’s covered compensation in each of the fiscal years 2009, 2008 and 2007.</w:t>
      </w:r>
    </w:p>
    <w:p>
      <w:pPr>
        <w:spacing w:after="0" w:line="127" w:lineRule="exact"/>
        <w:rPr>
          <w:sz w:val="20"/>
          <w:szCs w:val="20"/>
          <w:color w:val="auto"/>
        </w:rPr>
      </w:pPr>
    </w:p>
    <w:p>
      <w:pPr>
        <w:ind w:left="80" w:right="320"/>
        <w:spacing w:after="0" w:line="268" w:lineRule="auto"/>
        <w:rPr>
          <w:sz w:val="20"/>
          <w:szCs w:val="20"/>
          <w:color w:val="auto"/>
        </w:rPr>
      </w:pPr>
      <w:r>
        <w:rPr>
          <w:rFonts w:ascii="Arial" w:cs="Arial" w:eastAsia="Arial" w:hAnsi="Arial"/>
          <w:sz w:val="18"/>
          <w:szCs w:val="18"/>
          <w:color w:val="auto"/>
        </w:rPr>
        <w:t>We have an employee stock purchase plan (ESPP) covering substantially all of our employees, excluding officers. We match 75% of each employee’s contribution, up to a maximum of $375 per month, on a monthly basis.</w:t>
      </w:r>
    </w:p>
    <w:p>
      <w:pPr>
        <w:spacing w:after="0" w:line="1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represents the contribution expense for the pension, ESOP, and ESPP plans:</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Benefit Plan</w:t>
            </w:r>
          </w:p>
        </w:tc>
        <w:tc>
          <w:tcPr>
            <w:tcW w:w="5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Pension Plan</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2,669,000</w:t>
            </w:r>
          </w:p>
        </w:tc>
        <w:tc>
          <w:tcPr>
            <w:tcW w:w="4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4"/>
              </w:rPr>
              <w:t>2,389,000</w:t>
            </w:r>
          </w:p>
        </w:tc>
        <w:tc>
          <w:tcPr>
            <w:tcW w:w="4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97"/>
              </w:rPr>
              <w:t>2,179,000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ESOP</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ESPP</w:t>
            </w:r>
          </w:p>
        </w:tc>
        <w:tc>
          <w:tcPr>
            <w:tcW w:w="16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638,000</w:t>
            </w:r>
          </w:p>
        </w:tc>
        <w:tc>
          <w:tcPr>
            <w:tcW w:w="3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7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608,000</w:t>
            </w:r>
          </w:p>
        </w:tc>
        <w:tc>
          <w:tcPr>
            <w:tcW w:w="3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8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573,000</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2"/>
          </w:tcPr>
          <w:p>
            <w:pPr>
              <w:ind w:left="140"/>
              <w:spacing w:after="0"/>
              <w:rPr>
                <w:sz w:val="20"/>
                <w:szCs w:val="20"/>
                <w:color w:val="auto"/>
              </w:rPr>
            </w:pPr>
            <w:r>
              <w:rPr>
                <w:rFonts w:ascii="Arial" w:cs="Arial" w:eastAsia="Arial" w:hAnsi="Arial"/>
                <w:sz w:val="18"/>
                <w:szCs w:val="18"/>
                <w:color w:val="auto"/>
              </w:rPr>
              <w:t>Total contribution expense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4,162,000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3,788,000</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3,478,000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Board of Directors approved a long-term incentive equity compensation arrangement for our executive officers during the first quarter of fiscal 2009. This long-term incentive arrangement provides for the grant of nonqualified stock options that vest at the end of a three-year period and expire no later than 10 years after the grant date. On May 13, 2008, we issued 61,332 stock options to our executive officers under this arrangement. We used the Black-Scholes valuation model to estimate the fair value of the options at grant date based on the following assumptions: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80" w:type="dxa"/>
            <w:vAlign w:val="bottom"/>
            <w:shd w:val="clear" w:color="auto" w:fill="D6F3E8"/>
          </w:tcPr>
          <w:p>
            <w:pPr>
              <w:spacing w:after="0"/>
              <w:rPr>
                <w:sz w:val="20"/>
                <w:szCs w:val="20"/>
                <w:color w:val="auto"/>
              </w:rPr>
            </w:pPr>
            <w:r>
              <w:rPr>
                <w:rFonts w:ascii="Arial" w:cs="Arial" w:eastAsia="Arial" w:hAnsi="Arial"/>
                <w:sz w:val="18"/>
                <w:szCs w:val="18"/>
                <w:color w:val="auto"/>
              </w:rPr>
              <w:t>Dividend Yield:</w:t>
            </w: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Volatility:</w:t>
            </w:r>
          </w:p>
        </w:tc>
        <w:tc>
          <w:tcPr>
            <w:tcW w:w="14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2580" w:type="dxa"/>
            <w:vAlign w:val="bottom"/>
            <w:shd w:val="clear" w:color="auto" w:fill="D6F3E8"/>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72"/>
              <w:spacing w:after="0"/>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ind w:left="80" w:right="40"/>
        <w:spacing w:after="0" w:line="306" w:lineRule="auto"/>
        <w:rPr>
          <w:sz w:val="20"/>
          <w:szCs w:val="20"/>
          <w:color w:val="auto"/>
        </w:rPr>
      </w:pPr>
      <w:r>
        <w:rPr>
          <w:rFonts w:ascii="Arial" w:cs="Arial" w:eastAsia="Arial" w:hAnsi="Arial"/>
          <w:sz w:val="16"/>
          <w:szCs w:val="16"/>
          <w:color w:val="auto"/>
        </w:rPr>
        <w:t>Volatility was calculated using the past four years of historical stock prices of our common stock. The expected life is estimated based on expected future trends and the terms and vesting periods of the options granted. The risk-free interest rate is an interpolation of the relevant U.S. Treasury Bond Rate as of the grant date. The grant date fair value was $2.95 per option and we recorded compensation expense for fiscal 2009 of $53,000.</w:t>
      </w:r>
    </w:p>
    <w:p>
      <w:pPr>
        <w:spacing w:after="0" w:line="93" w:lineRule="exact"/>
        <w:rPr>
          <w:sz w:val="20"/>
          <w:szCs w:val="20"/>
          <w:color w:val="auto"/>
        </w:rPr>
      </w:pPr>
    </w:p>
    <w:p>
      <w:pPr>
        <w:ind w:left="80"/>
        <w:spacing w:after="0" w:line="288" w:lineRule="auto"/>
        <w:rPr>
          <w:sz w:val="20"/>
          <w:szCs w:val="20"/>
          <w:color w:val="auto"/>
        </w:rPr>
      </w:pPr>
      <w:r>
        <w:rPr>
          <w:rFonts w:ascii="Arial" w:cs="Arial" w:eastAsia="Arial" w:hAnsi="Arial"/>
          <w:sz w:val="16"/>
          <w:szCs w:val="16"/>
          <w:color w:val="auto"/>
        </w:rPr>
        <w:t>Our Board of Directors approved a performance-based equity compensation arrangement for our executive officers during the first quarter of fiscal 2009. The performance-based arrangement provides for the grant of performance units that represent a possible future issuance of restricted shares of our common stock based on our pre-tax income target for the applicable fiscal year. On May 13, 2008, we granted performance units to our executive officers under this arrangement. The actual number of restricted shares to be issued to each officer will be determined after our final financial information becomes available after the applicable fiscal year and will be between 0 shares and 23,000 shares in the aggregate. The restricted shares issued will fully vest two years after the last day of the fiscal year on which the performance is based. In accordance with SFAS 123R, “Share-Based Payment,” we are recording the compensation expense for the outstanding performance share units over the life of the awards and recorded $116,000 of compensation expense for fiscal 2009. The amount of expense recorded each period is dependent upon our estimate of the number of shares that will ultimately be issued and the current price of our common stock.</w:t>
      </w:r>
    </w:p>
    <w:p>
      <w:pPr>
        <w:spacing w:after="0" w:line="106" w:lineRule="exact"/>
        <w:rPr>
          <w:sz w:val="20"/>
          <w:szCs w:val="20"/>
          <w:color w:val="auto"/>
        </w:rPr>
      </w:pPr>
    </w:p>
    <w:p>
      <w:pPr>
        <w:ind w:left="80" w:right="400"/>
        <w:spacing w:after="0" w:line="306" w:lineRule="auto"/>
        <w:rPr>
          <w:sz w:val="20"/>
          <w:szCs w:val="20"/>
          <w:color w:val="auto"/>
        </w:rPr>
      </w:pPr>
      <w:r>
        <w:rPr>
          <w:rFonts w:ascii="Arial" w:cs="Arial" w:eastAsia="Arial" w:hAnsi="Arial"/>
          <w:sz w:val="16"/>
          <w:szCs w:val="16"/>
          <w:color w:val="auto"/>
        </w:rPr>
        <w:t>As part of their retainer, the Board of Directors receives restricted stock for their Board services. The restricted stock awards are expensed over the requisite vesting period, which begins on the date of issuance and ends on the date of the next Annual Meeting of Shareholders, based on the market value on the date of grant. The following represents the grants for the Board’s fiscal 2009 and 2008 services:</w:t>
      </w:r>
    </w:p>
    <w:p>
      <w:pPr>
        <w:spacing w:after="0" w:line="16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145" w:right="259" w:bottom="1440" w:gutter="0" w:footer="0" w:header="0"/>
        </w:sectPr>
      </w:pPr>
    </w:p>
    <w:bookmarkStart w:id="28" w:name="page29"/>
    <w:bookmarkEnd w:id="28"/>
    <w:tbl>
      <w:tblPr>
        <w:tblLayout w:type="fixed"/>
        <w:tblInd w:w="10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Grant Date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82"/>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4"/>
              </w:rPr>
              <w:t>Number of Shares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9"/>
              </w:rPr>
              <w:t>Fair Value</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Grant Date</w:t>
            </w:r>
          </w:p>
        </w:tc>
        <w:tc>
          <w:tcPr>
            <w:tcW w:w="280" w:type="dxa"/>
            <w:vAlign w:val="bottom"/>
          </w:tcPr>
          <w:p>
            <w:pPr>
              <w:spacing w:after="0"/>
              <w:rPr>
                <w:sz w:val="14"/>
                <w:szCs w:val="14"/>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Awarded</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5"/>
              </w:rPr>
              <w:t>Per Share</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Expense</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Expense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1560" w:type="dxa"/>
            <w:vAlign w:val="bottom"/>
            <w:gridSpan w:val="2"/>
          </w:tcPr>
          <w:p>
            <w:pPr>
              <w:spacing w:after="0"/>
              <w:rPr>
                <w:sz w:val="12"/>
                <w:szCs w:val="12"/>
                <w:color w:val="auto"/>
              </w:rPr>
            </w:pPr>
          </w:p>
        </w:tc>
        <w:tc>
          <w:tcPr>
            <w:tcW w:w="48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D6F3E8"/>
          </w:tcPr>
          <w:p>
            <w:pPr>
              <w:spacing w:after="0"/>
              <w:rPr>
                <w:sz w:val="20"/>
                <w:szCs w:val="20"/>
                <w:color w:val="auto"/>
              </w:rPr>
            </w:pPr>
            <w:r>
              <w:rPr>
                <w:rFonts w:ascii="Arial" w:cs="Arial" w:eastAsia="Arial" w:hAnsi="Arial"/>
                <w:sz w:val="18"/>
                <w:szCs w:val="18"/>
                <w:color w:val="auto"/>
              </w:rPr>
              <w:t>September 18, 2007</w:t>
            </w:r>
          </w:p>
        </w:tc>
        <w:tc>
          <w:tcPr>
            <w:tcW w:w="15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7,000</w:t>
            </w:r>
          </w:p>
        </w:tc>
        <w:tc>
          <w:tcPr>
            <w:tcW w:w="4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14.48</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61,000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August 7, 2008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7,000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Total expense</w:t>
            </w:r>
          </w:p>
        </w:tc>
        <w:tc>
          <w:tcPr>
            <w:tcW w:w="280" w:type="dxa"/>
            <w:vAlign w:val="bottom"/>
            <w:tcBorders>
              <w:bottom w:val="single" w:sz="8" w:color="D6F3E8"/>
            </w:tcBorders>
            <w:shd w:val="clear" w:color="auto" w:fill="D6F3E8"/>
          </w:tcPr>
          <w:p>
            <w:pPr>
              <w:spacing w:after="0"/>
              <w:rPr>
                <w:sz w:val="20"/>
                <w:szCs w:val="20"/>
                <w:color w:val="auto"/>
              </w:rPr>
            </w:pPr>
          </w:p>
        </w:tc>
        <w:tc>
          <w:tcPr>
            <w:tcW w:w="128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D6F3E8"/>
            </w:tcBorders>
            <w:shd w:val="clear" w:color="auto" w:fill="D6F3E8"/>
          </w:tcPr>
          <w:p>
            <w:pPr>
              <w:spacing w:after="0"/>
              <w:rPr>
                <w:sz w:val="20"/>
                <w:szCs w:val="20"/>
                <w:color w:val="auto"/>
              </w:rPr>
            </w:pPr>
          </w:p>
        </w:tc>
        <w:tc>
          <w:tcPr>
            <w:tcW w:w="200" w:type="dxa"/>
            <w:vAlign w:val="bottom"/>
            <w:tcBorders>
              <w:bottom w:val="single" w:sz="8" w:color="D6F3E8"/>
            </w:tcBorders>
            <w:shd w:val="clear" w:color="auto" w:fill="D6F3E8"/>
          </w:tcPr>
          <w:p>
            <w:pPr>
              <w:spacing w:after="0"/>
              <w:rPr>
                <w:sz w:val="20"/>
                <w:szCs w:val="20"/>
                <w:color w:val="auto"/>
              </w:rPr>
            </w:pPr>
          </w:p>
        </w:tc>
        <w:tc>
          <w:tcPr>
            <w:tcW w:w="1080" w:type="dxa"/>
            <w:vAlign w:val="bottom"/>
            <w:tcBorders>
              <w:bottom w:val="single" w:sz="8" w:color="D6F3E8"/>
            </w:tcBorders>
            <w:shd w:val="clear" w:color="auto" w:fill="D6F3E8"/>
          </w:tcPr>
          <w:p>
            <w:pPr>
              <w:spacing w:after="0"/>
              <w:rPr>
                <w:sz w:val="20"/>
                <w:szCs w:val="20"/>
                <w:color w:val="auto"/>
              </w:rPr>
            </w:pPr>
          </w:p>
        </w:tc>
        <w:tc>
          <w:tcPr>
            <w:tcW w:w="28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108,000</w:t>
            </w:r>
          </w:p>
        </w:tc>
        <w:tc>
          <w:tcPr>
            <w:tcW w:w="28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61,000</w:t>
            </w:r>
          </w:p>
        </w:tc>
        <w:tc>
          <w:tcPr>
            <w:tcW w:w="100" w:type="dxa"/>
            <w:vAlign w:val="bottom"/>
            <w:tcBorders>
              <w:bottom w:val="single" w:sz="8" w:color="D6F3E8"/>
            </w:tcBorders>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572"/>
        <w:spacing w:after="0" w:line="256" w:lineRule="auto"/>
        <w:rPr>
          <w:sz w:val="20"/>
          <w:szCs w:val="20"/>
          <w:color w:val="auto"/>
        </w:rPr>
      </w:pPr>
      <w:r>
        <w:rPr>
          <w:rFonts w:ascii="Arial" w:cs="Arial" w:eastAsia="Arial" w:hAnsi="Arial"/>
          <w:sz w:val="18"/>
          <w:szCs w:val="18"/>
          <w:color w:val="auto"/>
        </w:rPr>
        <w:t>On December 15, 2006, we issued 45,257 shares of restricted stock to certain employees of Hawkins. The restricted stock awards were recorded as compensation expense over the requisite vesting period, which was one year of service, based on the market value on the date of grant. The grant date fair value on December 15, 2006 was $14.09. The shares became fully vested on December 15, 2007. Restricted stock expense related to this grant was $450,000 for fiscal 2008 and $186,000 for fiscal 2007.</w:t>
      </w:r>
    </w:p>
    <w:p>
      <w:pPr>
        <w:spacing w:after="0" w:line="130" w:lineRule="exact"/>
        <w:rPr>
          <w:sz w:val="20"/>
          <w:szCs w:val="20"/>
          <w:color w:val="auto"/>
        </w:rPr>
      </w:pPr>
    </w:p>
    <w:p>
      <w:pPr>
        <w:ind w:left="572"/>
        <w:spacing w:after="0"/>
        <w:rPr>
          <w:sz w:val="20"/>
          <w:szCs w:val="20"/>
          <w:color w:val="auto"/>
        </w:rPr>
      </w:pPr>
      <w:r>
        <w:rPr>
          <w:rFonts w:ascii="Arial" w:cs="Arial" w:eastAsia="Arial" w:hAnsi="Arial"/>
          <w:sz w:val="18"/>
          <w:szCs w:val="18"/>
          <w:color w:val="auto"/>
        </w:rPr>
        <w:t>We do not currently offer any other significant post-retirement or post-employment benefits.</w:t>
      </w:r>
    </w:p>
    <w:p>
      <w:pPr>
        <w:spacing w:after="0" w:line="260" w:lineRule="exact"/>
        <w:rPr>
          <w:sz w:val="20"/>
          <w:szCs w:val="20"/>
          <w:color w:val="auto"/>
        </w:rPr>
      </w:pPr>
    </w:p>
    <w:p>
      <w:pPr>
        <w:ind w:left="572" w:hanging="572"/>
        <w:spacing w:after="0"/>
        <w:tabs>
          <w:tab w:leader="none" w:pos="5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57" w:lineRule="exact"/>
        <w:rPr>
          <w:rFonts w:ascii="Arial" w:cs="Arial" w:eastAsia="Arial" w:hAnsi="Arial"/>
          <w:sz w:val="18"/>
          <w:szCs w:val="18"/>
          <w:b w:val="1"/>
          <w:bCs w:val="1"/>
          <w:color w:val="auto"/>
        </w:rPr>
      </w:pPr>
    </w:p>
    <w:p>
      <w:pPr>
        <w:ind w:left="572" w:right="620"/>
        <w:spacing w:after="0" w:line="339"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w:t>
      </w:r>
      <w:r>
        <w:rPr>
          <w:rFonts w:ascii="Arial" w:cs="Arial" w:eastAsia="Arial" w:hAnsi="Arial"/>
          <w:sz w:val="16"/>
          <w:szCs w:val="16"/>
          <w:color w:val="auto"/>
        </w:rPr>
        <w:t>We have various operating leases for trucks and land and buildings on which some of our operations are located. Future minimum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due under operating leases with an initial term of one year or more at March 29, 2009 are as follows:</w:t>
      </w:r>
    </w:p>
    <w:p>
      <w:pPr>
        <w:spacing w:after="0" w:line="171"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8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Thereafter</w:t>
            </w:r>
          </w:p>
        </w:tc>
        <w:tc>
          <w:tcPr>
            <w:tcW w:w="120" w:type="dxa"/>
            <w:vAlign w:val="bottom"/>
          </w:tcPr>
          <w:p>
            <w:pPr>
              <w:spacing w:after="0"/>
              <w:rPr>
                <w:sz w:val="14"/>
                <w:szCs w:val="14"/>
                <w:color w:val="auto"/>
              </w:rPr>
            </w:pPr>
          </w:p>
        </w:tc>
      </w:tr>
      <w:tr>
        <w:trPr>
          <w:trHeight w:val="210"/>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Minimum lease payment</w:t>
            </w:r>
          </w:p>
        </w:tc>
        <w:tc>
          <w:tcPr>
            <w:tcW w:w="11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98"/>
              </w:rPr>
              <w:t>$  496,000</w:t>
            </w:r>
          </w:p>
        </w:tc>
        <w:tc>
          <w:tcPr>
            <w:tcW w:w="12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w w:val="95"/>
              </w:rPr>
              <w:t>$   408,000</w:t>
            </w:r>
          </w:p>
        </w:tc>
        <w:tc>
          <w:tcPr>
            <w:tcW w:w="96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w w:val="95"/>
              </w:rPr>
              <w:t>$   372,000</w:t>
            </w:r>
          </w:p>
        </w:tc>
        <w:tc>
          <w:tcPr>
            <w:tcW w:w="1140" w:type="dxa"/>
            <w:vAlign w:val="bottom"/>
            <w:gridSpan w:val="4"/>
            <w:shd w:val="clear" w:color="auto" w:fill="D6F3E8"/>
          </w:tcPr>
          <w:p>
            <w:pPr>
              <w:jc w:val="right"/>
              <w:ind w:right="20"/>
              <w:spacing w:after="0"/>
              <w:rPr>
                <w:sz w:val="20"/>
                <w:szCs w:val="20"/>
                <w:color w:val="auto"/>
              </w:rPr>
            </w:pPr>
            <w:r>
              <w:rPr>
                <w:rFonts w:ascii="Arial" w:cs="Arial" w:eastAsia="Arial" w:hAnsi="Arial"/>
                <w:sz w:val="18"/>
                <w:szCs w:val="18"/>
                <w:color w:val="auto"/>
              </w:rPr>
              <w:t>$   379,000</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383,000</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w w:val="94"/>
              </w:rPr>
              <w:t>3,108,000</w:t>
            </w:r>
          </w:p>
        </w:tc>
      </w:tr>
      <w:tr>
        <w:trPr>
          <w:trHeight w:val="471"/>
        </w:trPr>
        <w:tc>
          <w:tcPr>
            <w:tcW w:w="5880" w:type="dxa"/>
            <w:vAlign w:val="bottom"/>
            <w:gridSpan w:val="5"/>
          </w:tcPr>
          <w:p>
            <w:pPr>
              <w:spacing w:after="0"/>
              <w:rPr>
                <w:sz w:val="20"/>
                <w:szCs w:val="20"/>
                <w:color w:val="auto"/>
              </w:rPr>
            </w:pPr>
            <w:r>
              <w:rPr>
                <w:rFonts w:ascii="Arial" w:cs="Arial" w:eastAsia="Arial" w:hAnsi="Arial"/>
                <w:sz w:val="18"/>
                <w:szCs w:val="18"/>
                <w:color w:val="auto"/>
                <w:w w:val="94"/>
              </w:rPr>
              <w:t>Total rental expense for the fiscal years 2009, 2008 and 2007 were as follows: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7"/>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4"/>
                <w:szCs w:val="24"/>
                <w:color w:val="auto"/>
              </w:rPr>
            </w:pPr>
          </w:p>
        </w:tc>
      </w:tr>
      <w:tr>
        <w:trPr>
          <w:trHeight w:val="142"/>
        </w:trPr>
        <w:tc>
          <w:tcPr>
            <w:tcW w:w="3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r>
      <w:tr>
        <w:trPr>
          <w:trHeight w:val="216"/>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Minimum rentals</w:t>
            </w:r>
          </w:p>
        </w:tc>
        <w:tc>
          <w:tcPr>
            <w:tcW w:w="8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860" w:type="dxa"/>
            <w:vAlign w:val="bottom"/>
            <w:gridSpan w:val="2"/>
            <w:shd w:val="clear" w:color="auto" w:fill="D6F3E8"/>
          </w:tcPr>
          <w:p>
            <w:pPr>
              <w:jc w:val="right"/>
              <w:ind w:right="123"/>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538,000</w:t>
            </w:r>
          </w:p>
        </w:tc>
        <w:tc>
          <w:tcPr>
            <w:tcW w:w="28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402,000</w:t>
            </w:r>
          </w:p>
        </w:tc>
        <w:tc>
          <w:tcPr>
            <w:tcW w:w="2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285,000</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Contingent rentals</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106,000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99,000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88,000</w:t>
            </w:r>
          </w:p>
        </w:tc>
      </w:tr>
      <w:tr>
        <w:trPr>
          <w:trHeight w:val="250"/>
        </w:trPr>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rental expense</w:t>
            </w:r>
          </w:p>
        </w:tc>
        <w:tc>
          <w:tcPr>
            <w:tcW w:w="86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bottom w:val="single" w:sz="8" w:color="D6F3E8"/>
            </w:tcBorders>
            <w:shd w:val="clear" w:color="auto" w:fill="D6F3E8"/>
          </w:tcPr>
          <w:p>
            <w:pPr>
              <w:spacing w:after="0"/>
              <w:rPr>
                <w:sz w:val="21"/>
                <w:szCs w:val="21"/>
                <w:color w:val="auto"/>
              </w:rPr>
            </w:pPr>
          </w:p>
        </w:tc>
        <w:tc>
          <w:tcPr>
            <w:tcW w:w="880" w:type="dxa"/>
            <w:vAlign w:val="bottom"/>
            <w:tcBorders>
              <w:bottom w:val="single" w:sz="8" w:color="D6F3E8"/>
            </w:tcBorders>
            <w:shd w:val="clear" w:color="auto" w:fill="D6F3E8"/>
          </w:tcPr>
          <w:p>
            <w:pPr>
              <w:spacing w:after="0"/>
              <w:rPr>
                <w:sz w:val="21"/>
                <w:szCs w:val="21"/>
                <w:color w:val="auto"/>
              </w:rPr>
            </w:pPr>
          </w:p>
        </w:tc>
        <w:tc>
          <w:tcPr>
            <w:tcW w:w="340" w:type="dxa"/>
            <w:vAlign w:val="bottom"/>
            <w:tcBorders>
              <w:bottom w:val="single" w:sz="8" w:color="D6F3E8"/>
            </w:tcBorders>
            <w:shd w:val="clear" w:color="auto" w:fill="D6F3E8"/>
          </w:tcPr>
          <w:p>
            <w:pPr>
              <w:spacing w:after="0"/>
              <w:rPr>
                <w:sz w:val="21"/>
                <w:szCs w:val="21"/>
                <w:color w:val="auto"/>
              </w:rPr>
            </w:pPr>
          </w:p>
        </w:tc>
        <w:tc>
          <w:tcPr>
            <w:tcW w:w="58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D6F3E8"/>
          </w:tcPr>
          <w:p>
            <w:pPr>
              <w:spacing w:after="0"/>
              <w:rPr>
                <w:sz w:val="21"/>
                <w:szCs w:val="21"/>
                <w:color w:val="auto"/>
              </w:rPr>
            </w:pPr>
          </w:p>
        </w:tc>
        <w:tc>
          <w:tcPr>
            <w:tcW w:w="8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644,000</w:t>
            </w:r>
          </w:p>
        </w:tc>
        <w:tc>
          <w:tcPr>
            <w:tcW w:w="280" w:type="dxa"/>
            <w:vAlign w:val="bottom"/>
            <w:tcBorders>
              <w:bottom w:val="single" w:sz="8" w:color="D6F3E8"/>
            </w:tcBorders>
            <w:shd w:val="clear" w:color="auto" w:fill="D6F3E8"/>
          </w:tcPr>
          <w:p>
            <w:pPr>
              <w:spacing w:after="0"/>
              <w:rPr>
                <w:sz w:val="21"/>
                <w:szCs w:val="21"/>
                <w:color w:val="auto"/>
              </w:rPr>
            </w:pPr>
          </w:p>
        </w:tc>
        <w:tc>
          <w:tcPr>
            <w:tcW w:w="40" w:type="dxa"/>
            <w:vAlign w:val="bottom"/>
            <w:tcBorders>
              <w:bottom w:val="single" w:sz="8" w:color="D6F3E8"/>
            </w:tcBorders>
            <w:shd w:val="clear" w:color="auto" w:fill="D6F3E8"/>
          </w:tcPr>
          <w:p>
            <w:pPr>
              <w:spacing w:after="0"/>
              <w:rPr>
                <w:sz w:val="21"/>
                <w:szCs w:val="21"/>
                <w:color w:val="auto"/>
              </w:rPr>
            </w:pPr>
          </w:p>
        </w:tc>
        <w:tc>
          <w:tcPr>
            <w:tcW w:w="300" w:type="dxa"/>
            <w:vAlign w:val="bottom"/>
            <w:tcBorders>
              <w:top w:val="single" w:sz="8" w:color="auto"/>
              <w:bottom w:val="single" w:sz="8" w:color="auto"/>
            </w:tcBorders>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D6F3E8"/>
          </w:tcPr>
          <w:p>
            <w:pPr>
              <w:spacing w:after="0"/>
              <w:rPr>
                <w:sz w:val="21"/>
                <w:szCs w:val="21"/>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501,000</w:t>
            </w:r>
          </w:p>
        </w:tc>
        <w:tc>
          <w:tcPr>
            <w:tcW w:w="300" w:type="dxa"/>
            <w:vAlign w:val="bottom"/>
            <w:tcBorders>
              <w:bottom w:val="single" w:sz="8" w:color="D6F3E8"/>
            </w:tcBorders>
            <w:shd w:val="clear" w:color="auto" w:fill="D6F3E8"/>
          </w:tcPr>
          <w:p>
            <w:pPr>
              <w:spacing w:after="0"/>
              <w:rPr>
                <w:sz w:val="21"/>
                <w:szCs w:val="21"/>
                <w:color w:val="auto"/>
              </w:rPr>
            </w:pPr>
          </w:p>
        </w:tc>
        <w:tc>
          <w:tcPr>
            <w:tcW w:w="20" w:type="dxa"/>
            <w:vAlign w:val="bottom"/>
            <w:tcBorders>
              <w:bottom w:val="single" w:sz="8" w:color="D6F3E8"/>
            </w:tcBorders>
            <w:shd w:val="clear" w:color="auto" w:fill="D6F3E8"/>
          </w:tcPr>
          <w:p>
            <w:pPr>
              <w:spacing w:after="0"/>
              <w:rPr>
                <w:sz w:val="21"/>
                <w:szCs w:val="21"/>
                <w:color w:val="auto"/>
              </w:rPr>
            </w:pPr>
          </w:p>
        </w:tc>
        <w:tc>
          <w:tcPr>
            <w:tcW w:w="320" w:type="dxa"/>
            <w:vAlign w:val="bottom"/>
            <w:tcBorders>
              <w:top w:val="single" w:sz="8" w:color="auto"/>
              <w:bottom w:val="single" w:sz="8" w:color="auto"/>
            </w:tcBorders>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D6F3E8"/>
          </w:tcPr>
          <w:p>
            <w:pPr>
              <w:spacing w:after="0"/>
              <w:rPr>
                <w:sz w:val="21"/>
                <w:szCs w:val="21"/>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373,000</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2" w:lineRule="exact"/>
        <w:rPr>
          <w:sz w:val="20"/>
          <w:szCs w:val="20"/>
          <w:color w:val="auto"/>
        </w:rPr>
      </w:pPr>
    </w:p>
    <w:p>
      <w:pPr>
        <w:ind w:left="572" w:right="800"/>
        <w:spacing w:after="0" w:line="275"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party from time to time in various legal proceedings arising in the ordinary course of our business. None of the pending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proceedings are expected to have a material effect on us.</w:t>
      </w:r>
    </w:p>
    <w:p>
      <w:pPr>
        <w:spacing w:after="0" w:line="112" w:lineRule="exact"/>
        <w:rPr>
          <w:sz w:val="20"/>
          <w:szCs w:val="20"/>
          <w:color w:val="auto"/>
        </w:rPr>
      </w:pPr>
    </w:p>
    <w:p>
      <w:pPr>
        <w:ind w:left="572"/>
        <w:spacing w:after="0" w:line="287" w:lineRule="auto"/>
        <w:rPr>
          <w:sz w:val="20"/>
          <w:szCs w:val="20"/>
          <w:color w:val="auto"/>
        </w:rPr>
      </w:pPr>
      <w:r>
        <w:rPr>
          <w:rFonts w:ascii="Arial" w:cs="Arial" w:eastAsia="Arial" w:hAnsi="Arial"/>
          <w:sz w:val="16"/>
          <w:szCs w:val="16"/>
          <w:b w:val="1"/>
          <w:bCs w:val="1"/>
          <w:i w:val="1"/>
          <w:iCs w:val="1"/>
          <w:color w:val="auto"/>
        </w:rPr>
        <w:t xml:space="preserve">Asset Retirement Obligations — </w:t>
      </w:r>
      <w:r>
        <w:rPr>
          <w:rFonts w:ascii="Arial" w:cs="Arial" w:eastAsia="Arial" w:hAnsi="Arial"/>
          <w:sz w:val="16"/>
          <w:szCs w:val="16"/>
          <w:color w:val="auto"/>
        </w:rPr>
        <w:t>We have two leases of land, and at the end of the lease term (currently 2018 if the leases are not renewed), we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amount of time to remove the property and buildings. At the end of the specified amount of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 and currently intend to do so at expiration of this lease period; the lessor does not have a history of terminating leases with its tenants; and because it is more likely than not that the buildings will have value at the end of the lease life and therefore, may not be removed by either the lessee or the lessor. Therefore, in accordance with SFAS No. 143, “Accounting for Asset Retirement Obligations,” and FASB Interpretation 47, “Accounting for Conditional Asset Retirement Obligations - an interpretation of FASB Statement No. 143,” we have not recorded an asset retirement obligation as of March 29, 2009. We will continue to monitor the factors surrounding the requirement to record an asset retirement obligation and will recognize the fair value of a liability in the period in which it is incurred and a reasonable estimate can be made.</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8" w:right="259" w:bottom="1440" w:gutter="0" w:footer="0" w:header="0"/>
        </w:sectPr>
      </w:pPr>
    </w:p>
    <w:bookmarkStart w:id="29" w:name="page30"/>
    <w:bookmarkEnd w:id="29"/>
    <w:p>
      <w:pPr>
        <w:ind w:left="572" w:hanging="572"/>
        <w:spacing w:after="0"/>
        <w:tabs>
          <w:tab w:leader="none" w:pos="57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3" w:lineRule="exact"/>
        <w:rPr>
          <w:rFonts w:ascii="Arial" w:cs="Arial" w:eastAsia="Arial" w:hAnsi="Arial"/>
          <w:sz w:val="18"/>
          <w:szCs w:val="18"/>
          <w:b w:val="1"/>
          <w:bCs w:val="1"/>
          <w:color w:val="auto"/>
        </w:rPr>
      </w:pPr>
    </w:p>
    <w:p>
      <w:pPr>
        <w:ind w:left="572"/>
        <w:spacing w:after="0"/>
        <w:rPr>
          <w:rFonts w:ascii="Arial" w:cs="Arial" w:eastAsia="Arial" w:hAnsi="Arial"/>
          <w:sz w:val="18"/>
          <w:szCs w:val="18"/>
          <w:b w:val="1"/>
          <w:bCs w:val="1"/>
          <w:color w:val="auto"/>
        </w:rPr>
      </w:pPr>
      <w:r>
        <w:rPr>
          <w:rFonts w:ascii="Arial" w:cs="Arial" w:eastAsia="Arial" w:hAnsi="Arial"/>
          <w:sz w:val="18"/>
          <w:szCs w:val="18"/>
          <w:color w:val="auto"/>
        </w:rPr>
        <w:t>The provisions for income taxes for fiscal 2009, 2008 and 2007 are as follows:</w:t>
      </w:r>
    </w:p>
    <w:p>
      <w:pPr>
        <w:spacing w:after="0" w:line="261"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Federal—current</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8,874,000</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3,290,000</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3,667,000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State—current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2,331,000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889,000</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906,000</w:t>
            </w: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3,046,000</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678,000</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105,000</w:t>
            </w:r>
          </w:p>
        </w:tc>
      </w:tr>
      <w:tr>
        <w:trPr>
          <w:trHeight w:val="20"/>
        </w:trPr>
        <w:tc>
          <w:tcPr>
            <w:tcW w:w="646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r>
      <w:tr>
        <w:trPr>
          <w:trHeight w:val="210"/>
        </w:trPr>
        <w:tc>
          <w:tcPr>
            <w:tcW w:w="6460" w:type="dxa"/>
            <w:vAlign w:val="bottom"/>
          </w:tcPr>
          <w:p>
            <w:pPr>
              <w:ind w:left="160"/>
              <w:spacing w:after="0"/>
              <w:rPr>
                <w:sz w:val="20"/>
                <w:szCs w:val="20"/>
                <w:color w:val="auto"/>
              </w:rPr>
            </w:pPr>
            <w:r>
              <w:rPr>
                <w:rFonts w:ascii="Arial" w:cs="Arial" w:eastAsia="Arial" w:hAnsi="Arial"/>
                <w:sz w:val="18"/>
                <w:szCs w:val="18"/>
                <w:color w:val="auto"/>
              </w:rPr>
              <w:t>Total provision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14,251,000</w:t>
            </w:r>
          </w:p>
        </w:tc>
        <w:tc>
          <w:tcPr>
            <w:tcW w:w="3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4,857,000</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4,678,000</w:t>
            </w: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7" w:lineRule="exact"/>
        <w:rPr>
          <w:sz w:val="20"/>
          <w:szCs w:val="20"/>
          <w:color w:val="auto"/>
        </w:rPr>
      </w:pPr>
    </w:p>
    <w:p>
      <w:pPr>
        <w:ind w:left="572" w:right="300"/>
        <w:spacing w:after="0" w:line="268" w:lineRule="auto"/>
        <w:rPr>
          <w:sz w:val="20"/>
          <w:szCs w:val="20"/>
          <w:color w:val="auto"/>
        </w:rPr>
      </w:pPr>
      <w:r>
        <w:rPr>
          <w:rFonts w:ascii="Arial" w:cs="Arial" w:eastAsia="Arial" w:hAnsi="Arial"/>
          <w:sz w:val="18"/>
          <w:szCs w:val="18"/>
          <w:color w:val="auto"/>
        </w:rPr>
        <w:t>Reconciliations of the provisions for income taxes, based on income from continuing operations, to the applicable federal statutory income tax rate of 35% are listed below.</w:t>
      </w:r>
    </w:p>
    <w:p>
      <w:pPr>
        <w:spacing w:after="0" w:line="222"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spacing w:after="0"/>
              <w:rPr>
                <w:sz w:val="12"/>
                <w:szCs w:val="12"/>
                <w:color w:val="auto"/>
              </w:rPr>
            </w:pP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Statutory federal income tax</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13,212,000</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4,729,000</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4,367,000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State income taxes, net of federal deduction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652,000</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588,000</w:t>
            </w: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Tax-exempt income</w:t>
            </w:r>
          </w:p>
        </w:tc>
        <w:tc>
          <w:tcPr>
            <w:tcW w:w="24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(7,000)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ESOP dividend deduction on allocated shares</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(290,000)</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(259,000)</w:t>
            </w: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(239,000)</w:t>
            </w:r>
          </w:p>
        </w:tc>
      </w:tr>
      <w:tr>
        <w:trPr>
          <w:trHeight w:val="216"/>
        </w:trPr>
        <w:tc>
          <w:tcPr>
            <w:tcW w:w="6460" w:type="dxa"/>
            <w:vAlign w:val="bottom"/>
            <w:shd w:val="clear" w:color="auto" w:fill="D6F3E8"/>
          </w:tcPr>
          <w:p>
            <w:pPr>
              <w:spacing w:after="0"/>
              <w:rPr>
                <w:sz w:val="20"/>
                <w:szCs w:val="20"/>
                <w:color w:val="auto"/>
              </w:rPr>
            </w:pPr>
            <w:r>
              <w:rPr>
                <w:rFonts w:ascii="Arial" w:cs="Arial" w:eastAsia="Arial" w:hAnsi="Arial"/>
                <w:sz w:val="18"/>
                <w:szCs w:val="18"/>
                <w:color w:val="auto"/>
              </w:rPr>
              <w:t>Domestic production deduction</w:t>
            </w:r>
          </w:p>
        </w:tc>
        <w:tc>
          <w:tcPr>
            <w:tcW w:w="24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(385,000)</w:t>
            </w:r>
          </w:p>
        </w:tc>
        <w:tc>
          <w:tcPr>
            <w:tcW w:w="28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(105,000)</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(39,000)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Other—net</w:t>
            </w: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(190,000)</w:t>
            </w:r>
          </w:p>
        </w:tc>
        <w:tc>
          <w:tcPr>
            <w:tcW w:w="2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(154,000)</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r>
      <w:tr>
        <w:trPr>
          <w:trHeight w:val="250"/>
        </w:trPr>
        <w:tc>
          <w:tcPr>
            <w:tcW w:w="6460" w:type="dxa"/>
            <w:vAlign w:val="bottom"/>
            <w:tcBorders>
              <w:bottom w:val="single" w:sz="8" w:color="D6F3E8"/>
            </w:tcBorders>
            <w:shd w:val="clear" w:color="auto" w:fill="D6F3E8"/>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14,251,000</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4,857,000</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4,678,000</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The tax effects of items comprising our net deferred tax asset (liability) as of March 29, 2009 and March 30, 2008 are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572"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980" w:type="dxa"/>
            <w:vAlign w:val="bottom"/>
            <w:shd w:val="clear" w:color="auto" w:fill="D6F3E8"/>
          </w:tcPr>
          <w:p>
            <w:pPr>
              <w:spacing w:after="0"/>
              <w:rPr>
                <w:sz w:val="20"/>
                <w:szCs w:val="20"/>
                <w:color w:val="auto"/>
              </w:rPr>
            </w:pPr>
            <w:r>
              <w:rPr>
                <w:rFonts w:ascii="Arial" w:cs="Arial" w:eastAsia="Arial" w:hAnsi="Arial"/>
                <w:sz w:val="18"/>
                <w:szCs w:val="18"/>
                <w:color w:val="auto"/>
              </w:rPr>
              <w:t>Current deferred taxes:</w:t>
            </w:r>
          </w:p>
        </w:tc>
        <w:tc>
          <w:tcPr>
            <w:tcW w:w="26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Trade receivables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137,000</w:t>
            </w:r>
          </w:p>
        </w:tc>
        <w:tc>
          <w:tcPr>
            <w:tcW w:w="320" w:type="dxa"/>
            <w:vAlign w:val="bottom"/>
          </w:tcPr>
          <w:p>
            <w:pPr>
              <w:spacing w:after="0"/>
              <w:rPr>
                <w:sz w:val="18"/>
                <w:szCs w:val="18"/>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88,000</w:t>
            </w: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457,000</w:t>
            </w:r>
          </w:p>
        </w:tc>
        <w:tc>
          <w:tcPr>
            <w:tcW w:w="3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246,000</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Accruals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399,000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310,000</w:t>
            </w: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Prepaid</w:t>
            </w:r>
          </w:p>
        </w:tc>
        <w:tc>
          <w:tcPr>
            <w:tcW w:w="26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(343,000)</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61,000</w:t>
            </w:r>
          </w:p>
        </w:tc>
      </w:tr>
      <w:tr>
        <w:trPr>
          <w:trHeight w:val="250"/>
        </w:trPr>
        <w:tc>
          <w:tcPr>
            <w:tcW w:w="798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683,000</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705,000</w:t>
            </w:r>
          </w:p>
        </w:tc>
        <w:tc>
          <w:tcPr>
            <w:tcW w:w="120" w:type="dxa"/>
            <w:vAlign w:val="bottom"/>
            <w:tcBorders>
              <w:bottom w:val="single" w:sz="8" w:color="D6F3E8"/>
            </w:tcBorders>
            <w:shd w:val="clear" w:color="auto" w:fill="D6F3E8"/>
          </w:tcPr>
          <w:p>
            <w:pPr>
              <w:spacing w:after="0"/>
              <w:rPr>
                <w:sz w:val="21"/>
                <w:szCs w:val="21"/>
                <w:color w:val="auto"/>
              </w:rPr>
            </w:pPr>
          </w:p>
        </w:tc>
      </w:tr>
      <w:tr>
        <w:trPr>
          <w:trHeight w:val="344"/>
        </w:trPr>
        <w:tc>
          <w:tcPr>
            <w:tcW w:w="7980" w:type="dxa"/>
            <w:vAlign w:val="bottom"/>
          </w:tcPr>
          <w:p>
            <w:pPr>
              <w:spacing w:after="0"/>
              <w:rPr>
                <w:sz w:val="20"/>
                <w:szCs w:val="20"/>
                <w:color w:val="auto"/>
              </w:rPr>
            </w:pPr>
            <w:r>
              <w:rPr>
                <w:rFonts w:ascii="Arial" w:cs="Arial" w:eastAsia="Arial" w:hAnsi="Arial"/>
                <w:sz w:val="18"/>
                <w:szCs w:val="18"/>
                <w:color w:val="auto"/>
              </w:rPr>
              <w:t>Noncurrent deferred taxes: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Excess of tax over book depreciation</w:t>
            </w:r>
          </w:p>
        </w:tc>
        <w:tc>
          <w:tcPr>
            <w:tcW w:w="260" w:type="dxa"/>
            <w:vAlign w:val="bottom"/>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(4,340,000)</w:t>
            </w:r>
          </w:p>
        </w:tc>
        <w:tc>
          <w:tcPr>
            <w:tcW w:w="280" w:type="dxa"/>
            <w:vAlign w:val="bottom"/>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(1,113,000)</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Accruals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46,000</w:t>
            </w: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(82,000)</w:t>
            </w:r>
          </w:p>
        </w:tc>
        <w:tc>
          <w:tcPr>
            <w:tcW w:w="28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(33,000)</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r>
      <w:tr>
        <w:trPr>
          <w:trHeight w:val="250"/>
        </w:trPr>
        <w:tc>
          <w:tcPr>
            <w:tcW w:w="798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D6F3E8"/>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9"/>
              </w:rPr>
              <w:t>(4,120,000)</w:t>
            </w:r>
          </w:p>
        </w:tc>
        <w:tc>
          <w:tcPr>
            <w:tcW w:w="320" w:type="dxa"/>
            <w:vAlign w:val="bottom"/>
            <w:tcBorders>
              <w:bottom w:val="single" w:sz="8" w:color="D6F3E8"/>
            </w:tcBorders>
            <w:shd w:val="clear" w:color="auto" w:fill="D6F3E8"/>
          </w:tcPr>
          <w:p>
            <w:pPr>
              <w:spacing w:after="0"/>
              <w:rPr>
                <w:sz w:val="21"/>
                <w:szCs w:val="21"/>
                <w:color w:val="auto"/>
              </w:rPr>
            </w:pPr>
          </w:p>
        </w:tc>
        <w:tc>
          <w:tcPr>
            <w:tcW w:w="280" w:type="dxa"/>
            <w:vAlign w:val="bottom"/>
            <w:tcBorders>
              <w:top w:val="single" w:sz="8" w:color="auto"/>
              <w:bottom w:val="single" w:sz="8" w:color="auto"/>
            </w:tcBorders>
            <w:shd w:val="clear" w:color="auto" w:fill="D6F3E8"/>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7"/>
              </w:rPr>
              <w:t>(1,097,000)</w:t>
            </w:r>
          </w:p>
        </w:tc>
        <w:tc>
          <w:tcPr>
            <w:tcW w:w="120" w:type="dxa"/>
            <w:vAlign w:val="bottom"/>
            <w:tcBorders>
              <w:bottom w:val="single" w:sz="8" w:color="D6F3E8"/>
            </w:tcBorders>
            <w:shd w:val="clear" w:color="auto" w:fill="D6F3E8"/>
          </w:tcPr>
          <w:p>
            <w:pPr>
              <w:spacing w:after="0"/>
              <w:rPr>
                <w:sz w:val="21"/>
                <w:szCs w:val="21"/>
                <w:color w:val="auto"/>
              </w:rPr>
            </w:pPr>
          </w:p>
        </w:tc>
      </w:tr>
    </w:tbl>
    <w:p>
      <w:pPr>
        <w:spacing w:after="0" w:line="248" w:lineRule="exact"/>
        <w:rPr>
          <w:sz w:val="20"/>
          <w:szCs w:val="20"/>
          <w:color w:val="auto"/>
        </w:rPr>
      </w:pPr>
    </w:p>
    <w:p>
      <w:pPr>
        <w:ind w:left="572"/>
        <w:spacing w:after="0"/>
        <w:rPr>
          <w:sz w:val="20"/>
          <w:szCs w:val="20"/>
          <w:color w:val="auto"/>
        </w:rPr>
      </w:pPr>
      <w:r>
        <w:rPr>
          <w:rFonts w:ascii="Arial" w:cs="Arial" w:eastAsia="Arial" w:hAnsi="Arial"/>
          <w:sz w:val="18"/>
          <w:szCs w:val="18"/>
          <w:color w:val="auto"/>
        </w:rPr>
        <w:t>* Included in prepaid expenses and other current assets on the balance sheet.</w:t>
      </w:r>
    </w:p>
    <w:p>
      <w:pPr>
        <w:spacing w:after="0" w:line="151" w:lineRule="exact"/>
        <w:rPr>
          <w:sz w:val="20"/>
          <w:szCs w:val="20"/>
          <w:color w:val="auto"/>
        </w:rPr>
      </w:pPr>
    </w:p>
    <w:p>
      <w:pPr>
        <w:ind w:left="572" w:hanging="572"/>
        <w:spacing w:after="0"/>
        <w:tabs>
          <w:tab w:leader="none" w:pos="57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63" w:lineRule="exact"/>
        <w:rPr>
          <w:rFonts w:ascii="Arial" w:cs="Arial" w:eastAsia="Arial" w:hAnsi="Arial"/>
          <w:sz w:val="18"/>
          <w:szCs w:val="18"/>
          <w:b w:val="1"/>
          <w:bCs w:val="1"/>
          <w:color w:val="auto"/>
        </w:rPr>
      </w:pPr>
    </w:p>
    <w:p>
      <w:pPr>
        <w:ind w:left="572"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 revenues amount to 10 percent or more of our revenue. Sales are primarily within the United States and all assets are located within the United States.</w:t>
      </w:r>
    </w:p>
    <w:p>
      <w:pPr>
        <w:spacing w:after="0" w:line="17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39" w:right="25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Water</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592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Industrial</w:t>
            </w:r>
          </w:p>
        </w:tc>
        <w:tc>
          <w:tcPr>
            <w:tcW w:w="24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Treatment</w:t>
            </w:r>
          </w:p>
        </w:tc>
        <w:tc>
          <w:tcPr>
            <w:tcW w:w="30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r>
      <w:tr>
        <w:trPr>
          <w:trHeight w:val="142"/>
        </w:trPr>
        <w:tc>
          <w:tcPr>
            <w:tcW w:w="5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920" w:type="dxa"/>
            <w:vAlign w:val="bottom"/>
            <w:shd w:val="clear" w:color="auto" w:fill="D6F3E8"/>
          </w:tcPr>
          <w:p>
            <w:pPr>
              <w:spacing w:after="0"/>
              <w:rPr>
                <w:sz w:val="20"/>
                <w:szCs w:val="20"/>
                <w:color w:val="auto"/>
              </w:rPr>
            </w:pPr>
            <w:r>
              <w:rPr>
                <w:rFonts w:ascii="Arial" w:cs="Arial" w:eastAsia="Arial" w:hAnsi="Arial"/>
                <w:sz w:val="18"/>
                <w:szCs w:val="18"/>
                <w:color w:val="auto"/>
              </w:rPr>
              <w:t>Fiscal Year Ended March 29, 2009:</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5920" w:type="dxa"/>
            <w:vAlign w:val="bottom"/>
          </w:tcPr>
          <w:p>
            <w:pPr>
              <w:ind w:left="160"/>
              <w:spacing w:after="0"/>
              <w:rPr>
                <w:sz w:val="20"/>
                <w:szCs w:val="20"/>
                <w:color w:val="auto"/>
              </w:rPr>
            </w:pPr>
            <w:r>
              <w:rPr>
                <w:rFonts w:ascii="Arial" w:cs="Arial" w:eastAsia="Arial" w:hAnsi="Arial"/>
                <w:sz w:val="18"/>
                <w:szCs w:val="18"/>
                <w:color w:val="auto"/>
              </w:rPr>
              <w:t>Sales</w:t>
            </w:r>
          </w:p>
        </w:tc>
        <w:tc>
          <w:tcPr>
            <w:tcW w:w="4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201,596,000</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82,760,000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284,356,000</w:t>
            </w:r>
          </w:p>
        </w:tc>
      </w:tr>
      <w:tr>
        <w:trPr>
          <w:trHeight w:val="216"/>
        </w:trPr>
        <w:tc>
          <w:tcPr>
            <w:tcW w:w="59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41,466,000</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20,954,000</w:t>
            </w:r>
          </w:p>
        </w:tc>
        <w:tc>
          <w:tcPr>
            <w:tcW w:w="3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62,420,000</w:t>
            </w:r>
          </w:p>
        </w:tc>
      </w:tr>
      <w:tr>
        <w:trPr>
          <w:trHeight w:val="216"/>
        </w:trPr>
        <w:tc>
          <w:tcPr>
            <w:tcW w:w="592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25,520,000</w:t>
            </w:r>
          </w:p>
        </w:tc>
        <w:tc>
          <w:tcPr>
            <w:tcW w:w="22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11,817,000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37,337,000</w:t>
            </w: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592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r>
      <w:tr>
        <w:trPr>
          <w:trHeight w:val="236"/>
        </w:trPr>
        <w:tc>
          <w:tcPr>
            <w:tcW w:w="59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Identifiable assets*</w:t>
            </w:r>
          </w:p>
        </w:tc>
        <w:tc>
          <w:tcPr>
            <w:tcW w:w="220" w:type="dxa"/>
            <w:vAlign w:val="bottom"/>
            <w:shd w:val="clear" w:color="auto" w:fill="D6F3E8"/>
          </w:tcPr>
          <w:p>
            <w:pPr>
              <w:spacing w:after="0"/>
              <w:rPr>
                <w:sz w:val="20"/>
                <w:szCs w:val="20"/>
                <w:color w:val="auto"/>
              </w:rPr>
            </w:pP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78,083,000</w:t>
            </w:r>
          </w:p>
        </w:tc>
        <w:tc>
          <w:tcPr>
            <w:tcW w:w="220" w:type="dxa"/>
            <w:vAlign w:val="bottom"/>
            <w:shd w:val="clear" w:color="auto" w:fill="D6F3E8"/>
          </w:tcPr>
          <w:p>
            <w:pPr>
              <w:spacing w:after="0"/>
              <w:rPr>
                <w:sz w:val="20"/>
                <w:szCs w:val="20"/>
                <w:color w:val="auto"/>
              </w:rPr>
            </w:pP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20,896,000</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98,979,000</w:t>
            </w:r>
          </w:p>
        </w:tc>
      </w:tr>
      <w:tr>
        <w:trPr>
          <w:trHeight w:val="20"/>
        </w:trPr>
        <w:tc>
          <w:tcPr>
            <w:tcW w:w="592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800" w:right="200" w:hanging="221"/>
        <w:spacing w:after="0" w:line="332"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Unallocated assets consisting primarily of cash and cash equivalents and prepaid expenses were $33,414,000. Additionally, trade receivables and our customer list associated with the discontinued operations of the Pharmaceutical Segment were $3,897,000 at March 29, 2009.</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40" w:type="dxa"/>
            <w:vAlign w:val="bottom"/>
            <w:shd w:val="clear" w:color="auto" w:fill="D6F3E8"/>
          </w:tcPr>
          <w:p>
            <w:pPr>
              <w:spacing w:after="0"/>
              <w:rPr>
                <w:sz w:val="20"/>
                <w:szCs w:val="20"/>
                <w:color w:val="auto"/>
              </w:rPr>
            </w:pPr>
            <w:r>
              <w:rPr>
                <w:rFonts w:ascii="Arial" w:cs="Arial" w:eastAsia="Arial" w:hAnsi="Arial"/>
                <w:sz w:val="18"/>
                <w:szCs w:val="18"/>
                <w:color w:val="auto"/>
              </w:rPr>
              <w:t>Fiscal Year Ended March 30, 2008:</w:t>
            </w:r>
          </w:p>
        </w:tc>
        <w:tc>
          <w:tcPr>
            <w:tcW w:w="30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124,597,000</w:t>
            </w: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62,067,000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186,664,000</w:t>
            </w:r>
          </w:p>
        </w:tc>
      </w:tr>
      <w:tr>
        <w:trPr>
          <w:trHeight w:val="216"/>
        </w:trPr>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19,796,000</w:t>
            </w: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18,732,000</w:t>
            </w:r>
          </w:p>
        </w:tc>
        <w:tc>
          <w:tcPr>
            <w:tcW w:w="3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38,528,000</w:t>
            </w: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2,318,000</w:t>
            </w: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9,686,000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12,004,000</w:t>
            </w:r>
          </w:p>
        </w:tc>
      </w:tr>
      <w:tr>
        <w:trPr>
          <w:trHeight w:val="20"/>
        </w:trPr>
        <w:tc>
          <w:tcPr>
            <w:tcW w:w="6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2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r>
      <w:tr>
        <w:trPr>
          <w:trHeight w:val="236"/>
        </w:trPr>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Identifiable assets*</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56,199,000</w:t>
            </w:r>
          </w:p>
        </w:tc>
        <w:tc>
          <w:tcPr>
            <w:tcW w:w="220" w:type="dxa"/>
            <w:vAlign w:val="bottom"/>
            <w:shd w:val="clear" w:color="auto" w:fill="D6F3E8"/>
          </w:tcPr>
          <w:p>
            <w:pPr>
              <w:spacing w:after="0"/>
              <w:rPr>
                <w:sz w:val="20"/>
                <w:szCs w:val="20"/>
                <w:color w:val="auto"/>
              </w:rPr>
            </w:pP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19,173,000</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75,372,000</w:t>
            </w:r>
          </w:p>
        </w:tc>
      </w:tr>
      <w:tr>
        <w:trPr>
          <w:trHeight w:val="20"/>
        </w:trPr>
        <w:tc>
          <w:tcPr>
            <w:tcW w:w="61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800" w:right="160" w:hanging="221"/>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$28,067,000 and assets associated with the discontinued operations of the Pharmaceutical Segment were $5,504,000 at March 30, 2008.</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40" w:type="dxa"/>
            <w:vAlign w:val="bottom"/>
            <w:shd w:val="clear" w:color="auto" w:fill="D6F3E8"/>
          </w:tcPr>
          <w:p>
            <w:pPr>
              <w:spacing w:after="0"/>
              <w:rPr>
                <w:sz w:val="20"/>
                <w:szCs w:val="20"/>
                <w:color w:val="auto"/>
              </w:rPr>
            </w:pPr>
            <w:r>
              <w:rPr>
                <w:rFonts w:ascii="Arial" w:cs="Arial" w:eastAsia="Arial" w:hAnsi="Arial"/>
                <w:sz w:val="18"/>
                <w:szCs w:val="18"/>
                <w:color w:val="auto"/>
              </w:rPr>
              <w:t>Fiscal Year Ended April 1, 2007:</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Sales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95,395,000</w:t>
            </w: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56,371,000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151,766,000</w:t>
            </w:r>
          </w:p>
        </w:tc>
      </w:tr>
      <w:tr>
        <w:trPr>
          <w:trHeight w:val="216"/>
        </w:trPr>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18,030,000</w:t>
            </w:r>
          </w:p>
        </w:tc>
        <w:tc>
          <w:tcPr>
            <w:tcW w:w="2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16,679,000</w:t>
            </w:r>
          </w:p>
        </w:tc>
        <w:tc>
          <w:tcPr>
            <w:tcW w:w="30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34,709,000</w:t>
            </w:r>
          </w:p>
        </w:tc>
      </w:tr>
      <w:tr>
        <w:trPr>
          <w:trHeight w:val="216"/>
        </w:trPr>
        <w:tc>
          <w:tcPr>
            <w:tcW w:w="61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2,330,000</w:t>
            </w:r>
          </w:p>
        </w:tc>
        <w:tc>
          <w:tcPr>
            <w:tcW w:w="5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8,380,000</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10,710,000</w:t>
            </w:r>
          </w:p>
        </w:tc>
      </w:tr>
      <w:tr>
        <w:trPr>
          <w:trHeight w:val="20"/>
        </w:trPr>
        <w:tc>
          <w:tcPr>
            <w:tcW w:w="6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6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gridSpan w:val="2"/>
          </w:tcPr>
          <w:p>
            <w:pPr>
              <w:spacing w:after="0"/>
              <w:rPr>
                <w:sz w:val="11"/>
                <w:szCs w:val="11"/>
                <w:color w:val="auto"/>
              </w:rPr>
            </w:pPr>
          </w:p>
        </w:tc>
        <w:tc>
          <w:tcPr>
            <w:tcW w:w="12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spacing w:after="0"/>
              <w:rPr>
                <w:sz w:val="11"/>
                <w:szCs w:val="11"/>
                <w:color w:val="auto"/>
              </w:rPr>
            </w:pPr>
          </w:p>
        </w:tc>
      </w:tr>
      <w:tr>
        <w:trPr>
          <w:trHeight w:val="236"/>
        </w:trPr>
        <w:tc>
          <w:tcPr>
            <w:tcW w:w="6140" w:type="dxa"/>
            <w:vAlign w:val="bottom"/>
            <w:shd w:val="clear" w:color="auto" w:fill="D6F3E8"/>
          </w:tcPr>
          <w:p>
            <w:pPr>
              <w:ind w:left="160"/>
              <w:spacing w:after="0"/>
              <w:rPr>
                <w:sz w:val="20"/>
                <w:szCs w:val="20"/>
                <w:color w:val="auto"/>
              </w:rPr>
            </w:pPr>
            <w:r>
              <w:rPr>
                <w:rFonts w:ascii="Arial" w:cs="Arial" w:eastAsia="Arial" w:hAnsi="Arial"/>
                <w:sz w:val="18"/>
                <w:szCs w:val="18"/>
                <w:color w:val="auto"/>
              </w:rPr>
              <w:t>Identifiable assets*</w:t>
            </w: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46,447,000</w:t>
            </w:r>
          </w:p>
        </w:tc>
        <w:tc>
          <w:tcPr>
            <w:tcW w:w="220" w:type="dxa"/>
            <w:vAlign w:val="bottom"/>
            <w:shd w:val="clear" w:color="auto" w:fill="D6F3E8"/>
          </w:tcPr>
          <w:p>
            <w:pPr>
              <w:spacing w:after="0"/>
              <w:rPr>
                <w:sz w:val="20"/>
                <w:szCs w:val="20"/>
                <w:color w:val="auto"/>
              </w:rPr>
            </w:pPr>
          </w:p>
        </w:tc>
        <w:tc>
          <w:tcPr>
            <w:tcW w:w="34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17,640,000</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64,087,000</w:t>
            </w:r>
          </w:p>
        </w:tc>
      </w:tr>
      <w:tr>
        <w:trPr>
          <w:trHeight w:val="20"/>
        </w:trPr>
        <w:tc>
          <w:tcPr>
            <w:tcW w:w="614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r>
    </w:tbl>
    <w:p>
      <w:pPr>
        <w:spacing w:after="0" w:line="248" w:lineRule="exact"/>
        <w:rPr>
          <w:sz w:val="20"/>
          <w:szCs w:val="20"/>
          <w:color w:val="auto"/>
        </w:rPr>
      </w:pPr>
    </w:p>
    <w:p>
      <w:pPr>
        <w:ind w:left="800" w:right="160" w:hanging="221"/>
        <w:spacing w:after="0" w:line="268" w:lineRule="auto"/>
        <w:tabs>
          <w:tab w:leader="none" w:pos="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Unallocated assets consisting primarily of cash and cash equivalents, investments, and prepaid expenses were $31,613,000 and assets associated with the discontinued operations of the Pharmaceutical Segment were $5,569,000 at April 1, 2007.</w:t>
      </w:r>
    </w:p>
    <w:p>
      <w:pPr>
        <w:spacing w:after="0" w:line="220" w:lineRule="exact"/>
        <w:rPr>
          <w:rFonts w:ascii="Arial" w:cs="Arial" w:eastAsia="Arial" w:hAnsi="Arial"/>
          <w:sz w:val="18"/>
          <w:szCs w:val="18"/>
          <w:color w:val="auto"/>
        </w:rPr>
      </w:pPr>
    </w:p>
    <w:p>
      <w:pPr>
        <w:ind w:left="580" w:right="6020" w:hanging="572"/>
        <w:spacing w:after="0" w:line="345" w:lineRule="auto"/>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SELECTED QUARTERLY FINANCIAL DATA (UNAUDITED) </w:t>
      </w:r>
      <w:r>
        <w:rPr>
          <w:rFonts w:ascii="Arial" w:cs="Arial" w:eastAsia="Arial" w:hAnsi="Arial"/>
          <w:sz w:val="18"/>
          <w:szCs w:val="18"/>
          <w:i w:val="1"/>
          <w:iCs w:val="1"/>
          <w:color w:val="auto"/>
        </w:rPr>
        <w:t>In thousands, expect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5"/>
          </w:tcPr>
          <w:p>
            <w:pPr>
              <w:jc w:val="right"/>
              <w:ind w:right="1260"/>
              <w:spacing w:after="0"/>
              <w:rPr>
                <w:sz w:val="20"/>
                <w:szCs w:val="20"/>
                <w:color w:val="auto"/>
              </w:rPr>
            </w:pPr>
            <w:r>
              <w:rPr>
                <w:rFonts w:ascii="Arial" w:cs="Arial" w:eastAsia="Arial" w:hAnsi="Arial"/>
                <w:sz w:val="14"/>
                <w:szCs w:val="14"/>
                <w:b w:val="1"/>
                <w:bCs w:val="1"/>
                <w:color w:val="auto"/>
              </w:rPr>
              <w:t>Fiscal 2009 (Unaudited)</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16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2"/>
              </w:rPr>
              <w:t>Second</w:t>
            </w:r>
          </w:p>
        </w:tc>
        <w:tc>
          <w:tcPr>
            <w:tcW w:w="200" w:type="dxa"/>
            <w:vAlign w:val="bottom"/>
          </w:tcPr>
          <w:p>
            <w:pPr>
              <w:spacing w:after="0"/>
              <w:rPr>
                <w:sz w:val="11"/>
                <w:szCs w:val="11"/>
                <w:color w:val="auto"/>
              </w:rPr>
            </w:pPr>
          </w:p>
        </w:tc>
        <w:tc>
          <w:tcPr>
            <w:tcW w:w="16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7"/>
              </w:rPr>
              <w:t>Third</w:t>
            </w:r>
          </w:p>
        </w:tc>
        <w:tc>
          <w:tcPr>
            <w:tcW w:w="180" w:type="dxa"/>
            <w:vAlign w:val="bottom"/>
          </w:tcPr>
          <w:p>
            <w:pPr>
              <w:spacing w:after="0"/>
              <w:rPr>
                <w:sz w:val="11"/>
                <w:szCs w:val="11"/>
                <w:color w:val="auto"/>
              </w:rPr>
            </w:pPr>
          </w:p>
        </w:tc>
        <w:tc>
          <w:tcPr>
            <w:tcW w:w="1240" w:type="dxa"/>
            <w:vAlign w:val="bottom"/>
          </w:tcPr>
          <w:p>
            <w:pPr>
              <w:jc w:val="right"/>
              <w:ind w:right="418"/>
              <w:spacing w:after="0" w:line="12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2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Quarter Ended</w:t>
            </w:r>
          </w:p>
        </w:tc>
        <w:tc>
          <w:tcPr>
            <w:tcW w:w="18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Quarter Ended</w:t>
            </w:r>
          </w:p>
        </w:tc>
        <w:tc>
          <w:tcPr>
            <w:tcW w:w="60" w:type="dxa"/>
            <w:vAlign w:val="bottom"/>
          </w:tcPr>
          <w:p>
            <w:pPr>
              <w:spacing w:after="0"/>
              <w:rPr>
                <w:sz w:val="12"/>
                <w:szCs w:val="12"/>
                <w:color w:val="auto"/>
              </w:rPr>
            </w:pPr>
          </w:p>
        </w:tc>
      </w:tr>
      <w:tr>
        <w:trPr>
          <w:trHeight w:val="16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5"/>
              </w:rPr>
              <w:t>June 30, 2008</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September 30, 2008</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7"/>
              </w:rPr>
              <w:t>December 31, 2008</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6"/>
              </w:rPr>
              <w:t>March 29, 2009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62,554</w:t>
            </w: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78,463</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75,555</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67,784</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17,320</w:t>
            </w: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18,102</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13,557</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6F3E8"/>
          </w:tcPr>
          <w:p>
            <w:pPr>
              <w:spacing w:after="0"/>
              <w:rPr>
                <w:sz w:val="18"/>
                <w:szCs w:val="18"/>
                <w:color w:val="auto"/>
              </w:rPr>
            </w:pPr>
          </w:p>
        </w:tc>
        <w:tc>
          <w:tcPr>
            <w:tcW w:w="12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7,408</w:t>
            </w: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11,254</w:t>
            </w:r>
          </w:p>
        </w:tc>
        <w:tc>
          <w:tcPr>
            <w:tcW w:w="20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11,196</w:t>
            </w:r>
          </w:p>
        </w:tc>
        <w:tc>
          <w:tcPr>
            <w:tcW w:w="18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7,479</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6,923</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4,885</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w w:val="91"/>
              </w:rPr>
              <w:t>Income (loss) from discontinued operations, net of tax</w:t>
            </w:r>
          </w:p>
        </w:tc>
        <w:tc>
          <w:tcPr>
            <w:tcW w:w="180" w:type="dxa"/>
            <w:vAlign w:val="bottom"/>
            <w:shd w:val="clear" w:color="auto" w:fill="D6F3E8"/>
          </w:tcPr>
          <w:p>
            <w:pPr>
              <w:spacing w:after="0"/>
              <w:rPr>
                <w:sz w:val="18"/>
                <w:szCs w:val="18"/>
                <w:color w:val="auto"/>
              </w:rPr>
            </w:pPr>
          </w:p>
        </w:tc>
        <w:tc>
          <w:tcPr>
            <w:tcW w:w="12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D6F3E8"/>
          </w:tcPr>
          <w:p>
            <w:pPr>
              <w:spacing w:after="0"/>
              <w:rPr>
                <w:sz w:val="18"/>
                <w:szCs w:val="18"/>
                <w:color w:val="auto"/>
              </w:rPr>
            </w:pPr>
          </w:p>
        </w:tc>
        <w:tc>
          <w:tcPr>
            <w:tcW w:w="16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tcBorders>
              <w:right w:val="single" w:sz="8" w:color="D6F3E8"/>
            </w:tcBorders>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6,823</w:t>
            </w: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6,973</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5,092</w:t>
            </w:r>
          </w:p>
        </w:tc>
        <w:tc>
          <w:tcPr>
            <w:tcW w:w="60" w:type="dxa"/>
            <w:vAlign w:val="bottom"/>
          </w:tcPr>
          <w:p>
            <w:pPr>
              <w:spacing w:after="0"/>
              <w:rPr>
                <w:sz w:val="18"/>
                <w:szCs w:val="18"/>
                <w:color w:val="auto"/>
              </w:rPr>
            </w:pPr>
          </w:p>
        </w:tc>
      </w:tr>
      <w:tr>
        <w:trPr>
          <w:trHeight w:val="142"/>
        </w:trPr>
        <w:tc>
          <w:tcPr>
            <w:tcW w:w="5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56"/>
        </w:trPr>
        <w:tc>
          <w:tcPr>
            <w:tcW w:w="580" w:type="dxa"/>
            <w:vAlign w:val="bottom"/>
          </w:tcPr>
          <w:p>
            <w:pPr>
              <w:spacing w:after="0"/>
              <w:rPr>
                <w:sz w:val="22"/>
                <w:szCs w:val="22"/>
                <w:color w:val="auto"/>
              </w:rPr>
            </w:pPr>
          </w:p>
        </w:tc>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Basic and diluted net income per share</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D6F3E8"/>
          </w:tcPr>
          <w:p>
            <w:pPr>
              <w:spacing w:after="0"/>
              <w:rPr>
                <w:sz w:val="22"/>
                <w:szCs w:val="22"/>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22"/>
                <w:szCs w:val="22"/>
                <w:color w:val="auto"/>
              </w:rPr>
            </w:pPr>
          </w:p>
        </w:tc>
      </w:tr>
      <w:tr>
        <w:trPr>
          <w:trHeight w:val="411"/>
        </w:trPr>
        <w:tc>
          <w:tcPr>
            <w:tcW w:w="580" w:type="dxa"/>
            <w:vAlign w:val="bottom"/>
          </w:tcPr>
          <w:p>
            <w:pPr>
              <w:spacing w:after="0"/>
              <w:rPr>
                <w:sz w:val="24"/>
                <w:szCs w:val="24"/>
                <w:color w:val="auto"/>
              </w:rPr>
            </w:pPr>
          </w:p>
        </w:tc>
        <w:tc>
          <w:tcPr>
            <w:tcW w:w="3940" w:type="dxa"/>
            <w:vAlign w:val="bottom"/>
            <w:tcBorders>
              <w:top w:val="single" w:sz="8" w:color="D6F3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D6F3E8"/>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20" w:type="dxa"/>
            <w:vAlign w:val="bottom"/>
            <w:tcBorders>
              <w:top w:val="single" w:sz="8" w:color="D6F3E8"/>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Borders>
              <w:top w:val="single" w:sz="8" w:color="D6F3E8"/>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D6F3E8"/>
            </w:tcBorders>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39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46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8" w:right="1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Fiscal 2008 (Unaudited)</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5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16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2"/>
              </w:rPr>
              <w:t>Second</w:t>
            </w:r>
          </w:p>
        </w:tc>
        <w:tc>
          <w:tcPr>
            <w:tcW w:w="160" w:type="dxa"/>
            <w:vAlign w:val="bottom"/>
          </w:tcPr>
          <w:p>
            <w:pPr>
              <w:spacing w:after="0"/>
              <w:rPr>
                <w:sz w:val="11"/>
                <w:szCs w:val="11"/>
                <w:color w:val="auto"/>
              </w:rPr>
            </w:pPr>
          </w:p>
        </w:tc>
        <w:tc>
          <w:tcPr>
            <w:tcW w:w="16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7"/>
              </w:rPr>
              <w:t>Third</w:t>
            </w:r>
          </w:p>
        </w:tc>
        <w:tc>
          <w:tcPr>
            <w:tcW w:w="160" w:type="dxa"/>
            <w:vAlign w:val="bottom"/>
          </w:tcPr>
          <w:p>
            <w:pPr>
              <w:spacing w:after="0"/>
              <w:rPr>
                <w:sz w:val="11"/>
                <w:szCs w:val="11"/>
                <w:color w:val="auto"/>
              </w:rPr>
            </w:pPr>
          </w:p>
        </w:tc>
        <w:tc>
          <w:tcPr>
            <w:tcW w:w="1220" w:type="dxa"/>
            <w:vAlign w:val="bottom"/>
          </w:tcPr>
          <w:p>
            <w:pPr>
              <w:jc w:val="right"/>
              <w:ind w:right="398"/>
              <w:spacing w:after="0" w:line="12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2"/>
                <w:szCs w:val="12"/>
                <w:color w:val="auto"/>
              </w:rPr>
            </w:pP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Quarter Ended</w:t>
            </w:r>
          </w:p>
        </w:tc>
        <w:tc>
          <w:tcPr>
            <w:tcW w:w="160" w:type="dxa"/>
            <w:vAlign w:val="bottom"/>
          </w:tcPr>
          <w:p>
            <w:pPr>
              <w:spacing w:after="0"/>
              <w:rPr>
                <w:sz w:val="12"/>
                <w:szCs w:val="12"/>
                <w:color w:val="auto"/>
              </w:rPr>
            </w:pPr>
          </w:p>
        </w:tc>
        <w:tc>
          <w:tcPr>
            <w:tcW w:w="13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Quarter Ended</w:t>
            </w:r>
          </w:p>
        </w:tc>
        <w:tc>
          <w:tcPr>
            <w:tcW w:w="60" w:type="dxa"/>
            <w:vAlign w:val="bottom"/>
          </w:tcPr>
          <w:p>
            <w:pPr>
              <w:spacing w:after="0"/>
              <w:rPr>
                <w:sz w:val="12"/>
                <w:szCs w:val="12"/>
                <w:color w:val="auto"/>
              </w:rPr>
            </w:pPr>
          </w:p>
        </w:tc>
      </w:tr>
      <w:tr>
        <w:trPr>
          <w:trHeight w:val="161"/>
        </w:trPr>
        <w:tc>
          <w:tcPr>
            <w:tcW w:w="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5"/>
              </w:rPr>
              <w:t>June 30, 2007</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September 30, 2007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7"/>
              </w:rPr>
              <w:t>December 31, 2007</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6"/>
              </w:rPr>
              <w:t>March 30, 2008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46,208</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45,882</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45,916</w:t>
            </w: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48,658</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11,072</w:t>
            </w:r>
          </w:p>
        </w:tc>
        <w:tc>
          <w:tcPr>
            <w:tcW w:w="1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8,352</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8,076</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3,987</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4,089</w:t>
            </w:r>
          </w:p>
        </w:tc>
        <w:tc>
          <w:tcPr>
            <w:tcW w:w="160" w:type="dxa"/>
            <w:vAlign w:val="bottom"/>
            <w:shd w:val="clear" w:color="auto" w:fill="D6F3E8"/>
          </w:tcPr>
          <w:p>
            <w:pPr>
              <w:spacing w:after="0"/>
              <w:rPr>
                <w:sz w:val="18"/>
                <w:szCs w:val="18"/>
                <w:color w:val="auto"/>
              </w:rPr>
            </w:pP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1,891</w:t>
            </w:r>
          </w:p>
        </w:tc>
        <w:tc>
          <w:tcPr>
            <w:tcW w:w="1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2,037</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2,742</w:t>
            </w:r>
          </w:p>
        </w:tc>
        <w:tc>
          <w:tcPr>
            <w:tcW w:w="1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1,329</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D6F3E8"/>
          </w:tcPr>
          <w:p>
            <w:pPr>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D6F3E8"/>
          </w:tcPr>
          <w:p>
            <w:pPr>
              <w:spacing w:after="0"/>
              <w:rPr>
                <w:sz w:val="18"/>
                <w:szCs w:val="18"/>
                <w:color w:val="auto"/>
              </w:rPr>
            </w:pPr>
          </w:p>
        </w:tc>
        <w:tc>
          <w:tcPr>
            <w:tcW w:w="16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2,921</w:t>
            </w:r>
          </w:p>
        </w:tc>
        <w:tc>
          <w:tcPr>
            <w:tcW w:w="16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0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Basic and diluted net income per share</w:t>
            </w: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D6F3E8"/>
            </w:tcBorders>
            <w:shd w:val="clear" w:color="auto" w:fill="D6F3E8"/>
          </w:tcPr>
          <w:p>
            <w:pPr>
              <w:spacing w:after="0"/>
              <w:rPr>
                <w:sz w:val="21"/>
                <w:szCs w:val="21"/>
                <w:color w:val="auto"/>
              </w:rPr>
            </w:pPr>
          </w:p>
        </w:tc>
        <w:tc>
          <w:tcPr>
            <w:tcW w:w="60" w:type="dxa"/>
            <w:vAlign w:val="bottom"/>
          </w:tcPr>
          <w:p>
            <w:pPr>
              <w:spacing w:after="0"/>
              <w:rPr>
                <w:sz w:val="21"/>
                <w:szCs w:val="21"/>
                <w:color w:val="auto"/>
              </w:rPr>
            </w:pPr>
          </w:p>
        </w:tc>
      </w:tr>
      <w:tr>
        <w:trPr>
          <w:trHeight w:val="411"/>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58"/>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408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32" w:name="page33"/>
    <w:bookmarkEnd w:id="32"/>
    <w:p>
      <w:pPr>
        <w:ind w:left="1380" w:right="540" w:hanging="1377"/>
        <w:spacing w:after="0" w:line="251" w:lineRule="auto"/>
        <w:tabs>
          <w:tab w:leader="none" w:pos="136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22"/>
          <w:szCs w:val="22"/>
          <w:color w:val="auto"/>
        </w:rPr>
        <w:t>CHANGES IN AND DISAGREEMENTS WITH ACCOUNTANTS ON ACCOUNTING AND FINANCIAL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9A.</w:t>
      </w:r>
      <w:r>
        <w:rPr>
          <w:sz w:val="20"/>
          <w:szCs w:val="20"/>
          <w:color w:val="auto"/>
        </w:rPr>
        <w:tab/>
      </w:r>
      <w:r>
        <w:rPr>
          <w:rFonts w:ascii="Arial" w:cs="Arial" w:eastAsia="Arial" w:hAnsi="Arial"/>
          <w:sz w:val="19"/>
          <w:szCs w:val="19"/>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report of management required under this Item 9A is contained in Item 8 of this Annual Report on 10-K under the caption “Management’s Report 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2009 that has materially affected, or is reasonably likely to materially affect, our internal control over financial reporting.</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9B.</w:t>
      </w:r>
      <w:r>
        <w:rPr>
          <w:sz w:val="20"/>
          <w:szCs w:val="20"/>
          <w:color w:val="auto"/>
        </w:rPr>
        <w:tab/>
      </w:r>
      <w:r>
        <w:rPr>
          <w:rFonts w:ascii="Arial" w:cs="Arial" w:eastAsia="Arial" w:hAnsi="Arial"/>
          <w:sz w:val="19"/>
          <w:szCs w:val="19"/>
          <w:color w:val="auto"/>
        </w:rPr>
        <w:t>OTHER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PART III</w:t>
      </w:r>
    </w:p>
    <w:p>
      <w:pPr>
        <w:spacing w:after="0" w:line="21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5, 2009 (the “2009 Proxy Statement”). Except for those portions specifically incorporated in this Form 10-K by reference to Hawkins’ Proxy Statement, no other portions of the 2009 Proxy Statement are deemed to be filed as part of this Form 10-K.</w:t>
      </w:r>
    </w:p>
    <w:p>
      <w:pPr>
        <w:spacing w:after="0" w:line="19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DIRECTORS, EXECUTIVE OFFICERS, AND CORPORATE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May 31, 2009 are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22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tcPr>
          <w:p>
            <w:pPr>
              <w:spacing w:after="0"/>
              <w:rPr>
                <w:sz w:val="14"/>
                <w:szCs w:val="14"/>
                <w:color w:val="auto"/>
              </w:rPr>
            </w:pPr>
          </w:p>
        </w:tc>
        <w:tc>
          <w:tcPr>
            <w:tcW w:w="562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Office</w:t>
            </w:r>
          </w:p>
        </w:tc>
        <w:tc>
          <w:tcPr>
            <w:tcW w:w="1760" w:type="dxa"/>
            <w:vAlign w:val="bottom"/>
          </w:tcPr>
          <w:p>
            <w:pPr>
              <w:spacing w:after="0"/>
              <w:rPr>
                <w:sz w:val="14"/>
                <w:szCs w:val="14"/>
                <w:color w:val="auto"/>
              </w:rPr>
            </w:pPr>
          </w:p>
        </w:tc>
      </w:tr>
      <w:tr>
        <w:trPr>
          <w:trHeight w:val="142"/>
        </w:trPr>
        <w:tc>
          <w:tcPr>
            <w:tcW w:w="5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216"/>
        </w:trPr>
        <w:tc>
          <w:tcPr>
            <w:tcW w:w="580" w:type="dxa"/>
            <w:vAlign w:val="bottom"/>
          </w:tcPr>
          <w:p>
            <w:pPr>
              <w:spacing w:after="0"/>
              <w:rPr>
                <w:sz w:val="18"/>
                <w:szCs w:val="18"/>
                <w:color w:val="auto"/>
              </w:rPr>
            </w:pPr>
          </w:p>
        </w:tc>
        <w:tc>
          <w:tcPr>
            <w:tcW w:w="2220" w:type="dxa"/>
            <w:vAlign w:val="bottom"/>
            <w:shd w:val="clear" w:color="auto" w:fill="D6F3E8"/>
          </w:tcPr>
          <w:p>
            <w:pPr>
              <w:spacing w:after="0"/>
              <w:rPr>
                <w:sz w:val="20"/>
                <w:szCs w:val="20"/>
                <w:color w:val="auto"/>
              </w:rPr>
            </w:pPr>
            <w:r>
              <w:rPr>
                <w:rFonts w:ascii="Arial" w:cs="Arial" w:eastAsia="Arial" w:hAnsi="Arial"/>
                <w:sz w:val="18"/>
                <w:szCs w:val="18"/>
                <w:color w:val="auto"/>
              </w:rPr>
              <w:t>John R. Hawkins</w:t>
            </w:r>
          </w:p>
        </w:tc>
        <w:tc>
          <w:tcPr>
            <w:tcW w:w="1020" w:type="dxa"/>
            <w:vAlign w:val="bottom"/>
            <w:gridSpan w:val="2"/>
            <w:shd w:val="clear" w:color="auto" w:fill="D6F3E8"/>
          </w:tcPr>
          <w:p>
            <w:pPr>
              <w:jc w:val="center"/>
              <w:ind w:left="192"/>
              <w:spacing w:after="0"/>
              <w:rPr>
                <w:sz w:val="20"/>
                <w:szCs w:val="20"/>
                <w:color w:val="auto"/>
              </w:rPr>
            </w:pPr>
            <w:r>
              <w:rPr>
                <w:rFonts w:ascii="Arial" w:cs="Arial" w:eastAsia="Arial" w:hAnsi="Arial"/>
                <w:sz w:val="18"/>
                <w:szCs w:val="18"/>
                <w:color w:val="auto"/>
                <w:w w:val="89"/>
              </w:rPr>
              <w:t>57</w:t>
            </w:r>
          </w:p>
        </w:tc>
        <w:tc>
          <w:tcPr>
            <w:tcW w:w="260" w:type="dxa"/>
            <w:vAlign w:val="bottom"/>
            <w:shd w:val="clear" w:color="auto" w:fill="D6F3E8"/>
          </w:tcPr>
          <w:p>
            <w:pPr>
              <w:spacing w:after="0"/>
              <w:rPr>
                <w:sz w:val="18"/>
                <w:szCs w:val="18"/>
                <w:color w:val="auto"/>
              </w:rPr>
            </w:pPr>
          </w:p>
        </w:tc>
        <w:tc>
          <w:tcPr>
            <w:tcW w:w="5620" w:type="dxa"/>
            <w:vAlign w:val="bottom"/>
            <w:shd w:val="clear" w:color="auto" w:fill="D6F3E8"/>
          </w:tcPr>
          <w:p>
            <w:pPr>
              <w:ind w:left="20"/>
              <w:spacing w:after="0"/>
              <w:rPr>
                <w:sz w:val="20"/>
                <w:szCs w:val="20"/>
                <w:color w:val="auto"/>
              </w:rPr>
            </w:pPr>
            <w:r>
              <w:rPr>
                <w:rFonts w:ascii="Arial" w:cs="Arial" w:eastAsia="Arial" w:hAnsi="Arial"/>
                <w:sz w:val="18"/>
                <w:szCs w:val="18"/>
                <w:color w:val="auto"/>
              </w:rPr>
              <w:t>Chief Executive Officer</w:t>
            </w:r>
          </w:p>
        </w:tc>
        <w:tc>
          <w:tcPr>
            <w:tcW w:w="1760" w:type="dxa"/>
            <w:vAlign w:val="bottom"/>
          </w:tcPr>
          <w:p>
            <w:pPr>
              <w:spacing w:after="0"/>
              <w:rPr>
                <w:sz w:val="18"/>
                <w:szCs w:val="18"/>
                <w:color w:val="auto"/>
              </w:rPr>
            </w:pPr>
          </w:p>
        </w:tc>
      </w:tr>
      <w:tr>
        <w:trPr>
          <w:trHeight w:val="363"/>
        </w:trPr>
        <w:tc>
          <w:tcPr>
            <w:tcW w:w="5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Kathleen P. Pepski</w:t>
            </w:r>
          </w:p>
        </w:tc>
        <w:tc>
          <w:tcPr>
            <w:tcW w:w="10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54</w:t>
            </w:r>
          </w:p>
        </w:tc>
        <w:tc>
          <w:tcPr>
            <w:tcW w:w="26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760" w:type="dxa"/>
            <w:vAlign w:val="bottom"/>
          </w:tcPr>
          <w:p>
            <w:pPr>
              <w:spacing w:after="0"/>
              <w:rPr>
                <w:sz w:val="24"/>
                <w:szCs w:val="24"/>
                <w:color w:val="auto"/>
              </w:rPr>
            </w:pPr>
          </w:p>
        </w:tc>
      </w:tr>
      <w:tr>
        <w:trPr>
          <w:trHeight w:val="151"/>
        </w:trPr>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2220" w:type="dxa"/>
            <w:vAlign w:val="bottom"/>
            <w:shd w:val="clear" w:color="auto" w:fill="D6F3E8"/>
          </w:tcPr>
          <w:p>
            <w:pPr>
              <w:spacing w:after="0"/>
              <w:rPr>
                <w:sz w:val="20"/>
                <w:szCs w:val="20"/>
                <w:color w:val="auto"/>
              </w:rPr>
            </w:pPr>
            <w:r>
              <w:rPr>
                <w:rFonts w:ascii="Arial" w:cs="Arial" w:eastAsia="Arial" w:hAnsi="Arial"/>
                <w:sz w:val="18"/>
                <w:szCs w:val="18"/>
                <w:color w:val="auto"/>
              </w:rPr>
              <w:t>Richard G. Erstad</w:t>
            </w:r>
          </w:p>
        </w:tc>
        <w:tc>
          <w:tcPr>
            <w:tcW w:w="1020" w:type="dxa"/>
            <w:vAlign w:val="bottom"/>
            <w:gridSpan w:val="2"/>
            <w:shd w:val="clear" w:color="auto" w:fill="D6F3E8"/>
          </w:tcPr>
          <w:p>
            <w:pPr>
              <w:jc w:val="center"/>
              <w:ind w:left="192"/>
              <w:spacing w:after="0"/>
              <w:rPr>
                <w:sz w:val="20"/>
                <w:szCs w:val="20"/>
                <w:color w:val="auto"/>
              </w:rPr>
            </w:pPr>
            <w:r>
              <w:rPr>
                <w:rFonts w:ascii="Arial" w:cs="Arial" w:eastAsia="Arial" w:hAnsi="Arial"/>
                <w:sz w:val="18"/>
                <w:szCs w:val="18"/>
                <w:color w:val="auto"/>
                <w:w w:val="89"/>
              </w:rPr>
              <w:t>45</w:t>
            </w:r>
          </w:p>
        </w:tc>
        <w:tc>
          <w:tcPr>
            <w:tcW w:w="260" w:type="dxa"/>
            <w:vAlign w:val="bottom"/>
            <w:shd w:val="clear" w:color="auto" w:fill="D6F3E8"/>
          </w:tcPr>
          <w:p>
            <w:pPr>
              <w:spacing w:after="0"/>
              <w:rPr>
                <w:sz w:val="18"/>
                <w:szCs w:val="18"/>
                <w:color w:val="auto"/>
              </w:rPr>
            </w:pPr>
          </w:p>
        </w:tc>
        <w:tc>
          <w:tcPr>
            <w:tcW w:w="5620" w:type="dxa"/>
            <w:vAlign w:val="bottom"/>
            <w:shd w:val="clear" w:color="auto" w:fill="D6F3E8"/>
          </w:tcPr>
          <w:p>
            <w:pPr>
              <w:ind w:left="20"/>
              <w:spacing w:after="0"/>
              <w:rPr>
                <w:sz w:val="20"/>
                <w:szCs w:val="20"/>
                <w:color w:val="auto"/>
              </w:rPr>
            </w:pPr>
            <w:r>
              <w:rPr>
                <w:rFonts w:ascii="Arial" w:cs="Arial" w:eastAsia="Arial" w:hAnsi="Arial"/>
                <w:sz w:val="18"/>
                <w:szCs w:val="18"/>
                <w:color w:val="auto"/>
              </w:rPr>
              <w:t>Vice President, General Counsel and Secretary</w:t>
            </w:r>
          </w:p>
        </w:tc>
        <w:tc>
          <w:tcPr>
            <w:tcW w:w="1760" w:type="dxa"/>
            <w:vAlign w:val="bottom"/>
          </w:tcPr>
          <w:p>
            <w:pPr>
              <w:spacing w:after="0"/>
              <w:rPr>
                <w:sz w:val="18"/>
                <w:szCs w:val="18"/>
                <w:color w:val="auto"/>
              </w:rPr>
            </w:pPr>
          </w:p>
        </w:tc>
      </w:tr>
      <w:tr>
        <w:trPr>
          <w:trHeight w:val="363"/>
        </w:trPr>
        <w:tc>
          <w:tcPr>
            <w:tcW w:w="5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Keenan A. Paulson</w:t>
            </w:r>
          </w:p>
        </w:tc>
        <w:tc>
          <w:tcPr>
            <w:tcW w:w="102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59</w:t>
            </w:r>
          </w:p>
        </w:tc>
        <w:tc>
          <w:tcPr>
            <w:tcW w:w="26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Vice President – Water Treatment Group</w:t>
            </w:r>
          </w:p>
        </w:tc>
        <w:tc>
          <w:tcPr>
            <w:tcW w:w="1760" w:type="dxa"/>
            <w:vAlign w:val="bottom"/>
          </w:tcPr>
          <w:p>
            <w:pPr>
              <w:spacing w:after="0"/>
              <w:rPr>
                <w:sz w:val="24"/>
                <w:szCs w:val="24"/>
                <w:color w:val="auto"/>
              </w:rPr>
            </w:pPr>
          </w:p>
        </w:tc>
      </w:tr>
      <w:tr>
        <w:trPr>
          <w:trHeight w:val="151"/>
        </w:trPr>
        <w:tc>
          <w:tcPr>
            <w:tcW w:w="5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6"/>
        </w:trPr>
        <w:tc>
          <w:tcPr>
            <w:tcW w:w="580" w:type="dxa"/>
            <w:vAlign w:val="bottom"/>
          </w:tcPr>
          <w:p>
            <w:pPr>
              <w:spacing w:after="0"/>
              <w:rPr>
                <w:sz w:val="18"/>
                <w:szCs w:val="18"/>
                <w:color w:val="auto"/>
              </w:rPr>
            </w:pPr>
          </w:p>
        </w:tc>
        <w:tc>
          <w:tcPr>
            <w:tcW w:w="2220" w:type="dxa"/>
            <w:vAlign w:val="bottom"/>
            <w:shd w:val="clear" w:color="auto" w:fill="D6F3E8"/>
          </w:tcPr>
          <w:p>
            <w:pPr>
              <w:spacing w:after="0"/>
              <w:rPr>
                <w:sz w:val="20"/>
                <w:szCs w:val="20"/>
                <w:color w:val="auto"/>
              </w:rPr>
            </w:pPr>
            <w:r>
              <w:rPr>
                <w:rFonts w:ascii="Arial" w:cs="Arial" w:eastAsia="Arial" w:hAnsi="Arial"/>
                <w:sz w:val="18"/>
                <w:szCs w:val="18"/>
                <w:color w:val="auto"/>
              </w:rPr>
              <w:t>John R. Sevenich</w:t>
            </w:r>
          </w:p>
        </w:tc>
        <w:tc>
          <w:tcPr>
            <w:tcW w:w="1020" w:type="dxa"/>
            <w:vAlign w:val="bottom"/>
            <w:gridSpan w:val="2"/>
            <w:shd w:val="clear" w:color="auto" w:fill="D6F3E8"/>
          </w:tcPr>
          <w:p>
            <w:pPr>
              <w:jc w:val="center"/>
              <w:ind w:left="192"/>
              <w:spacing w:after="0"/>
              <w:rPr>
                <w:sz w:val="20"/>
                <w:szCs w:val="20"/>
                <w:color w:val="auto"/>
              </w:rPr>
            </w:pPr>
            <w:r>
              <w:rPr>
                <w:rFonts w:ascii="Arial" w:cs="Arial" w:eastAsia="Arial" w:hAnsi="Arial"/>
                <w:sz w:val="18"/>
                <w:szCs w:val="18"/>
                <w:color w:val="auto"/>
                <w:w w:val="89"/>
              </w:rPr>
              <w:t>51</w:t>
            </w:r>
          </w:p>
        </w:tc>
        <w:tc>
          <w:tcPr>
            <w:tcW w:w="260" w:type="dxa"/>
            <w:vAlign w:val="bottom"/>
            <w:shd w:val="clear" w:color="auto" w:fill="D6F3E8"/>
          </w:tcPr>
          <w:p>
            <w:pPr>
              <w:spacing w:after="0"/>
              <w:rPr>
                <w:sz w:val="18"/>
                <w:szCs w:val="18"/>
                <w:color w:val="auto"/>
              </w:rPr>
            </w:pPr>
          </w:p>
        </w:tc>
        <w:tc>
          <w:tcPr>
            <w:tcW w:w="5620" w:type="dxa"/>
            <w:vAlign w:val="bottom"/>
            <w:shd w:val="clear" w:color="auto" w:fill="D6F3E8"/>
          </w:tcPr>
          <w:p>
            <w:pPr>
              <w:ind w:left="20"/>
              <w:spacing w:after="0"/>
              <w:rPr>
                <w:sz w:val="20"/>
                <w:szCs w:val="20"/>
                <w:color w:val="auto"/>
              </w:rPr>
            </w:pPr>
            <w:r>
              <w:rPr>
                <w:rFonts w:ascii="Arial" w:cs="Arial" w:eastAsia="Arial" w:hAnsi="Arial"/>
                <w:sz w:val="18"/>
                <w:szCs w:val="18"/>
                <w:color w:val="auto"/>
              </w:rPr>
              <w:t>Vice President – Industrial Group</w:t>
            </w:r>
          </w:p>
        </w:tc>
        <w:tc>
          <w:tcPr>
            <w:tcW w:w="1760" w:type="dxa"/>
            <w:vAlign w:val="bottom"/>
          </w:tcPr>
          <w:p>
            <w:pPr>
              <w:spacing w:after="0"/>
              <w:rPr>
                <w:sz w:val="18"/>
                <w:szCs w:val="18"/>
                <w:color w:val="auto"/>
              </w:rPr>
            </w:pPr>
          </w:p>
        </w:tc>
      </w:tr>
      <w:tr>
        <w:trPr>
          <w:trHeight w:val="430"/>
        </w:trPr>
        <w:tc>
          <w:tcPr>
            <w:tcW w:w="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80" w:type="dxa"/>
            <w:vAlign w:val="bottom"/>
            <w:gridSpan w:val="2"/>
          </w:tcPr>
          <w:p>
            <w:pPr>
              <w:jc w:val="right"/>
              <w:ind w:right="3816"/>
              <w:spacing w:after="0"/>
              <w:rPr>
                <w:sz w:val="20"/>
                <w:szCs w:val="20"/>
                <w:color w:val="auto"/>
              </w:rPr>
            </w:pPr>
            <w:r>
              <w:rPr>
                <w:rFonts w:ascii="Arial" w:cs="Arial" w:eastAsia="Arial" w:hAnsi="Arial"/>
                <w:sz w:val="18"/>
                <w:szCs w:val="18"/>
                <w:color w:val="auto"/>
              </w:rPr>
              <w:t>33</w:t>
            </w:r>
          </w:p>
        </w:tc>
        <w:tc>
          <w:tcPr>
            <w:tcW w:w="1760" w:type="dxa"/>
            <w:vAlign w:val="bottom"/>
          </w:tcPr>
          <w:p>
            <w:pPr>
              <w:spacing w:after="0"/>
              <w:rPr>
                <w:sz w:val="24"/>
                <w:szCs w:val="24"/>
                <w:color w:val="auto"/>
              </w:rPr>
            </w:pPr>
          </w:p>
        </w:tc>
      </w:tr>
      <w:tr>
        <w:trPr>
          <w:trHeight w:val="242"/>
        </w:trPr>
        <w:tc>
          <w:tcPr>
            <w:tcW w:w="580" w:type="dxa"/>
            <w:vAlign w:val="bottom"/>
            <w:tcBorders>
              <w:bottom w:val="single" w:sz="8" w:color="808080"/>
            </w:tcBorders>
          </w:tcPr>
          <w:p>
            <w:pPr>
              <w:spacing w:after="0"/>
              <w:rPr>
                <w:sz w:val="21"/>
                <w:szCs w:val="21"/>
                <w:color w:val="auto"/>
              </w:rPr>
            </w:pPr>
          </w:p>
        </w:tc>
        <w:tc>
          <w:tcPr>
            <w:tcW w:w="22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5620" w:type="dxa"/>
            <w:vAlign w:val="bottom"/>
            <w:tcBorders>
              <w:bottom w:val="single" w:sz="8" w:color="808080"/>
            </w:tcBorders>
          </w:tcPr>
          <w:p>
            <w:pPr>
              <w:spacing w:after="0"/>
              <w:rPr>
                <w:sz w:val="21"/>
                <w:szCs w:val="21"/>
                <w:color w:val="auto"/>
              </w:rPr>
            </w:pPr>
          </w:p>
        </w:tc>
        <w:tc>
          <w:tcPr>
            <w:tcW w:w="17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2" w:right="199" w:bottom="1440" w:gutter="0" w:footer="0" w:header="0"/>
        </w:sectPr>
      </w:pPr>
    </w:p>
    <w:bookmarkStart w:id="33" w:name="page34"/>
    <w:bookmarkEnd w:id="33"/>
    <w:p>
      <w:pPr>
        <w:jc w:val="both"/>
        <w:ind w:right="180"/>
        <w:spacing w:after="0" w:line="259" w:lineRule="auto"/>
        <w:rPr>
          <w:sz w:val="20"/>
          <w:szCs w:val="20"/>
          <w:color w:val="auto"/>
        </w:rPr>
      </w:pPr>
      <w:r>
        <w:rPr>
          <w:rFonts w:ascii="Arial" w:cs="Arial" w:eastAsia="Arial" w:hAnsi="Arial"/>
          <w:sz w:val="18"/>
          <w:szCs w:val="18"/>
          <w:i w:val="1"/>
          <w:iCs w:val="1"/>
          <w:color w:val="auto"/>
        </w:rPr>
        <w:t xml:space="preserve">John R. Hawkins </w:t>
      </w:r>
      <w:r>
        <w:rPr>
          <w:rFonts w:ascii="Arial" w:cs="Arial" w:eastAsia="Arial" w:hAnsi="Arial"/>
          <w:sz w:val="18"/>
          <w:szCs w:val="18"/>
          <w:color w:val="auto"/>
        </w:rPr>
        <w:t>has been the Company’s Chief Executive Officer since 2000 and was Chairman of the Board from 2000 to 2005. He was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Officer from 1998 to 2000 and was Secretary from 1991 to 1999. He was an Executive Vice President from 1997 to 1998 and Vice President of Sales from 1987 to 1997.</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Kathleen P. Pepski </w:t>
      </w:r>
      <w:r>
        <w:rPr>
          <w:rFonts w:ascii="Arial" w:cs="Arial" w:eastAsia="Arial" w:hAnsi="Arial"/>
          <w:sz w:val="16"/>
          <w:szCs w:val="16"/>
          <w:color w:val="auto"/>
        </w:rPr>
        <w:t>has been the Company’s Vice President, Chief Financial Officer and Treasurer since February 2008 and was Secretary from February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Richard G. Erstad </w:t>
      </w:r>
      <w:r>
        <w:rPr>
          <w:rFonts w:ascii="Arial" w:cs="Arial" w:eastAsia="Arial" w:hAnsi="Arial"/>
          <w:sz w:val="16"/>
          <w:szCs w:val="16"/>
          <w:color w:val="auto"/>
        </w:rPr>
        <w:t>has been the Company’s Vice President, General Counsel and Secretary since November 2008. He was General Counsel and Secretary of</w:t>
      </w:r>
      <w:r>
        <w:rPr>
          <w:rFonts w:ascii="Arial" w:cs="Arial" w:eastAsia="Arial" w:hAnsi="Arial"/>
          <w:sz w:val="16"/>
          <w:szCs w:val="16"/>
          <w:i w:val="1"/>
          <w:iCs w:val="1"/>
          <w:color w:val="auto"/>
        </w:rPr>
        <w:t xml:space="preserve"> </w:t>
      </w:r>
      <w:r>
        <w:rPr>
          <w:rFonts w:ascii="Arial" w:cs="Arial" w:eastAsia="Arial" w:hAnsi="Arial"/>
          <w:sz w:val="16"/>
          <w:szCs w:val="16"/>
          <w:color w:val="auto"/>
        </w:rPr>
        <w:t>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Keenan A. Paulson </w:t>
      </w:r>
      <w:r>
        <w:rPr>
          <w:rFonts w:ascii="Arial" w:cs="Arial" w:eastAsia="Arial" w:hAnsi="Arial"/>
          <w:sz w:val="18"/>
          <w:szCs w:val="18"/>
          <w:color w:val="auto"/>
        </w:rPr>
        <w:t>has been the Company’s Vice President – Water Treatment Group since May 2000. Prior to attaining this position, Ms. Paulson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during her 37-year career with the Company, most recently as its Water Treatment General Manager.</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the Company’s Vice President – Industrial Group since May 2000. He was the Business Unit Manager of Manufacturing from 1998 to</w:t>
      </w:r>
      <w:r>
        <w:rPr>
          <w:rFonts w:ascii="Arial" w:cs="Arial" w:eastAsia="Arial" w:hAnsi="Arial"/>
          <w:sz w:val="18"/>
          <w:szCs w:val="18"/>
          <w:i w:val="1"/>
          <w:iCs w:val="1"/>
          <w:color w:val="auto"/>
        </w:rPr>
        <w:t xml:space="preserve"> </w:t>
      </w:r>
      <w:r>
        <w:rPr>
          <w:rFonts w:ascii="Arial" w:cs="Arial" w:eastAsia="Arial" w:hAnsi="Arial"/>
          <w:sz w:val="18"/>
          <w:szCs w:val="18"/>
          <w:color w:val="auto"/>
        </w:rPr>
        <w:t>2000 and was a Sales Representative with the Company from 1989 to 1998.</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2009 Proxy Statement are incorporated herein by reference.</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7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11.</w:t>
      </w:r>
      <w:r>
        <w:rPr>
          <w:sz w:val="20"/>
          <w:szCs w:val="20"/>
          <w:color w:val="auto"/>
        </w:rPr>
        <w:tab/>
      </w:r>
      <w:r>
        <w:rPr>
          <w:rFonts w:ascii="Arial" w:cs="Arial" w:eastAsia="Arial" w:hAnsi="Arial"/>
          <w:sz w:val="19"/>
          <w:szCs w:val="19"/>
          <w:color w:val="auto"/>
        </w:rPr>
        <w:t>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2009 Proxy Statement is incorporated herein by this reference.</w:t>
      </w:r>
    </w:p>
    <w:p>
      <w:pPr>
        <w:spacing w:after="0" w:line="226" w:lineRule="exact"/>
        <w:rPr>
          <w:sz w:val="20"/>
          <w:szCs w:val="20"/>
          <w:color w:val="auto"/>
        </w:rPr>
      </w:pPr>
    </w:p>
    <w:p>
      <w:pPr>
        <w:ind w:left="1260" w:right="540" w:hanging="1255"/>
        <w:spacing w:after="0" w:line="251" w:lineRule="auto"/>
        <w:tabs>
          <w:tab w:leader="none" w:pos="1240" w:val="left"/>
        </w:tabs>
        <w:rPr>
          <w:sz w:val="20"/>
          <w:szCs w:val="20"/>
          <w:color w:val="auto"/>
        </w:rPr>
      </w:pPr>
      <w:r>
        <w:rPr>
          <w:rFonts w:ascii="Arial" w:cs="Arial" w:eastAsia="Arial" w:hAnsi="Arial"/>
          <w:sz w:val="22"/>
          <w:szCs w:val="22"/>
          <w:color w:val="auto"/>
        </w:rPr>
        <w:t>ITEM 12.</w:t>
      </w:r>
      <w:r>
        <w:rPr>
          <w:sz w:val="20"/>
          <w:szCs w:val="20"/>
          <w:color w:val="auto"/>
        </w:rPr>
        <w:tab/>
      </w:r>
      <w:r>
        <w:rPr>
          <w:rFonts w:ascii="Arial" w:cs="Arial" w:eastAsia="Arial" w:hAnsi="Arial"/>
          <w:sz w:val="22"/>
          <w:szCs w:val="22"/>
          <w:color w:val="auto"/>
        </w:rPr>
        <w:t>SECURITY OWNERSHIP OF CERTAIN BENEFICIAL OWNERS AND MANAGEMENT AND RELATED STOCKHOLDER MATTERS</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2009 Proxy Statement are incorporated herein by this reference.</w:t>
      </w:r>
    </w:p>
    <w:p>
      <w:pPr>
        <w:spacing w:after="0" w:line="18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13.</w:t>
      </w:r>
      <w:r>
        <w:rPr>
          <w:sz w:val="20"/>
          <w:szCs w:val="20"/>
          <w:color w:val="auto"/>
        </w:rPr>
        <w:tab/>
      </w:r>
      <w:r>
        <w:rPr>
          <w:rFonts w:ascii="Arial" w:cs="Arial" w:eastAsia="Arial" w:hAnsi="Arial"/>
          <w:sz w:val="19"/>
          <w:szCs w:val="19"/>
          <w:color w:val="auto"/>
        </w:rPr>
        <w:t>CERTAIN RELATIONSHIPS AND RELATED TRANSACTIONS, AND DIRECTOR INDEPENDENCE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 and “Related Party Transactions” of the 2009 Proxy Statement are incorporated herein by this reference.</w:t>
      </w:r>
    </w:p>
    <w:p>
      <w:pPr>
        <w:spacing w:after="0" w:line="22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14.</w:t>
      </w:r>
      <w:r>
        <w:rPr>
          <w:sz w:val="20"/>
          <w:szCs w:val="20"/>
          <w:color w:val="auto"/>
        </w:rPr>
        <w:tab/>
      </w:r>
      <w:r>
        <w:rPr>
          <w:rFonts w:ascii="Arial" w:cs="Arial" w:eastAsia="Arial" w:hAnsi="Arial"/>
          <w:sz w:val="19"/>
          <w:szCs w:val="19"/>
          <w:color w:val="auto"/>
        </w:rPr>
        <w:t>PRINCIPAL ACCOUNTANT FEES AND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2009 Proxy Statement is incorporated herein by this reference.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22"/>
          <w:szCs w:val="22"/>
          <w:color w:val="auto"/>
        </w:rPr>
        <w:t>PART IV</w:t>
      </w:r>
    </w:p>
    <w:p>
      <w:pPr>
        <w:spacing w:after="0" w:line="22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ITEM 15.</w:t>
      </w:r>
      <w:r>
        <w:rPr>
          <w:sz w:val="20"/>
          <w:szCs w:val="20"/>
          <w:color w:val="auto"/>
        </w:rPr>
        <w:tab/>
      </w:r>
      <w:r>
        <w:rPr>
          <w:rFonts w:ascii="Arial" w:cs="Arial" w:eastAsia="Arial" w:hAnsi="Arial"/>
          <w:sz w:val="21"/>
          <w:szCs w:val="21"/>
          <w:color w:val="auto"/>
        </w:rPr>
        <w:t>EXHIBITS AND FINANCIAL STATEMENT SCHEDULES</w:t>
      </w:r>
    </w:p>
    <w:p>
      <w:pPr>
        <w:spacing w:after="0" w:line="2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Sheets at March 29, 2009 and March 30, 2008.</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Income for the fiscal years ended March 29, 2009, March 30, 2008, and April 1,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Shareholders’ Equity for the fiscal years ended March 29, 2009, March 30, 2008, and April 1,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Statements of Cash Flows for the fiscal years ended March 29, 2009, March 30, 2008, and April 1,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Notes to Financial Statements.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58"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financial statement schedule for the fiscal years 2009, 2008 and 2007.</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Schedule II - Valuation and Qualifying Accounts.</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5" w:name="page36"/>
    <w:bookmarkEnd w:id="35"/>
    <w:p>
      <w:pPr>
        <w:jc w:val="center"/>
        <w:ind w:right="-299"/>
        <w:spacing w:after="0"/>
        <w:rPr>
          <w:sz w:val="20"/>
          <w:szCs w:val="20"/>
          <w:color w:val="auto"/>
        </w:rPr>
      </w:pPr>
      <w:r>
        <w:rPr>
          <w:rFonts w:ascii="Arial" w:cs="Arial" w:eastAsia="Arial" w:hAnsi="Arial"/>
          <w:sz w:val="22"/>
          <w:szCs w:val="22"/>
          <w:color w:val="auto"/>
        </w:rPr>
        <w:t>SIGNATURES</w:t>
      </w:r>
    </w:p>
    <w:p>
      <w:pPr>
        <w:spacing w:after="0" w:line="220"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 on June 5, 2009.</w:t>
      </w:r>
    </w:p>
    <w:p>
      <w:pPr>
        <w:spacing w:after="0" w:line="19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2752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R. Hawkins, Chief Executive Officer</w:t>
      </w:r>
    </w:p>
    <w:p>
      <w:pPr>
        <w:spacing w:after="0" w:line="225"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June 5, 2009.</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R. Hawkins, Chief Executive Officer (Principal</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Officer) and Director</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Kathleen P. Pepski, Chief Financial Officer, Vice President,</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and Treasurer (Principal Financial Officer and Principal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Accounting Officer)</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John S.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John S. McKeon, Director,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Howard M. Hawkins,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Duane M.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Duane M. Jergenson,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G. Robert 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 Robert Gey,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Daryl I. Skaar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Daryl I. Skaar,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Eapen Chacko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Eapen Chacko,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James A.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A. Faulconbridge,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James T.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T. Thompson, Director</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Jeffrey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Jeffrey L. Wright, Director</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240" w:top="118" w:right="539" w:bottom="1440" w:gutter="0" w:footer="0" w:header="0"/>
        </w:sectPr>
      </w:pPr>
    </w:p>
    <w:bookmarkStart w:id="36" w:name="page37"/>
    <w:bookmarkEnd w:id="36"/>
    <w:p>
      <w:pPr>
        <w:ind w:left="10280"/>
        <w:spacing w:after="0"/>
        <w:rPr>
          <w:sz w:val="20"/>
          <w:szCs w:val="20"/>
          <w:color w:val="auto"/>
        </w:rPr>
      </w:pPr>
      <w:r>
        <w:rPr>
          <w:rFonts w:ascii="Arial" w:cs="Arial" w:eastAsia="Arial" w:hAnsi="Arial"/>
          <w:sz w:val="18"/>
          <w:szCs w:val="18"/>
          <w:b w:val="1"/>
          <w:bCs w:val="1"/>
          <w:color w:val="auto"/>
        </w:rPr>
        <w:t>SCHEDULE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FISCAL YEARS ENDED MARCH 29, 2009, MARCH 30, 2008, AND APRIL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9"/>
              </w:rPr>
              <w:t>Additions</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9"/>
              </w:rPr>
              <w:t>Charged to</w:t>
            </w:r>
          </w:p>
        </w:tc>
        <w:tc>
          <w:tcPr>
            <w:tcW w:w="720" w:type="dxa"/>
            <w:vAlign w:val="bottom"/>
          </w:tcPr>
          <w:p>
            <w:pPr>
              <w:jc w:val="right"/>
              <w:ind w:right="102"/>
              <w:spacing w:after="0" w:line="129" w:lineRule="exact"/>
              <w:rPr>
                <w:sz w:val="20"/>
                <w:szCs w:val="20"/>
                <w:color w:val="auto"/>
              </w:rPr>
            </w:pPr>
            <w:r>
              <w:rPr>
                <w:rFonts w:ascii="Arial" w:cs="Arial" w:eastAsia="Arial" w:hAnsi="Arial"/>
                <w:sz w:val="14"/>
                <w:szCs w:val="14"/>
                <w:b w:val="1"/>
                <w:bCs w:val="1"/>
                <w:color w:val="auto"/>
                <w:w w:val="91"/>
              </w:rPr>
              <w:t>Charged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Beginning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Costs and</w:t>
            </w:r>
          </w:p>
        </w:tc>
        <w:tc>
          <w:tcPr>
            <w:tcW w:w="10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To Other</w:t>
            </w:r>
          </w:p>
        </w:tc>
        <w:tc>
          <w:tcPr>
            <w:tcW w:w="86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Deductions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Balance 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8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Arial" w:cs="Arial" w:eastAsia="Arial" w:hAnsi="Arial"/>
                <w:sz w:val="14"/>
                <w:szCs w:val="14"/>
                <w:b w:val="1"/>
                <w:bCs w:val="1"/>
                <w:color w:val="auto"/>
              </w:rPr>
              <w:t>of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Expenses</w:t>
            </w:r>
          </w:p>
        </w:tc>
        <w:tc>
          <w:tcPr>
            <w:tcW w:w="10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4"/>
              </w:rPr>
              <w:t>Accounts</w:t>
            </w:r>
          </w:p>
        </w:tc>
        <w:tc>
          <w:tcPr>
            <w:tcW w:w="860" w:type="dxa"/>
            <w:vAlign w:val="bottom"/>
          </w:tcPr>
          <w:p>
            <w:pPr>
              <w:jc w:val="right"/>
              <w:ind w:right="100"/>
              <w:spacing w:after="0"/>
              <w:rPr>
                <w:sz w:val="20"/>
                <w:szCs w:val="20"/>
                <w:color w:val="auto"/>
              </w:rPr>
            </w:pPr>
            <w:r>
              <w:rPr>
                <w:rFonts w:ascii="Arial" w:cs="Arial" w:eastAsia="Arial" w:hAnsi="Arial"/>
                <w:sz w:val="14"/>
                <w:szCs w:val="14"/>
                <w:b w:val="1"/>
                <w:bCs w:val="1"/>
                <w:color w:val="auto"/>
                <w:w w:val="97"/>
              </w:rPr>
              <w:t>Write-Offs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End of Year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Reserve deducted from asset to which it applies:</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5200" w:type="dxa"/>
            <w:vAlign w:val="bottom"/>
            <w:gridSpan w:val="2"/>
          </w:tcPr>
          <w:p>
            <w:pPr>
              <w:spacing w:after="0"/>
              <w:rPr>
                <w:sz w:val="20"/>
                <w:szCs w:val="20"/>
                <w:color w:val="auto"/>
              </w:rPr>
            </w:pPr>
            <w:r>
              <w:rPr>
                <w:rFonts w:ascii="Arial" w:cs="Arial" w:eastAsia="Arial" w:hAnsi="Arial"/>
                <w:sz w:val="18"/>
                <w:szCs w:val="18"/>
                <w:color w:val="auto"/>
              </w:rPr>
              <w:t>Year Ended March 29, 2009: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230,000</w:t>
            </w:r>
          </w:p>
        </w:tc>
        <w:tc>
          <w:tcPr>
            <w:tcW w:w="1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shd w:val="clear" w:color="auto" w:fill="D6F3E8"/>
          </w:tcPr>
          <w:p>
            <w:pPr>
              <w:spacing w:after="0"/>
              <w:rPr>
                <w:sz w:val="20"/>
                <w:szCs w:val="20"/>
                <w:color w:val="auto"/>
              </w:rPr>
            </w:pPr>
            <w:r>
              <w:rPr>
                <w:rFonts w:ascii="Arial" w:cs="Arial" w:eastAsia="Arial" w:hAnsi="Arial"/>
                <w:sz w:val="18"/>
                <w:szCs w:val="18"/>
                <w:color w:val="auto"/>
              </w:rPr>
              <w:t>Year Ended March 30, 2008:</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225,000</w:t>
            </w:r>
          </w:p>
        </w:tc>
        <w:tc>
          <w:tcPr>
            <w:tcW w:w="3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18,000</w:t>
            </w:r>
          </w:p>
        </w:tc>
        <w:tc>
          <w:tcPr>
            <w:tcW w:w="160" w:type="dxa"/>
            <w:vAlign w:val="bottom"/>
            <w:shd w:val="clear" w:color="auto" w:fill="D6F3E8"/>
          </w:tcPr>
          <w:p>
            <w:pPr>
              <w:spacing w:after="0"/>
              <w:rPr>
                <w:sz w:val="19"/>
                <w:szCs w:val="19"/>
                <w:color w:val="auto"/>
              </w:rPr>
            </w:pPr>
          </w:p>
        </w:tc>
        <w:tc>
          <w:tcPr>
            <w:tcW w:w="108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18,000</w:t>
            </w:r>
          </w:p>
        </w:tc>
        <w:tc>
          <w:tcPr>
            <w:tcW w:w="4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200" w:type="dxa"/>
            <w:vAlign w:val="bottom"/>
            <w:gridSpan w:val="2"/>
          </w:tcPr>
          <w:p>
            <w:pPr>
              <w:spacing w:after="0"/>
              <w:rPr>
                <w:sz w:val="20"/>
                <w:szCs w:val="20"/>
                <w:color w:val="auto"/>
              </w:rPr>
            </w:pPr>
            <w:r>
              <w:rPr>
                <w:rFonts w:ascii="Arial" w:cs="Arial" w:eastAsia="Arial" w:hAnsi="Arial"/>
                <w:sz w:val="18"/>
                <w:szCs w:val="18"/>
                <w:color w:val="auto"/>
              </w:rPr>
              <w:t>Year Ended April 1, 2007: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56,000</w:t>
            </w:r>
          </w:p>
        </w:tc>
        <w:tc>
          <w:tcPr>
            <w:tcW w:w="1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1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7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9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320" w:type="dxa"/>
            <w:vAlign w:val="bottom"/>
            <w:gridSpan w:val="2"/>
          </w:tcPr>
          <w:p>
            <w:pPr>
              <w:ind w:left="780"/>
              <w:spacing w:after="0"/>
              <w:rPr>
                <w:sz w:val="20"/>
                <w:szCs w:val="20"/>
                <w:color w:val="auto"/>
              </w:rPr>
            </w:pPr>
            <w:r>
              <w:rPr>
                <w:rFonts w:ascii="Arial" w:cs="Arial" w:eastAsia="Arial" w:hAnsi="Arial"/>
                <w:sz w:val="18"/>
                <w:szCs w:val="18"/>
                <w:color w:val="auto"/>
              </w:rPr>
              <w:t>Exhibit Index</w:t>
            </w: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7"/>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Exhibit</w:t>
            </w:r>
          </w:p>
        </w:tc>
        <w:tc>
          <w:tcPr>
            <w:tcW w:w="2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Description</w:t>
            </w:r>
          </w:p>
        </w:tc>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Method of Filing</w:t>
            </w:r>
          </w:p>
        </w:tc>
        <w:tc>
          <w:tcPr>
            <w:tcW w:w="20" w:type="dxa"/>
            <w:vAlign w:val="bottom"/>
          </w:tcPr>
          <w:p>
            <w:pPr>
              <w:spacing w:after="0"/>
              <w:rPr>
                <w:sz w:val="24"/>
                <w:szCs w:val="24"/>
                <w:color w:val="auto"/>
              </w:rPr>
            </w:pPr>
          </w:p>
        </w:tc>
      </w:tr>
      <w:tr>
        <w:trPr>
          <w:trHeight w:val="228"/>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w w:val="96"/>
              </w:rPr>
              <w:t>Amended and Second Restated Articles of Incorporation as amended through February 27, 2001. (1)</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w w:val="96"/>
              </w:rPr>
              <w:t>Retirement Agreement dated December 2, 1998 between the Company and Howard M. Hawkins. (3)</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Description of Consulting Arrangement with John S. McKeon. (4)</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Hawkins, Inc. 2004 Omnibus Stock Plan. (5)</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Form of Restricted Stock Agreement under the Company’s 2004 Omnibus Stock Plan. (6)</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w w:val="96"/>
              </w:rPr>
              <w:t>Form of Restricted Stock Agreement (Directors) under the Company’s 2004 Omnibus Stock Plan. (7)</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w w:val="96"/>
              </w:rPr>
              <w:t>Form of Non-Statutory Stock Option Agreement under the Company’s 2004 Omnibus Stock Plan. (8)</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w w:val="90"/>
              </w:rPr>
              <w:t>Form of Performance-Based Restricted Stock Unit Award Notice and Restricted Stock Agreement under the</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w w:val="87"/>
              </w:rPr>
              <w:t>Incorporated by Reference</w:t>
            </w: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Company’s 2004 Omnibus Stock Plan. (9)</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Filed Electronically</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31.1</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Filed Electronically</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Filed Electronically</w:t>
            </w:r>
          </w:p>
        </w:tc>
      </w:tr>
      <w:tr>
        <w:trPr>
          <w:trHeight w:val="216"/>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Executive Officer.</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Filed Electronically</w:t>
            </w:r>
          </w:p>
        </w:tc>
      </w:tr>
      <w:tr>
        <w:trPr>
          <w:trHeight w:val="222"/>
        </w:trPr>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792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Financial Officer.</w:t>
            </w:r>
          </w:p>
        </w:tc>
        <w:tc>
          <w:tcPr>
            <w:tcW w:w="2020" w:type="dxa"/>
            <w:vAlign w:val="bottom"/>
            <w:gridSpan w:val="3"/>
          </w:tcPr>
          <w:p>
            <w:pPr>
              <w:ind w:left="140"/>
              <w:spacing w:after="0"/>
              <w:rPr>
                <w:sz w:val="20"/>
                <w:szCs w:val="20"/>
                <w:color w:val="auto"/>
              </w:rPr>
            </w:pPr>
            <w:r>
              <w:rPr>
                <w:rFonts w:ascii="Arial" w:cs="Arial" w:eastAsia="Arial" w:hAnsi="Arial"/>
                <w:sz w:val="18"/>
                <w:szCs w:val="18"/>
                <w:color w:val="auto"/>
              </w:rPr>
              <w:t>Filed Electronically</w:t>
            </w:r>
          </w:p>
        </w:tc>
      </w:tr>
    </w:tbl>
    <w:p>
      <w:pPr>
        <w:spacing w:after="0" w:line="250" w:lineRule="exact"/>
        <w:rPr>
          <w:sz w:val="20"/>
          <w:szCs w:val="20"/>
          <w:color w:val="auto"/>
        </w:rPr>
      </w:pPr>
    </w:p>
    <w:p>
      <w:pPr>
        <w:ind w:left="940" w:hanging="54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36" w:lineRule="exact"/>
        <w:rPr>
          <w:rFonts w:ascii="Arial" w:cs="Arial" w:eastAsia="Arial" w:hAnsi="Arial"/>
          <w:sz w:val="18"/>
          <w:szCs w:val="18"/>
          <w:color w:val="auto"/>
        </w:rPr>
      </w:pPr>
    </w:p>
    <w:p>
      <w:pPr>
        <w:ind w:left="940" w:hanging="54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15" w:lineRule="exact"/>
        <w:rPr>
          <w:rFonts w:ascii="Arial" w:cs="Arial" w:eastAsia="Arial" w:hAnsi="Arial"/>
          <w:sz w:val="18"/>
          <w:szCs w:val="18"/>
          <w:color w:val="auto"/>
        </w:rPr>
      </w:pPr>
    </w:p>
    <w:p>
      <w:pPr>
        <w:ind w:left="940" w:hanging="54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Annual Report on Form 10-K for the year ended April 3, 2005.</w:t>
      </w:r>
    </w:p>
    <w:p>
      <w:pPr>
        <w:spacing w:after="0" w:line="9" w:lineRule="exact"/>
        <w:rPr>
          <w:rFonts w:ascii="Arial" w:cs="Arial" w:eastAsia="Arial" w:hAnsi="Arial"/>
          <w:sz w:val="18"/>
          <w:szCs w:val="18"/>
          <w:color w:val="auto"/>
        </w:rPr>
      </w:pPr>
    </w:p>
    <w:p>
      <w:pPr>
        <w:ind w:left="940" w:hanging="548"/>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Item 1.01 of the Company’s Current Report on Form 8-K dated May 3, 2006 and filed May 8, 2006.</w:t>
      </w:r>
    </w:p>
    <w:p>
      <w:pPr>
        <w:spacing w:after="0" w:line="9" w:lineRule="exact"/>
        <w:rPr>
          <w:rFonts w:ascii="Arial" w:cs="Arial" w:eastAsia="Arial" w:hAnsi="Arial"/>
          <w:sz w:val="18"/>
          <w:szCs w:val="18"/>
          <w:color w:val="auto"/>
        </w:rPr>
      </w:pPr>
    </w:p>
    <w:p>
      <w:pPr>
        <w:ind w:left="940" w:hanging="548"/>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32" w:lineRule="exact"/>
        <w:rPr>
          <w:rFonts w:ascii="Arial" w:cs="Arial" w:eastAsia="Arial" w:hAnsi="Arial"/>
          <w:sz w:val="16"/>
          <w:szCs w:val="16"/>
          <w:color w:val="auto"/>
        </w:rPr>
      </w:pPr>
    </w:p>
    <w:p>
      <w:pPr>
        <w:ind w:left="940" w:hanging="548"/>
        <w:spacing w:after="0" w:line="250" w:lineRule="auto"/>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for the quarterly period ended September 30, 2004 and filed November 9, 2004.</w:t>
      </w:r>
    </w:p>
    <w:p>
      <w:pPr>
        <w:ind w:left="940" w:hanging="548"/>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September 30, 2008.</w:t>
      </w:r>
    </w:p>
    <w:p>
      <w:pPr>
        <w:spacing w:after="0" w:line="32" w:lineRule="exact"/>
        <w:rPr>
          <w:rFonts w:ascii="Arial" w:cs="Arial" w:eastAsia="Arial" w:hAnsi="Arial"/>
          <w:sz w:val="16"/>
          <w:szCs w:val="16"/>
          <w:color w:val="auto"/>
        </w:rPr>
      </w:pPr>
    </w:p>
    <w:p>
      <w:pPr>
        <w:ind w:left="940" w:hanging="548"/>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June 30, 2008.</w:t>
      </w:r>
    </w:p>
    <w:p>
      <w:pPr>
        <w:spacing w:after="0" w:line="32" w:lineRule="exact"/>
        <w:rPr>
          <w:rFonts w:ascii="Arial" w:cs="Arial" w:eastAsia="Arial" w:hAnsi="Arial"/>
          <w:sz w:val="16"/>
          <w:szCs w:val="16"/>
          <w:color w:val="auto"/>
        </w:rPr>
      </w:pPr>
    </w:p>
    <w:p>
      <w:pPr>
        <w:ind w:left="940" w:hanging="548"/>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Incorporated by reference to Exhibit 10.2 to the Company’s Quarterly Report on Form 10-Q for the quarterly period ended June 30, 2008.</w:t>
      </w: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146050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13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23.1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33-41323, 333-87582, and 333-123080, on Form S-8 of our reports dated June 5, 2009, relating to the financial statements and financial statement schedule of Hawkins, Inc., and the effectiveness of internal control over financial reporting appearing in this Annual Report on Form 10-K of Hawkins, Inc. for the year ended March 29,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certify that:</w:t>
      </w:r>
    </w:p>
    <w:p>
      <w:pPr>
        <w:spacing w:after="0" w:line="158"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u w:val="single" w:color="auto"/>
          <w:color w:val="auto"/>
        </w:rPr>
        <w:t>/s/ John R. Hawkins</w:t>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57"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hanging="571"/>
        <w:spacing w:after="0" w:line="33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hanging="571"/>
        <w:spacing w:after="0" w:line="259"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jc w:val="both"/>
        <w:ind w:left="1720" w:hanging="564"/>
        <w:spacing w:after="0" w:line="259" w:lineRule="auto"/>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720" w:hanging="564"/>
        <w:spacing w:after="0" w:line="332" w:lineRule="auto"/>
        <w:tabs>
          <w:tab w:leader="none" w:pos="17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6"/>
          <w:szCs w:val="16"/>
          <w:color w:val="auto"/>
        </w:rPr>
      </w:pPr>
    </w:p>
    <w:p>
      <w:pPr>
        <w:jc w:val="both"/>
        <w:ind w:left="1720" w:hanging="564"/>
        <w:spacing w:after="0" w:line="259" w:lineRule="auto"/>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hanging="564"/>
        <w:spacing w:after="0" w:line="332" w:lineRule="auto"/>
        <w:tabs>
          <w:tab w:leader="none" w:pos="17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hanging="564"/>
        <w:spacing w:after="0" w:line="268" w:lineRule="auto"/>
        <w:tabs>
          <w:tab w:leader="none" w:pos="1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5, 2009</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u w:val="single" w:color="auto"/>
          <w:color w:val="auto"/>
        </w:rPr>
        <w:t>/s/ Kathleen P. Pepski</w:t>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2009, as filed with the Securities and Exchange Commission on the date hereof (the Report), I, John R. Hawkins,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951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0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2009,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94" w:lineRule="exact"/>
        <w:rPr>
          <w:sz w:val="20"/>
          <w:szCs w:val="20"/>
          <w:color w:val="auto"/>
        </w:rPr>
      </w:pPr>
    </w:p>
    <w:p>
      <w:pPr>
        <w:ind w:left="700" w:hanging="253"/>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3"/>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0204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5,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7"/>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2"/>
    </w:lvl>
    <w:lvl w:ilvl="1">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2019-12-10T00:45:45Z</dcterms:created>
  <dcterms:modified xsi:type="dcterms:W3CDTF">2019-12-10T00:45:45Z</dcterms:modified>
</cp:coreProperties>
</file>