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5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59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Hawkins Patrick 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2381 ROSEGATE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ROSEVILLE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HAWKINS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HWKN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2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8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8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1,440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0000FF"/>
              </w:rPr>
              <w:t>292,950.649</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26,073.163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Gift of shares for no consideration.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20.88 shares acquired between June and December 2023, pursuant to the Issuer's dividend reinvestment plan and 400 shares acquired on June 30, 2023 pursuant to the Issuer's employee stock purchase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Form 4 filed on May 19, 2023, inadvertently understated the reporting person's direct holdings by 6,876 shares.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12/19/2023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8867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2023-12-19T15:37:14Z</dcterms:created>
  <dcterms:modified xsi:type="dcterms:W3CDTF">2023-12-19T15:37:14Z</dcterms:modified>
</cp:coreProperties>
</file>