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32" w:lineRule="exact"/>
        <w:rPr>
          <w:sz w:val="24"/>
          <w:szCs w:val="24"/>
          <w:color w:val="auto"/>
        </w:rPr>
      </w:pPr>
    </w:p>
    <w:p>
      <w:pPr>
        <w:jc w:val="center"/>
        <w:spacing w:after="0" w:line="288" w:lineRule="exact"/>
        <w:rPr>
          <w:sz w:val="20"/>
          <w:szCs w:val="20"/>
          <w:color w:val="auto"/>
        </w:rPr>
      </w:pPr>
      <w:r>
        <w:rPr>
          <w:rFonts w:ascii="Times New Roman" w:cs="Times New Roman" w:eastAsia="Times New Roman" w:hAnsi="Times New Roman"/>
          <w:sz w:val="25"/>
          <w:szCs w:val="25"/>
          <w:b w:val="1"/>
          <w:bCs w:val="1"/>
          <w:color w:val="auto"/>
        </w:rPr>
        <w:t>FORM 8</w:t>
      </w:r>
      <w:r>
        <w:rPr>
          <w:rFonts w:ascii="MS PGothic" w:cs="MS PGothic" w:eastAsia="MS PGothic" w:hAnsi="MS PGothic"/>
          <w:sz w:val="25"/>
          <w:szCs w:val="25"/>
          <w:color w:val="auto"/>
          <w:strike w:val="1"/>
        </w:rPr>
        <w:t>‑</w:t>
      </w:r>
      <w:r>
        <w:rPr>
          <w:rFonts w:ascii="Times New Roman" w:cs="Times New Roman" w:eastAsia="Times New Roman" w:hAnsi="Times New Roman"/>
          <w:sz w:val="25"/>
          <w:szCs w:val="25"/>
          <w:b w:val="1"/>
          <w:bCs w:val="1"/>
          <w:color w:val="auto"/>
        </w:rPr>
        <w:t>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13 OR 15(d) OF THE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August 7, 2014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HAWKINS,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420"/>
          </w:cols>
          <w:pgMar w:left="240" w:top="608" w:right="239" w:bottom="1440" w:gutter="0" w:footer="0" w:header="0"/>
        </w:sectPr>
      </w:pPr>
    </w:p>
    <w:p>
      <w:pPr>
        <w:spacing w:after="0" w:line="318" w:lineRule="exact"/>
        <w:rPr>
          <w:sz w:val="24"/>
          <w:szCs w:val="24"/>
          <w:color w:val="auto"/>
        </w:rPr>
      </w:pPr>
    </w:p>
    <w:p>
      <w:pPr>
        <w:jc w:val="center"/>
        <w:ind w:left="280"/>
        <w:spacing w:after="0"/>
        <w:rPr>
          <w:sz w:val="20"/>
          <w:szCs w:val="20"/>
          <w:color w:val="auto"/>
        </w:rPr>
      </w:pPr>
      <w:r>
        <w:rPr>
          <w:rFonts w:ascii="Times New Roman" w:cs="Times New Roman" w:eastAsia="Times New Roman" w:hAnsi="Times New Roman"/>
          <w:sz w:val="15"/>
          <w:szCs w:val="15"/>
          <w:b w:val="1"/>
          <w:bCs w:val="1"/>
          <w:color w:val="auto"/>
        </w:rPr>
        <w:t>Minnesota</w:t>
      </w:r>
    </w:p>
    <w:p>
      <w:pPr>
        <w:spacing w:after="0" w:line="60" w:lineRule="exact"/>
        <w:rPr>
          <w:sz w:val="24"/>
          <w:szCs w:val="24"/>
          <w:color w:val="auto"/>
        </w:rPr>
      </w:pPr>
    </w:p>
    <w:p>
      <w:pPr>
        <w:jc w:val="center"/>
        <w:ind w:left="280"/>
        <w:spacing w:after="0"/>
        <w:rPr>
          <w:sz w:val="20"/>
          <w:szCs w:val="20"/>
          <w:color w:val="auto"/>
        </w:rPr>
      </w:pPr>
      <w:r>
        <w:rPr>
          <w:rFonts w:ascii="Times New Roman" w:cs="Times New Roman" w:eastAsia="Times New Roman" w:hAnsi="Times New Roman"/>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0-7647</w:t>
      </w:r>
    </w:p>
    <w:p>
      <w:pPr>
        <w:spacing w:after="0" w:line="6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41-0771293</w:t>
      </w:r>
    </w:p>
    <w:p>
      <w:pPr>
        <w:spacing w:after="0" w:line="6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580" w:space="720"/>
            <w:col w:w="3300"/>
          </w:cols>
          <w:pgMar w:left="240" w:top="608" w:right="239" w:bottom="1440" w:gutter="0" w:footer="0" w:header="0"/>
          <w:type w:val="continuous"/>
        </w:sectPr>
      </w:pPr>
    </w:p>
    <w:p>
      <w:pPr>
        <w:spacing w:after="0" w:line="143"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5180" w:type="dxa"/>
            <w:vAlign w:val="bottom"/>
          </w:tcPr>
          <w:p>
            <w:pPr>
              <w:jc w:val="center"/>
              <w:ind w:right="2455"/>
              <w:spacing w:after="0"/>
              <w:rPr>
                <w:sz w:val="20"/>
                <w:szCs w:val="20"/>
                <w:color w:val="auto"/>
              </w:rPr>
            </w:pPr>
            <w:r>
              <w:rPr>
                <w:rFonts w:ascii="Times New Roman" w:cs="Times New Roman" w:eastAsia="Times New Roman" w:hAnsi="Times New Roman"/>
                <w:sz w:val="19"/>
                <w:szCs w:val="19"/>
                <w:b w:val="1"/>
                <w:bCs w:val="1"/>
                <w:color w:val="auto"/>
                <w:w w:val="96"/>
              </w:rPr>
              <w:t>2381 Rosegate</w:t>
            </w:r>
          </w:p>
        </w:tc>
        <w:tc>
          <w:tcPr>
            <w:tcW w:w="1760" w:type="dxa"/>
            <w:vAlign w:val="bottom"/>
          </w:tcPr>
          <w:p>
            <w:pPr>
              <w:spacing w:after="0"/>
              <w:rPr>
                <w:sz w:val="18"/>
                <w:szCs w:val="18"/>
                <w:color w:val="auto"/>
              </w:rPr>
            </w:pPr>
          </w:p>
        </w:tc>
      </w:tr>
      <w:tr>
        <w:trPr>
          <w:trHeight w:val="245"/>
        </w:trPr>
        <w:tc>
          <w:tcPr>
            <w:tcW w:w="5180" w:type="dxa"/>
            <w:vAlign w:val="bottom"/>
          </w:tcPr>
          <w:p>
            <w:pPr>
              <w:jc w:val="center"/>
              <w:ind w:right="2455"/>
              <w:spacing w:after="0"/>
              <w:rPr>
                <w:sz w:val="20"/>
                <w:szCs w:val="20"/>
                <w:color w:val="auto"/>
              </w:rPr>
            </w:pPr>
            <w:r>
              <w:rPr>
                <w:rFonts w:ascii="Times New Roman" w:cs="Times New Roman" w:eastAsia="Times New Roman" w:hAnsi="Times New Roman"/>
                <w:sz w:val="19"/>
                <w:szCs w:val="19"/>
                <w:b w:val="1"/>
                <w:bCs w:val="1"/>
                <w:color w:val="auto"/>
                <w:w w:val="98"/>
              </w:rPr>
              <w:t>Roseville, MN</w:t>
            </w:r>
          </w:p>
        </w:tc>
        <w:tc>
          <w:tcPr>
            <w:tcW w:w="176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55113</w:t>
            </w:r>
          </w:p>
        </w:tc>
      </w:tr>
      <w:tr>
        <w:trPr>
          <w:trHeight w:val="222"/>
        </w:trPr>
        <w:tc>
          <w:tcPr>
            <w:tcW w:w="5180" w:type="dxa"/>
            <w:vAlign w:val="bottom"/>
          </w:tcPr>
          <w:p>
            <w:pPr>
              <w:jc w:val="center"/>
              <w:ind w:right="2455"/>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176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(Zip Code)</w:t>
            </w:r>
          </w:p>
        </w:tc>
      </w:tr>
      <w:tr>
        <w:trPr>
          <w:trHeight w:val="395"/>
        </w:trPr>
        <w:tc>
          <w:tcPr>
            <w:tcW w:w="5180" w:type="dxa"/>
            <w:vAlign w:val="bottom"/>
          </w:tcPr>
          <w:p>
            <w:pPr>
              <w:ind w:left="182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760" w:type="dxa"/>
            <w:vAlign w:val="bottom"/>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(612) 331-6910</w:t>
            </w:r>
          </w:p>
        </w:tc>
      </w:tr>
    </w:tbl>
    <w:p>
      <w:pPr>
        <w:spacing w:after="0" w:line="168"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i w:val="1"/>
          <w:iCs w:val="1"/>
          <w:color w:val="auto"/>
        </w:rPr>
        <w:t>see</w:t>
      </w:r>
      <w:r>
        <w:rPr>
          <w:rFonts w:ascii="Times New Roman" w:cs="Times New Roman" w:eastAsia="Times New Roman" w:hAnsi="Times New Roman"/>
          <w:sz w:val="15"/>
          <w:szCs w:val="15"/>
          <w:color w:val="auto"/>
        </w:rPr>
        <w:t xml:space="preserve"> General Instruction A.2. below):</w:t>
      </w:r>
    </w:p>
    <w:p>
      <w:pPr>
        <w:spacing w:after="0" w:line="12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Written communications pursuant to Rule 425 under the Securities Act (17 CFR 230.425)</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Soliciting material pursuant to Rule 14a-12 under the Exchange Act (17 CFR 240.14a-12)</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Pre-commencement communications pursuant to Rule 14d-2(b) under the Exchange Act (17 CFR 240.14d-2(b))</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Pre-commencement communications pursuant to Rule 13e-4(c) under the Exchange Act (17 CFR 240.13e-4(c))</w:t>
      </w:r>
    </w:p>
    <w:p>
      <w:pPr>
        <w:sectPr>
          <w:pgSz w:w="11900" w:h="16838" w:orient="portrait"/>
          <w:cols w:equalWidth="0" w:num="1">
            <w:col w:w="11420"/>
          </w:cols>
          <w:pgMar w:left="240" w:top="608" w:right="23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5.07.</w:t>
        <w:tab/>
        <w:t>Submission of Matters to a Vote of Security Holders.</w:t>
      </w:r>
    </w:p>
    <w:p>
      <w:pPr>
        <w:spacing w:after="0" w:line="20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At our annual meeting of shareholders held August 7, 2014, the following proposals, each as described in further detail in the definitive proxy statement filed by our company on July 1, 2014 (File No. 0-7647), were voted upon by our shareholders as set forth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Proposal One - Election of Directors</w:t>
      </w:r>
    </w:p>
    <w:p>
      <w:pPr>
        <w:spacing w:after="0" w:line="203"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5"/>
          <w:szCs w:val="15"/>
          <w:color w:val="auto"/>
        </w:rPr>
        <w:t>Our shareholders elected each of the seven nominees to serve as director for a term of one year, which term shall expire at the next annual meeting of shareholders, based on the following votes:</w:t>
      </w:r>
    </w:p>
    <w:p>
      <w:pPr>
        <w:spacing w:after="0" w:line="267"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334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Director Nominee</w:t>
            </w:r>
          </w:p>
        </w:tc>
        <w:tc>
          <w:tcPr>
            <w:tcW w:w="240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For</w:t>
            </w:r>
          </w:p>
        </w:tc>
        <w:tc>
          <w:tcPr>
            <w:tcW w:w="242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2280" w:type="dxa"/>
            <w:vAlign w:val="bottom"/>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Abstain</w:t>
            </w:r>
          </w:p>
        </w:tc>
      </w:tr>
      <w:tr>
        <w:trPr>
          <w:trHeight w:val="24"/>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John S. McKeon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5,999,230.627</w:t>
            </w:r>
          </w:p>
        </w:tc>
        <w:tc>
          <w:tcPr>
            <w:tcW w:w="100" w:type="dxa"/>
            <w:vAlign w:val="bottom"/>
          </w:tcPr>
          <w:p>
            <w:pPr>
              <w:spacing w:after="0"/>
              <w:rPr>
                <w:sz w:val="17"/>
                <w:szCs w:val="17"/>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2,261,071.981</w:t>
            </w:r>
          </w:p>
        </w:tc>
        <w:tc>
          <w:tcPr>
            <w:tcW w:w="120" w:type="dxa"/>
            <w:vAlign w:val="bottom"/>
          </w:tcPr>
          <w:p>
            <w:pPr>
              <w:spacing w:after="0"/>
              <w:rPr>
                <w:sz w:val="17"/>
                <w:szCs w:val="17"/>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63,383.000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Patrick H. Hawkins</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8,061,115.608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216,374.000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46,196.000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James A. Faulconbridge</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6,318,302.608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1,942,000.000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63,383.000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Duane M. Jergenson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8,030,174.608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230,179.000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63,332.000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Mary J. Schumacher</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7,977,500.608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275,336.000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70,849.000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Daryl I. Skaar</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7,874,069.974</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305,827.634</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143,788.000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James T. Thompson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8,034,164.608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226,189.000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63,332.000</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Jeffrey L. Wright</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6,204,631.608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2,005,628.000</w:t>
            </w:r>
          </w:p>
        </w:tc>
        <w:tc>
          <w:tcPr>
            <w:tcW w:w="120" w:type="dxa"/>
            <w:vAlign w:val="bottom"/>
          </w:tcPr>
          <w:p>
            <w:pPr>
              <w:spacing w:after="0"/>
              <w:rPr>
                <w:sz w:val="20"/>
                <w:szCs w:val="20"/>
                <w:color w:val="auto"/>
              </w:rPr>
            </w:pPr>
          </w:p>
        </w:tc>
        <w:tc>
          <w:tcPr>
            <w:tcW w:w="22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113,426.000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Proposal Two - Non-Binding Advisory Vote on Executive Compensation</w:t>
      </w:r>
    </w:p>
    <w:p>
      <w:pPr>
        <w:spacing w:after="0" w:line="203"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5"/>
          <w:szCs w:val="15"/>
          <w:color w:val="auto"/>
        </w:rPr>
        <w:t>The shareholders approved, on an advisory basis, the compensation of the Company's executive officers as disclosed in the proxy statement distributed in connection with the annual meeting, based on the votes listed below:</w:t>
      </w:r>
    </w:p>
    <w:p>
      <w:pPr>
        <w:spacing w:after="0" w:line="267" w:lineRule="exact"/>
        <w:rPr>
          <w:sz w:val="20"/>
          <w:szCs w:val="20"/>
          <w:color w:val="auto"/>
        </w:rPr>
      </w:pPr>
    </w:p>
    <w:tbl>
      <w:tblPr>
        <w:tblLayout w:type="fixed"/>
        <w:tblInd w:w="2380" w:type="dxa"/>
        <w:tblCellMar>
          <w:top w:w="0" w:type="dxa"/>
          <w:left w:w="0" w:type="dxa"/>
          <w:bottom w:w="0" w:type="dxa"/>
          <w:right w:w="0" w:type="dxa"/>
        </w:tblCellMar>
      </w:tblPr>
      <w:tr>
        <w:trPr>
          <w:trHeight w:val="20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For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Abstain</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0"/>
        </w:trPr>
        <w:tc>
          <w:tcPr>
            <w:tcW w:w="164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7,525,611.048</w:t>
            </w:r>
          </w:p>
        </w:tc>
        <w:tc>
          <w:tcPr>
            <w:tcW w:w="100" w:type="dxa"/>
            <w:vAlign w:val="bottom"/>
          </w:tcPr>
          <w:p>
            <w:pPr>
              <w:spacing w:after="0"/>
              <w:rPr>
                <w:sz w:val="17"/>
                <w:szCs w:val="17"/>
                <w:color w:val="auto"/>
              </w:rPr>
            </w:pPr>
          </w:p>
        </w:tc>
        <w:tc>
          <w:tcPr>
            <w:tcW w:w="158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678,507.319</w:t>
            </w:r>
          </w:p>
        </w:tc>
        <w:tc>
          <w:tcPr>
            <w:tcW w:w="100" w:type="dxa"/>
            <w:vAlign w:val="bottom"/>
          </w:tcPr>
          <w:p>
            <w:pPr>
              <w:spacing w:after="0"/>
              <w:rPr>
                <w:sz w:val="17"/>
                <w:szCs w:val="17"/>
                <w:color w:val="auto"/>
              </w:rPr>
            </w:pPr>
          </w:p>
        </w:tc>
        <w:tc>
          <w:tcPr>
            <w:tcW w:w="158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119,567.241</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ectPr>
          <w:pgSz w:w="11900" w:h="16838" w:orient="portrait"/>
          <w:cols w:equalWidth="0" w:num="1">
            <w:col w:w="11420"/>
          </w:cols>
          <w:pgMar w:left="240" w:top="515" w:right="23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color w:val="auto"/>
        </w:rPr>
        <w:t>SIGNATURES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338" w:lineRule="exact"/>
        <w:rPr>
          <w:sz w:val="20"/>
          <w:szCs w:val="20"/>
          <w:color w:val="auto"/>
        </w:rPr>
      </w:pPr>
    </w:p>
    <w:tbl>
      <w:tblPr>
        <w:tblLayout w:type="fixed"/>
        <w:tblInd w:w="3640" w:type="dxa"/>
        <w:tblCellMar>
          <w:top w:w="0" w:type="dxa"/>
          <w:left w:w="0" w:type="dxa"/>
          <w:bottom w:w="0" w:type="dxa"/>
          <w:right w:w="0" w:type="dxa"/>
        </w:tblCellMar>
      </w:tblPr>
      <w:tr>
        <w:trPr>
          <w:trHeight w:val="200"/>
        </w:trPr>
        <w:tc>
          <w:tcPr>
            <w:tcW w:w="2280" w:type="dxa"/>
            <w:vAlign w:val="bottom"/>
          </w:tcPr>
          <w:p>
            <w:pPr>
              <w:spacing w:after="0"/>
              <w:rPr>
                <w:sz w:val="17"/>
                <w:szCs w:val="17"/>
                <w:color w:val="auto"/>
              </w:rPr>
            </w:pPr>
          </w:p>
        </w:tc>
        <w:tc>
          <w:tcPr>
            <w:tcW w:w="200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HAWKINS, INC.</w:t>
            </w:r>
          </w:p>
        </w:tc>
        <w:tc>
          <w:tcPr>
            <w:tcW w:w="3600" w:type="dxa"/>
            <w:vAlign w:val="bottom"/>
          </w:tcPr>
          <w:p>
            <w:pPr>
              <w:spacing w:after="0"/>
              <w:rPr>
                <w:sz w:val="17"/>
                <w:szCs w:val="17"/>
                <w:color w:val="auto"/>
              </w:rPr>
            </w:pPr>
          </w:p>
        </w:tc>
      </w:tr>
      <w:tr>
        <w:trPr>
          <w:trHeight w:val="337"/>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Date: August 11, 2014</w:t>
            </w:r>
          </w:p>
        </w:tc>
        <w:tc>
          <w:tcPr>
            <w:tcW w:w="200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By:</w:t>
            </w:r>
          </w:p>
        </w:tc>
        <w:tc>
          <w:tcPr>
            <w:tcW w:w="3600" w:type="dxa"/>
            <w:vAlign w:val="bottom"/>
          </w:tcPr>
          <w:p>
            <w:pPr>
              <w:jc w:val="center"/>
              <w:ind w:right="623"/>
              <w:spacing w:after="0"/>
              <w:rPr>
                <w:sz w:val="20"/>
                <w:szCs w:val="20"/>
                <w:color w:val="auto"/>
              </w:rPr>
            </w:pPr>
            <w:r>
              <w:rPr>
                <w:rFonts w:ascii="Times New Roman" w:cs="Times New Roman" w:eastAsia="Times New Roman" w:hAnsi="Times New Roman"/>
                <w:sz w:val="15"/>
                <w:szCs w:val="15"/>
                <w:color w:val="auto"/>
              </w:rPr>
              <w:t>/s/Richard G. Erstad</w:t>
            </w:r>
          </w:p>
        </w:tc>
      </w:tr>
      <w:tr>
        <w:trPr>
          <w:trHeight w:val="24"/>
        </w:trPr>
        <w:tc>
          <w:tcPr>
            <w:tcW w:w="2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0"/>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0" w:type="dxa"/>
            <w:vAlign w:val="bottom"/>
          </w:tcPr>
          <w:p>
            <w:pPr>
              <w:jc w:val="center"/>
              <w:ind w:right="603"/>
              <w:spacing w:after="0"/>
              <w:rPr>
                <w:sz w:val="20"/>
                <w:szCs w:val="20"/>
                <w:color w:val="auto"/>
              </w:rPr>
            </w:pPr>
            <w:r>
              <w:rPr>
                <w:rFonts w:ascii="Times New Roman" w:cs="Times New Roman" w:eastAsia="Times New Roman" w:hAnsi="Times New Roman"/>
                <w:sz w:val="15"/>
                <w:szCs w:val="15"/>
                <w:color w:val="auto"/>
              </w:rPr>
              <w:t>Richard G. Erstad</w:t>
            </w:r>
          </w:p>
        </w:tc>
      </w:tr>
      <w:tr>
        <w:trPr>
          <w:trHeight w:val="232"/>
        </w:trPr>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0" w:type="dxa"/>
            <w:vAlign w:val="bottom"/>
          </w:tcPr>
          <w:p>
            <w:pPr>
              <w:jc w:val="center"/>
              <w:ind w:right="623"/>
              <w:spacing w:after="0"/>
              <w:rPr>
                <w:sz w:val="20"/>
                <w:szCs w:val="20"/>
                <w:color w:val="auto"/>
              </w:rPr>
            </w:pPr>
            <w:r>
              <w:rPr>
                <w:rFonts w:ascii="Times New Roman" w:cs="Times New Roman" w:eastAsia="Times New Roman" w:hAnsi="Times New Roman"/>
                <w:sz w:val="15"/>
                <w:szCs w:val="15"/>
                <w:color w:val="auto"/>
              </w:rPr>
              <w:t>Vice President, General Counsel and Secretary</w:t>
            </w:r>
          </w:p>
        </w:tc>
      </w:tr>
    </w:tbl>
    <w:p>
      <w:pPr>
        <w:spacing w:after="0" w:line="1" w:lineRule="exact"/>
        <w:rPr>
          <w:sz w:val="20"/>
          <w:szCs w:val="20"/>
          <w:color w:val="auto"/>
        </w:rPr>
      </w:pPr>
    </w:p>
    <w:sectPr>
      <w:pgSz w:w="11900" w:h="16838" w:orient="portrait"/>
      <w:cols w:equalWidth="0" w:num="1">
        <w:col w:w="11520"/>
      </w:cols>
      <w:pgMar w:left="240" w:top="51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2019-12-05T10:22:15Z</dcterms:created>
  <dcterms:modified xsi:type="dcterms:W3CDTF">2019-12-05T10:22:15Z</dcterms:modified>
</cp:coreProperties>
</file>