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160"/>
        <w:spacing w:after="0"/>
        <w:rPr>
          <w:sz w:val="20"/>
          <w:szCs w:val="20"/>
          <w:color w:val="auto"/>
        </w:rPr>
      </w:pPr>
      <w:r>
        <w:rPr>
          <w:rFonts w:ascii="Courier New" w:cs="Courier New" w:eastAsia="Courier New" w:hAnsi="Courier New"/>
          <w:sz w:val="18"/>
          <w:szCs w:val="18"/>
          <w:color w:val="auto"/>
        </w:rPr>
        <w:t>WASHINGTON, DC 20549</w:t>
      </w:r>
    </w:p>
    <w:p>
      <w:pPr>
        <w:ind w:left="3800"/>
        <w:spacing w:after="0" w:line="237" w:lineRule="auto"/>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420" w:right="1879" w:hanging="412"/>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ind w:left="2120"/>
        <w:spacing w:after="0"/>
        <w:tabs>
          <w:tab w:leader="none" w:pos="5460" w:val="left"/>
        </w:tabs>
        <w:rPr>
          <w:sz w:val="20"/>
          <w:szCs w:val="20"/>
          <w:color w:val="auto"/>
        </w:rPr>
      </w:pPr>
      <w:r>
        <w:rPr>
          <w:rFonts w:ascii="Courier New" w:cs="Courier New" w:eastAsia="Courier New" w:hAnsi="Courier New"/>
          <w:sz w:val="18"/>
          <w:szCs w:val="18"/>
          <w:color w:val="auto"/>
        </w:rPr>
        <w:t>For the quarterly period ended</w:t>
      </w:r>
      <w:r>
        <w:rPr>
          <w:sz w:val="20"/>
          <w:szCs w:val="20"/>
          <w:color w:val="auto"/>
        </w:rPr>
        <w:tab/>
      </w:r>
      <w:r>
        <w:rPr>
          <w:rFonts w:ascii="Courier New" w:cs="Courier New" w:eastAsia="Courier New" w:hAnsi="Courier New"/>
          <w:sz w:val="16"/>
          <w:szCs w:val="16"/>
          <w:color w:val="auto"/>
        </w:rPr>
        <w:t>June 30, 1996</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OR</w:t>
      </w:r>
    </w:p>
    <w:p>
      <w:pPr>
        <w:spacing w:after="0" w:line="206" w:lineRule="exact"/>
        <w:rPr>
          <w:sz w:val="24"/>
          <w:szCs w:val="24"/>
          <w:color w:val="auto"/>
        </w:rPr>
      </w:pPr>
    </w:p>
    <w:p>
      <w:pPr>
        <w:ind w:left="420" w:right="273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ectPr>
          <w:pgSz w:w="11900" w:h="16838" w:orient="portrait"/>
          <w:cols w:equalWidth="0" w:num="1">
            <w:col w:w="10219"/>
          </w:cols>
          <w:pgMar w:left="240" w:top="852" w:right="1440" w:bottom="1440" w:gutter="0" w:footer="0" w:header="0"/>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16" w:lineRule="exact"/>
        <w:rPr>
          <w:sz w:val="24"/>
          <w:szCs w:val="24"/>
          <w:color w:val="auto"/>
        </w:rPr>
      </w:pPr>
    </w:p>
    <w:p>
      <w:pPr>
        <w:sectPr>
          <w:pgSz w:w="11900" w:h="16838" w:orient="portrait"/>
          <w:cols w:equalWidth="0" w:num="2">
            <w:col w:w="4880" w:space="720"/>
            <w:col w:w="4619"/>
          </w:cols>
          <w:pgMar w:left="240" w:top="852"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Commission file number 0-7647</w:t>
      </w:r>
    </w:p>
    <w:p>
      <w:pPr>
        <w:spacing w:after="0" w:line="21" w:lineRule="exact"/>
        <w:rPr>
          <w:sz w:val="24"/>
          <w:szCs w:val="24"/>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605" w:lineRule="exact"/>
        <w:rPr>
          <w:sz w:val="24"/>
          <w:szCs w:val="24"/>
          <w:color w:val="auto"/>
        </w:rPr>
      </w:pPr>
    </w:p>
    <w:p>
      <w:pPr>
        <w:sectPr>
          <w:pgSz w:w="11900" w:h="16838" w:orient="portrait"/>
          <w:cols w:equalWidth="0" w:num="2">
            <w:col w:w="5800" w:space="100"/>
            <w:col w:w="4319"/>
          </w:cols>
          <w:pgMar w:left="240" w:top="852" w:right="1440" w:bottom="1440" w:gutter="0" w:footer="0" w:header="0"/>
          <w:type w:val="continuous"/>
        </w:sectPr>
      </w:pPr>
    </w:p>
    <w:p>
      <w:pPr>
        <w:spacing w:after="0" w:line="1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HAWKINS CHEMICAL, INC.</w:t>
      </w:r>
    </w:p>
    <w:p>
      <w:pPr>
        <w:spacing w:after="0" w:line="4"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852" w:right="1440" w:bottom="1440" w:gutter="0" w:footer="0" w:header="0"/>
          <w:type w:val="continuous"/>
        </w:sectPr>
      </w:pPr>
    </w:p>
    <w:p>
      <w:pPr>
        <w:spacing w:after="0" w:line="218"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MINNESOTA</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incorporation of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41-0771293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3800" w:space="520"/>
            <w:col w:w="5899"/>
          </w:cols>
          <w:pgMar w:left="240" w:top="852"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280"/>
        <w:spacing w:after="0"/>
        <w:tabs>
          <w:tab w:leader="none" w:pos="6720" w:val="left"/>
        </w:tabs>
        <w:rPr>
          <w:sz w:val="20"/>
          <w:szCs w:val="20"/>
          <w:color w:val="auto"/>
        </w:rPr>
      </w:pPr>
      <w:r>
        <w:rPr>
          <w:rFonts w:ascii="Courier New" w:cs="Courier New" w:eastAsia="Courier New" w:hAnsi="Courier New"/>
          <w:sz w:val="18"/>
          <w:szCs w:val="18"/>
          <w:color w:val="auto"/>
        </w:rPr>
        <w:t>3100 East Hennepin Avenue, Minneapolis, Minnesota</w:t>
        <w:tab/>
        <w:t>55413</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tabs>
          <w:tab w:leader="none" w:pos="66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4020" w:hanging="641"/>
        <w:spacing w:after="0"/>
        <w:tabs>
          <w:tab w:leader="none" w:pos="40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331-6910</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3160"/>
        <w:spacing w:after="0"/>
        <w:tabs>
          <w:tab w:leader="none" w:pos="3680" w:val="left"/>
          <w:tab w:leader="none" w:pos="4100" w:val="left"/>
        </w:tabs>
        <w:rPr>
          <w:sz w:val="20"/>
          <w:szCs w:val="20"/>
          <w:color w:val="auto"/>
        </w:rPr>
      </w:pPr>
      <w:r>
        <w:rPr>
          <w:rFonts w:ascii="Courier New" w:cs="Courier New" w:eastAsia="Courier New" w:hAnsi="Courier New"/>
          <w:sz w:val="18"/>
          <w:szCs w:val="18"/>
          <w:color w:val="auto"/>
        </w:rPr>
        <w:t>Yes</w:t>
        <w:tab/>
        <w:t>X</w:t>
      </w:r>
      <w:r>
        <w:rPr>
          <w:sz w:val="20"/>
          <w:szCs w:val="20"/>
          <w:color w:val="auto"/>
        </w:rPr>
        <w:tab/>
      </w:r>
      <w:r>
        <w:rPr>
          <w:rFonts w:ascii="Courier New" w:cs="Courier New" w:eastAsia="Courier New" w:hAnsi="Courier New"/>
          <w:sz w:val="16"/>
          <w:szCs w:val="16"/>
          <w:color w:val="auto"/>
        </w:rPr>
        <w:t>No</w:t>
      </w:r>
    </w:p>
    <w:p>
      <w:pPr>
        <w:ind w:left="34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w:t>
        <w:tab/>
        <w:t>-----</w:t>
      </w:r>
    </w:p>
    <w:p>
      <w:pPr>
        <w:spacing w:after="0" w:line="200" w:lineRule="exact"/>
        <w:rPr>
          <w:sz w:val="24"/>
          <w:szCs w:val="24"/>
          <w:color w:val="auto"/>
        </w:rPr>
      </w:pPr>
    </w:p>
    <w:p>
      <w:pPr>
        <w:spacing w:after="0" w:line="210"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852" w:right="1440" w:bottom="1440" w:gutter="0" w:footer="0" w:header="0"/>
          <w:type w:val="continuous"/>
        </w:sectPr>
      </w:pPr>
    </w:p>
    <w:p>
      <w:pPr>
        <w:spacing w:after="0" w:line="203"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6"/>
          <w:szCs w:val="16"/>
          <w:color w:val="auto"/>
        </w:rPr>
        <w:t>Common Stock, par value $.05 per share</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at August 12, 1996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40"/>
        <w:spacing w:after="0"/>
        <w:rPr>
          <w:sz w:val="20"/>
          <w:szCs w:val="20"/>
          <w:color w:val="auto"/>
        </w:rPr>
      </w:pPr>
      <w:r>
        <w:rPr>
          <w:rFonts w:ascii="Courier New" w:cs="Courier New" w:eastAsia="Courier New" w:hAnsi="Courier New"/>
          <w:sz w:val="18"/>
          <w:szCs w:val="18"/>
          <w:color w:val="auto"/>
        </w:rPr>
        <w:t>11,051,690</w:t>
      </w:r>
    </w:p>
    <w:p>
      <w:pPr>
        <w:sectPr>
          <w:pgSz w:w="11900" w:h="16838" w:orient="portrait"/>
          <w:cols w:equalWidth="0" w:num="2">
            <w:col w:w="4560" w:space="720"/>
            <w:col w:w="4939"/>
          </w:cols>
          <w:pgMar w:left="240" w:top="852" w:right="1440" w:bottom="1440" w:gutter="0" w:footer="0" w:header="0"/>
          <w:type w:val="continuous"/>
        </w:sectPr>
      </w:pPr>
    </w:p>
    <w:bookmarkStart w:id="1" w:name="page2"/>
    <w:bookmarkEnd w:id="1"/>
    <w:p>
      <w:pPr>
        <w:ind w:left="2320"/>
        <w:spacing w:after="0"/>
        <w:rPr>
          <w:sz w:val="20"/>
          <w:szCs w:val="20"/>
          <w:color w:val="auto"/>
        </w:rPr>
      </w:pPr>
      <w:r>
        <w:rPr>
          <w:rFonts w:ascii="Courier New" w:cs="Courier New" w:eastAsia="Courier New" w:hAnsi="Courier New"/>
          <w:sz w:val="18"/>
          <w:szCs w:val="18"/>
          <w:color w:val="auto"/>
        </w:rPr>
        <w:t>HAWKINS CHEMICAL, INC. AND SUBSIDIARIES</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No.</w:t>
      </w:r>
    </w:p>
    <w:p>
      <w:pPr>
        <w:spacing w:after="0" w:line="4" w:lineRule="exact"/>
        <w:rPr>
          <w:sz w:val="20"/>
          <w:szCs w:val="20"/>
          <w:color w:val="auto"/>
        </w:rPr>
      </w:pPr>
    </w:p>
    <w:p>
      <w:pPr>
        <w:ind w:left="76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Consolidated</w:t>
            </w:r>
          </w:p>
        </w:tc>
        <w:tc>
          <w:tcPr>
            <w:tcW w:w="5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Condensed Balance Sheets - June 30, 1996 and</w:t>
            </w:r>
          </w:p>
        </w:tc>
        <w:tc>
          <w:tcPr>
            <w:tcW w:w="10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14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October 1,</w:t>
            </w:r>
          </w:p>
        </w:tc>
        <w:tc>
          <w:tcPr>
            <w:tcW w:w="5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1"/>
              </w:rPr>
              <w:t>1995 .............................................</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86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Consolidated</w:t>
            </w:r>
          </w:p>
        </w:tc>
        <w:tc>
          <w:tcPr>
            <w:tcW w:w="60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Condensed Statements of Income - Three Months and</w:t>
            </w:r>
          </w:p>
        </w:tc>
      </w:tr>
      <w:tr>
        <w:trPr>
          <w:trHeight w:val="203"/>
        </w:trPr>
        <w:tc>
          <w:tcPr>
            <w:tcW w:w="860" w:type="dxa"/>
            <w:vAlign w:val="bottom"/>
          </w:tcPr>
          <w:p>
            <w:pPr>
              <w:spacing w:after="0"/>
              <w:rPr>
                <w:sz w:val="17"/>
                <w:szCs w:val="17"/>
                <w:color w:val="auto"/>
              </w:rPr>
            </w:pPr>
          </w:p>
        </w:tc>
        <w:tc>
          <w:tcPr>
            <w:tcW w:w="31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Nine Months Ended June 30,</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w w:val="88"/>
              </w:rPr>
              <w:t>1996 and 1995 ....................</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86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Consolidated</w:t>
            </w:r>
          </w:p>
        </w:tc>
        <w:tc>
          <w:tcPr>
            <w:tcW w:w="5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Condensed Statements of Cash Flows -</w:t>
            </w:r>
          </w:p>
        </w:tc>
        <w:tc>
          <w:tcPr>
            <w:tcW w:w="10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316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Nine Months Ended June 30,</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w w:val="88"/>
              </w:rPr>
              <w:t>1996 and 1995 ....................</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860" w:type="dxa"/>
            <w:vAlign w:val="bottom"/>
          </w:tcPr>
          <w:p>
            <w:pPr>
              <w:spacing w:after="0"/>
              <w:rPr>
                <w:sz w:val="17"/>
                <w:szCs w:val="17"/>
                <w:color w:val="auto"/>
              </w:rPr>
            </w:pPr>
          </w:p>
        </w:tc>
        <w:tc>
          <w:tcPr>
            <w:tcW w:w="64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2"/>
              </w:rPr>
              <w:t>Notes to Consolidated Condensed Financial Statements...........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Management's</w:t>
            </w:r>
          </w:p>
        </w:tc>
        <w:tc>
          <w:tcPr>
            <w:tcW w:w="50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Discussion and Analysis of Financial Condition</w:t>
            </w:r>
          </w:p>
        </w:tc>
        <w:tc>
          <w:tcPr>
            <w:tcW w:w="10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6420" w:type="dxa"/>
            <w:vAlign w:val="bottom"/>
            <w:gridSpan w:val="3"/>
          </w:tcPr>
          <w:p>
            <w:pPr>
              <w:ind w:left="300"/>
              <w:spacing w:after="0" w:line="203" w:lineRule="exact"/>
              <w:rPr>
                <w:sz w:val="20"/>
                <w:szCs w:val="20"/>
                <w:color w:val="auto"/>
              </w:rPr>
            </w:pPr>
            <w:r>
              <w:rPr>
                <w:rFonts w:ascii="Courier New" w:cs="Courier New" w:eastAsia="Courier New" w:hAnsi="Courier New"/>
                <w:sz w:val="18"/>
                <w:szCs w:val="18"/>
                <w:color w:val="auto"/>
                <w:w w:val="92"/>
              </w:rPr>
              <w:t>and Results of Operations ...................................</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r>
      <w:tr>
        <w:trPr>
          <w:trHeight w:val="405"/>
        </w:trPr>
        <w:tc>
          <w:tcPr>
            <w:tcW w:w="4020" w:type="dxa"/>
            <w:vAlign w:val="bottom"/>
            <w:gridSpan w:val="3"/>
          </w:tcPr>
          <w:p>
            <w:pPr>
              <w:spacing w:after="0"/>
              <w:rPr>
                <w:sz w:val="20"/>
                <w:szCs w:val="20"/>
                <w:color w:val="auto"/>
              </w:rPr>
            </w:pPr>
            <w:r>
              <w:rPr>
                <w:rFonts w:ascii="Courier New" w:cs="Courier New" w:eastAsia="Courier New" w:hAnsi="Courier New"/>
                <w:sz w:val="18"/>
                <w:szCs w:val="18"/>
                <w:color w:val="auto"/>
              </w:rPr>
              <w:t>PART II. OTHER INFORMATION</w:t>
            </w:r>
          </w:p>
        </w:tc>
        <w:tc>
          <w:tcPr>
            <w:tcW w:w="3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42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2"/>
              </w:rPr>
              <w:t>Legal Proceedings .............................................</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Exhibits and</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Reports of Form</w:t>
            </w:r>
          </w:p>
        </w:tc>
        <w:tc>
          <w:tcPr>
            <w:tcW w:w="3260" w:type="dxa"/>
            <w:vAlign w:val="bottom"/>
          </w:tcPr>
          <w:p>
            <w:pPr>
              <w:spacing w:after="0"/>
              <w:rPr>
                <w:sz w:val="20"/>
                <w:szCs w:val="20"/>
                <w:color w:val="auto"/>
              </w:rPr>
            </w:pPr>
            <w:r>
              <w:rPr>
                <w:rFonts w:ascii="Courier New" w:cs="Courier New" w:eastAsia="Courier New" w:hAnsi="Courier New"/>
                <w:sz w:val="18"/>
                <w:szCs w:val="18"/>
                <w:color w:val="auto"/>
                <w:w w:val="88"/>
              </w:rPr>
              <w:t>8-K ..............................</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405"/>
        </w:trPr>
        <w:tc>
          <w:tcPr>
            <w:tcW w:w="860" w:type="dxa"/>
            <w:vAlign w:val="bottom"/>
          </w:tcPr>
          <w:p>
            <w:pPr>
              <w:spacing w:after="0"/>
              <w:rPr>
                <w:sz w:val="24"/>
                <w:szCs w:val="24"/>
                <w:color w:val="auto"/>
              </w:rPr>
            </w:pPr>
          </w:p>
        </w:tc>
        <w:tc>
          <w:tcPr>
            <w:tcW w:w="642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8"/>
              </w:rPr>
              <w:t>Financial Data Schedule....................................</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w w:val="96"/>
              </w:rPr>
              <w:t>Exhibit 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2" w:name="page3"/>
    <w:bookmarkEnd w:id="2"/>
    <w:p>
      <w:pPr>
        <w:ind w:left="3060"/>
        <w:spacing w:after="0"/>
        <w:tabs>
          <w:tab w:leader="none" w:pos="400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I.</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pacing w:after="0" w:line="204"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8"/>
          <w:szCs w:val="18"/>
          <w:color w:val="auto"/>
        </w:rPr>
        <w:t>HAWKINS CHEMICAL, INC. AND SUBSIDIARIES</w:t>
      </w:r>
    </w:p>
    <w:p>
      <w:pPr>
        <w:jc w:val="center"/>
        <w:ind w:right="1040"/>
        <w:spacing w:after="0" w:line="238" w:lineRule="auto"/>
        <w:rPr>
          <w:sz w:val="20"/>
          <w:szCs w:val="20"/>
          <w:color w:val="auto"/>
        </w:rPr>
      </w:pPr>
      <w:r>
        <w:rPr>
          <w:rFonts w:ascii="Courier New" w:cs="Courier New" w:eastAsia="Courier New" w:hAnsi="Courier New"/>
          <w:sz w:val="18"/>
          <w:szCs w:val="18"/>
          <w:color w:val="auto"/>
        </w:rPr>
        <w:t>CONSOLIDATED CONDENSED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17"/>
                <w:szCs w:val="17"/>
                <w:color w:val="auto"/>
              </w:rPr>
            </w:pPr>
          </w:p>
        </w:tc>
        <w:tc>
          <w:tcPr>
            <w:tcW w:w="188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June 30, 1996</w:t>
            </w:r>
          </w:p>
        </w:tc>
        <w:tc>
          <w:tcPr>
            <w:tcW w:w="2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October 1, 1995</w:t>
            </w:r>
          </w:p>
        </w:tc>
      </w:tr>
      <w:tr>
        <w:trPr>
          <w:trHeight w:val="203"/>
        </w:trPr>
        <w:tc>
          <w:tcPr>
            <w:tcW w:w="6020" w:type="dxa"/>
            <w:vAlign w:val="bottom"/>
          </w:tcPr>
          <w:p>
            <w:pPr>
              <w:spacing w:after="0"/>
              <w:rPr>
                <w:sz w:val="17"/>
                <w:szCs w:val="17"/>
                <w:color w:val="auto"/>
              </w:rPr>
            </w:pP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8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(Unaudited)</w:t>
            </w:r>
          </w:p>
        </w:tc>
        <w:tc>
          <w:tcPr>
            <w:tcW w:w="2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(Derived from Audited</w:t>
            </w:r>
          </w:p>
        </w:tc>
      </w:tr>
      <w:tr>
        <w:trPr>
          <w:trHeight w:val="203"/>
        </w:trPr>
        <w:tc>
          <w:tcPr>
            <w:tcW w:w="6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financial statements)</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6,286,674</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$ 9,906,107</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(fair value approximates cost)..........</w:t>
            </w:r>
          </w:p>
        </w:tc>
        <w:tc>
          <w:tcPr>
            <w:tcW w:w="52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10,387,977</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7,968,761</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receivable-net.............................</w:t>
            </w:r>
          </w:p>
        </w:tc>
        <w:tc>
          <w:tcPr>
            <w:tcW w:w="52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9,929,176</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10,512,260</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 receivable.....................................</w:t>
            </w:r>
          </w:p>
        </w:tc>
        <w:tc>
          <w:tcPr>
            <w:tcW w:w="52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170,503</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208,943</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52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6,244,790</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8,663,959</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52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1,757,871</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1,647,660</w:t>
            </w:r>
          </w:p>
        </w:tc>
      </w:tr>
      <w:tr>
        <w:trPr>
          <w:trHeight w:val="203"/>
        </w:trPr>
        <w:tc>
          <w:tcPr>
            <w:tcW w:w="6020" w:type="dxa"/>
            <w:vAlign w:val="bottom"/>
          </w:tcPr>
          <w:p>
            <w:pPr>
              <w:spacing w:after="0"/>
              <w:rPr>
                <w:sz w:val="17"/>
                <w:szCs w:val="17"/>
                <w:color w:val="auto"/>
              </w:rPr>
            </w:pP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52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34,776,991</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38,907,690</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Property, plant and equipment-net.....................</w:t>
            </w:r>
          </w:p>
        </w:tc>
        <w:tc>
          <w:tcPr>
            <w:tcW w:w="520" w:type="dxa"/>
            <w:vAlign w:val="bottom"/>
          </w:tcPr>
          <w:p>
            <w:pPr>
              <w:spacing w:after="0"/>
              <w:rPr>
                <w:sz w:val="24"/>
                <w:szCs w:val="24"/>
                <w:color w:val="auto"/>
              </w:rPr>
            </w:pP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6"/>
              </w:rPr>
              <w:t>12,957,065</w:t>
            </w:r>
          </w:p>
        </w:tc>
        <w:tc>
          <w:tcPr>
            <w:tcW w:w="25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11,438,895</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Note receivable-non current...........................</w:t>
            </w:r>
          </w:p>
        </w:tc>
        <w:tc>
          <w:tcPr>
            <w:tcW w:w="52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1,824,022</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715,045</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52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2,640,641</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2,629,184</w:t>
            </w:r>
          </w:p>
        </w:tc>
      </w:tr>
      <w:tr>
        <w:trPr>
          <w:trHeight w:val="203"/>
        </w:trPr>
        <w:tc>
          <w:tcPr>
            <w:tcW w:w="6020" w:type="dxa"/>
            <w:vAlign w:val="bottom"/>
          </w:tcPr>
          <w:p>
            <w:pPr>
              <w:spacing w:after="0"/>
              <w:rPr>
                <w:sz w:val="17"/>
                <w:szCs w:val="17"/>
                <w:color w:val="auto"/>
              </w:rPr>
            </w:pP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52,198,719</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$53,690,814</w:t>
            </w:r>
          </w:p>
        </w:tc>
      </w:tr>
      <w:tr>
        <w:trPr>
          <w:trHeight w:val="203"/>
        </w:trPr>
        <w:tc>
          <w:tcPr>
            <w:tcW w:w="6020" w:type="dxa"/>
            <w:vAlign w:val="bottom"/>
          </w:tcPr>
          <w:p>
            <w:pPr>
              <w:spacing w:after="0"/>
              <w:rPr>
                <w:sz w:val="17"/>
                <w:szCs w:val="17"/>
                <w:color w:val="auto"/>
              </w:rPr>
            </w:pP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rPr>
                <w:sz w:val="17"/>
                <w:szCs w:val="17"/>
                <w:color w:val="auto"/>
              </w:rPr>
            </w:pP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SHAREHOLDERS' EQUITY</w:t>
            </w: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608"/>
        </w:trPr>
        <w:tc>
          <w:tcPr>
            <w:tcW w:w="60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03"/>
        </w:trPr>
        <w:tc>
          <w:tcPr>
            <w:tcW w:w="6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Accounts payable....................................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5,345,491</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$ 8,691,204</w:t>
            </w:r>
          </w:p>
        </w:tc>
      </w:tr>
      <w:tr>
        <w:trPr>
          <w:trHeight w:val="203"/>
        </w:trPr>
        <w:tc>
          <w:tcPr>
            <w:tcW w:w="6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52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56,008</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52,344</w:t>
            </w:r>
          </w:p>
        </w:tc>
      </w:tr>
      <w:tr>
        <w:trPr>
          <w:trHeight w:val="203"/>
        </w:trPr>
        <w:tc>
          <w:tcPr>
            <w:tcW w:w="6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52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4,085,765</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5,822,383</w:t>
            </w:r>
          </w:p>
        </w:tc>
      </w:tr>
      <w:tr>
        <w:trPr>
          <w:trHeight w:val="203"/>
        </w:trPr>
        <w:tc>
          <w:tcPr>
            <w:tcW w:w="6020" w:type="dxa"/>
            <w:vAlign w:val="bottom"/>
          </w:tcPr>
          <w:p>
            <w:pPr>
              <w:spacing w:after="0"/>
              <w:rPr>
                <w:sz w:val="17"/>
                <w:szCs w:val="17"/>
                <w:color w:val="auto"/>
              </w:rPr>
            </w:pP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52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9,487,264</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14,565,931</w:t>
            </w:r>
          </w:p>
        </w:tc>
      </w:tr>
      <w:tr>
        <w:trPr>
          <w:trHeight w:val="203"/>
        </w:trPr>
        <w:tc>
          <w:tcPr>
            <w:tcW w:w="6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2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 term debt.........................................</w:t>
            </w:r>
          </w:p>
        </w:tc>
        <w:tc>
          <w:tcPr>
            <w:tcW w:w="52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572,453</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628,461</w:t>
            </w:r>
          </w:p>
        </w:tc>
      </w:tr>
      <w:tr>
        <w:trPr>
          <w:trHeight w:val="203"/>
        </w:trPr>
        <w:tc>
          <w:tcPr>
            <w:tcW w:w="6020" w:type="dxa"/>
            <w:vAlign w:val="bottom"/>
          </w:tcPr>
          <w:p>
            <w:pPr>
              <w:spacing w:after="0"/>
              <w:rPr>
                <w:sz w:val="17"/>
                <w:szCs w:val="17"/>
                <w:color w:val="auto"/>
              </w:rPr>
            </w:pP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52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390,800</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377,800</w:t>
            </w:r>
          </w:p>
        </w:tc>
      </w:tr>
      <w:tr>
        <w:trPr>
          <w:trHeight w:val="203"/>
        </w:trPr>
        <w:tc>
          <w:tcPr>
            <w:tcW w:w="6020" w:type="dxa"/>
            <w:vAlign w:val="bottom"/>
          </w:tcPr>
          <w:p>
            <w:pPr>
              <w:spacing w:after="0"/>
              <w:rPr>
                <w:sz w:val="17"/>
                <w:szCs w:val="17"/>
                <w:color w:val="auto"/>
              </w:rPr>
            </w:pP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par value $.05 per share; issued</w:t>
            </w: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outstanding, 11,051,690 shares and</w:t>
            </w: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10,525,772 shares respectively.......................</w:t>
            </w:r>
          </w:p>
        </w:tc>
        <w:tc>
          <w:tcPr>
            <w:tcW w:w="52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552,585</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526,289</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52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38,679,630</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34,235,623</w:t>
            </w:r>
          </w:p>
        </w:tc>
      </w:tr>
      <w:tr>
        <w:trPr>
          <w:trHeight w:val="203"/>
        </w:trPr>
        <w:tc>
          <w:tcPr>
            <w:tcW w:w="6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52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2,515,987</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3,356,710</w:t>
            </w:r>
          </w:p>
        </w:tc>
      </w:tr>
      <w:tr>
        <w:trPr>
          <w:trHeight w:val="203"/>
        </w:trPr>
        <w:tc>
          <w:tcPr>
            <w:tcW w:w="6020" w:type="dxa"/>
            <w:vAlign w:val="bottom"/>
          </w:tcPr>
          <w:p>
            <w:pPr>
              <w:spacing w:after="0"/>
              <w:rPr>
                <w:sz w:val="17"/>
                <w:szCs w:val="17"/>
                <w:color w:val="auto"/>
              </w:rPr>
            </w:pP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520" w:type="dxa"/>
            <w:vAlign w:val="bottom"/>
          </w:tcPr>
          <w:p>
            <w:pPr>
              <w:spacing w:after="0"/>
              <w:rPr>
                <w:sz w:val="17"/>
                <w:szCs w:val="17"/>
                <w:color w:val="auto"/>
              </w:rPr>
            </w:pP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41,748,202</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38,118,622</w:t>
            </w:r>
          </w:p>
        </w:tc>
      </w:tr>
      <w:tr>
        <w:trPr>
          <w:trHeight w:val="203"/>
        </w:trPr>
        <w:tc>
          <w:tcPr>
            <w:tcW w:w="6020" w:type="dxa"/>
            <w:vAlign w:val="bottom"/>
          </w:tcPr>
          <w:p>
            <w:pPr>
              <w:spacing w:after="0"/>
              <w:rPr>
                <w:sz w:val="17"/>
                <w:szCs w:val="17"/>
                <w:color w:val="auto"/>
              </w:rPr>
            </w:pP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52,198,719</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$53,690,814</w:t>
            </w:r>
          </w:p>
        </w:tc>
      </w:tr>
      <w:tr>
        <w:trPr>
          <w:trHeight w:val="203"/>
        </w:trPr>
        <w:tc>
          <w:tcPr>
            <w:tcW w:w="6020" w:type="dxa"/>
            <w:vAlign w:val="bottom"/>
          </w:tcPr>
          <w:p>
            <w:pPr>
              <w:spacing w:after="0"/>
              <w:rPr>
                <w:sz w:val="17"/>
                <w:szCs w:val="17"/>
                <w:color w:val="auto"/>
              </w:rPr>
            </w:pP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spacing w:after="0"/>
              <w:rPr>
                <w:sz w:val="17"/>
                <w:szCs w:val="17"/>
                <w:color w:val="auto"/>
              </w:rPr>
            </w:pP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accompanying Notes to Consolidated Condensed Financial Statements</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440"/>
          </w:cols>
          <w:pgMar w:left="240" w:top="919" w:right="1219" w:bottom="1440" w:gutter="0" w:footer="0" w:header="0"/>
        </w:sectPr>
      </w:pPr>
    </w:p>
    <w:bookmarkStart w:id="3" w:name="page4"/>
    <w:bookmarkEnd w:id="3"/>
    <w:p>
      <w:pPr>
        <w:jc w:val="center"/>
        <w:ind w:right="940"/>
        <w:spacing w:after="0"/>
        <w:rPr>
          <w:sz w:val="20"/>
          <w:szCs w:val="20"/>
          <w:color w:val="auto"/>
        </w:rPr>
      </w:pPr>
      <w:r>
        <w:rPr>
          <w:rFonts w:ascii="Courier New" w:cs="Courier New" w:eastAsia="Courier New" w:hAnsi="Courier New"/>
          <w:sz w:val="18"/>
          <w:szCs w:val="18"/>
          <w:color w:val="auto"/>
        </w:rPr>
        <w:t>HAWKINS CHEMICAL, INC. AND SUBSIDIARIES</w:t>
      </w:r>
    </w:p>
    <w:p>
      <w:pPr>
        <w:jc w:val="center"/>
        <w:ind w:right="940"/>
        <w:spacing w:after="0" w:line="238" w:lineRule="auto"/>
        <w:rPr>
          <w:sz w:val="20"/>
          <w:szCs w:val="20"/>
          <w:color w:val="auto"/>
        </w:rPr>
      </w:pPr>
      <w:r>
        <w:rPr>
          <w:rFonts w:ascii="Courier New" w:cs="Courier New" w:eastAsia="Courier New" w:hAnsi="Courier New"/>
          <w:sz w:val="18"/>
          <w:szCs w:val="18"/>
          <w:color w:val="auto"/>
        </w:rPr>
        <w:t>CONSOLIDATED CONDENSED STATEMENTS OF INCOME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17"/>
                <w:szCs w:val="17"/>
                <w:color w:val="auto"/>
              </w:rPr>
            </w:pP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(Unaudited)</w:t>
            </w:r>
          </w:p>
        </w:tc>
        <w:tc>
          <w:tcPr>
            <w:tcW w:w="1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810"/>
        </w:trPr>
        <w:tc>
          <w:tcPr>
            <w:tcW w:w="4280" w:type="dxa"/>
            <w:vAlign w:val="bottom"/>
          </w:tcPr>
          <w:p>
            <w:pPr>
              <w:spacing w:after="0"/>
              <w:rPr>
                <w:sz w:val="24"/>
                <w:szCs w:val="24"/>
                <w:color w:val="auto"/>
              </w:rPr>
            </w:pPr>
          </w:p>
        </w:tc>
        <w:tc>
          <w:tcPr>
            <w:tcW w:w="34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Three Months Ended June 30</w:t>
            </w:r>
          </w:p>
        </w:tc>
        <w:tc>
          <w:tcPr>
            <w:tcW w:w="30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Nine Months Ended June 30</w:t>
            </w:r>
          </w:p>
        </w:tc>
      </w:tr>
      <w:tr>
        <w:trPr>
          <w:trHeight w:val="203"/>
        </w:trPr>
        <w:tc>
          <w:tcPr>
            <w:tcW w:w="4280" w:type="dxa"/>
            <w:vAlign w:val="bottom"/>
          </w:tcPr>
          <w:p>
            <w:pPr>
              <w:spacing w:after="0"/>
              <w:rPr>
                <w:sz w:val="17"/>
                <w:szCs w:val="17"/>
                <w:color w:val="auto"/>
              </w:rPr>
            </w:pP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1996</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1995</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280" w:type="dxa"/>
            <w:vAlign w:val="bottom"/>
          </w:tcPr>
          <w:p>
            <w:pPr>
              <w:spacing w:after="0"/>
              <w:rPr>
                <w:sz w:val="17"/>
                <w:szCs w:val="17"/>
                <w:color w:val="auto"/>
              </w:rPr>
            </w:pP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$22,274,546</w:t>
            </w:r>
          </w:p>
        </w:tc>
        <w:tc>
          <w:tcPr>
            <w:tcW w:w="1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$26,519,043</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$58,136,597</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$61,916,161</w:t>
            </w:r>
          </w:p>
        </w:tc>
      </w:tr>
      <w:tr>
        <w:trPr>
          <w:trHeight w:val="203"/>
        </w:trPr>
        <w:tc>
          <w:tcPr>
            <w:tcW w:w="428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sales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16,816,775</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21,229,029</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45,061,816</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49,014,124</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2,399,020</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2,363,251</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6,444,690</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6,194,328</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Unusual and nonrecurring</w:t>
            </w:r>
          </w:p>
        </w:tc>
        <w:tc>
          <w:tcPr>
            <w:tcW w:w="1580" w:type="dxa"/>
            <w:vAlign w:val="bottom"/>
          </w:tcPr>
          <w:p>
            <w:pPr>
              <w:spacing w:after="0"/>
              <w:rPr>
                <w:sz w:val="17"/>
                <w:szCs w:val="17"/>
                <w:color w:val="auto"/>
              </w:rPr>
            </w:pP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750,000</w:t>
            </w:r>
          </w:p>
        </w:tc>
      </w:tr>
      <w:tr>
        <w:trPr>
          <w:trHeight w:val="203"/>
        </w:trPr>
        <w:tc>
          <w:tcPr>
            <w:tcW w:w="428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19,215,795</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23,592,280</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51,506,506</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55,958,452</w:t>
            </w:r>
          </w:p>
        </w:tc>
      </w:tr>
      <w:tr>
        <w:trPr>
          <w:trHeight w:val="203"/>
        </w:trPr>
        <w:tc>
          <w:tcPr>
            <w:tcW w:w="428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3,058,751</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2,926,763</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6,630,091</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5,957,709</w:t>
            </w:r>
          </w:p>
        </w:tc>
      </w:tr>
      <w:tr>
        <w:trPr>
          <w:trHeight w:val="203"/>
        </w:trPr>
        <w:tc>
          <w:tcPr>
            <w:tcW w:w="428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(deductions):</w:t>
            </w:r>
          </w:p>
        </w:tc>
        <w:tc>
          <w:tcPr>
            <w:tcW w:w="1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238,319</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242,687</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728,815</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676,275</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(14,193)</w:t>
            </w: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(13,784)</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(40,702)</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(41,274)</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Miscellaneous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68,752</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19,924</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139,641</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43,689</w:t>
            </w:r>
          </w:p>
        </w:tc>
      </w:tr>
      <w:tr>
        <w:trPr>
          <w:trHeight w:val="203"/>
        </w:trPr>
        <w:tc>
          <w:tcPr>
            <w:tcW w:w="428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other income (deductions)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292,878</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248,827</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827,754</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678,690</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w w:val="98"/>
              </w:rPr>
              <w:t>Income from continuing operations before</w:t>
            </w:r>
          </w:p>
        </w:tc>
        <w:tc>
          <w:tcPr>
            <w:tcW w:w="1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3,351,629</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3,175,590</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7,457,845</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6,636,399</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Provision for income taxes from</w:t>
            </w:r>
          </w:p>
        </w:tc>
        <w:tc>
          <w:tcPr>
            <w:tcW w:w="1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1,336,500</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1,277,800</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2,983,200</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2,667,700</w:t>
            </w:r>
          </w:p>
        </w:tc>
      </w:tr>
      <w:tr>
        <w:trPr>
          <w:trHeight w:val="203"/>
        </w:trPr>
        <w:tc>
          <w:tcPr>
            <w:tcW w:w="428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2,015,129</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1,897,790</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4,474,645</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3,968,699</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Discontinued Operations:</w:t>
            </w:r>
          </w:p>
        </w:tc>
        <w:tc>
          <w:tcPr>
            <w:tcW w:w="1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 from operations of Tessman</w:t>
            </w:r>
          </w:p>
        </w:tc>
        <w:tc>
          <w:tcPr>
            <w:tcW w:w="1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Seed, Inc. (less applicable income</w:t>
            </w:r>
          </w:p>
        </w:tc>
        <w:tc>
          <w:tcPr>
            <w:tcW w:w="1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taxes of $0, $0, $0, ($46,500),</w:t>
            </w:r>
          </w:p>
        </w:tc>
        <w:tc>
          <w:tcPr>
            <w:tcW w:w="1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respectively)</w:t>
            </w:r>
          </w:p>
        </w:tc>
        <w:tc>
          <w:tcPr>
            <w:tcW w:w="1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(69,905)</w:t>
            </w:r>
          </w:p>
        </w:tc>
      </w:tr>
      <w:tr>
        <w:trPr>
          <w:trHeight w:val="405"/>
        </w:trPr>
        <w:tc>
          <w:tcPr>
            <w:tcW w:w="4280" w:type="dxa"/>
            <w:vAlign w:val="bottom"/>
          </w:tcPr>
          <w:p>
            <w:pPr>
              <w:ind w:left="220"/>
              <w:spacing w:after="0"/>
              <w:rPr>
                <w:sz w:val="20"/>
                <w:szCs w:val="20"/>
                <w:color w:val="auto"/>
              </w:rPr>
            </w:pPr>
            <w:r>
              <w:rPr>
                <w:rFonts w:ascii="Courier New" w:cs="Courier New" w:eastAsia="Courier New" w:hAnsi="Courier New"/>
                <w:sz w:val="18"/>
                <w:szCs w:val="18"/>
                <w:color w:val="auto"/>
              </w:rPr>
              <w:t>Loss on disposal of assets of Tessman</w:t>
            </w:r>
          </w:p>
        </w:tc>
        <w:tc>
          <w:tcPr>
            <w:tcW w:w="1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Seed, Inc. (less applicable income</w:t>
            </w:r>
          </w:p>
        </w:tc>
        <w:tc>
          <w:tcPr>
            <w:tcW w:w="1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taxes of $214,200)</w:t>
            </w:r>
          </w:p>
        </w:tc>
        <w:tc>
          <w:tcPr>
            <w:tcW w:w="1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(321,266)</w:t>
            </w:r>
          </w:p>
        </w:tc>
      </w:tr>
      <w:tr>
        <w:trPr>
          <w:trHeight w:val="203"/>
        </w:trPr>
        <w:tc>
          <w:tcPr>
            <w:tcW w:w="428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discontinued operations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(391,171)</w:t>
            </w:r>
          </w:p>
        </w:tc>
      </w:tr>
      <w:tr>
        <w:trPr>
          <w:trHeight w:val="203"/>
        </w:trPr>
        <w:tc>
          <w:tcPr>
            <w:tcW w:w="428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$ 2,015,129</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$ 1,897,790</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$ 4,474,645</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$ 3,577,528</w:t>
            </w:r>
          </w:p>
        </w:tc>
      </w:tr>
      <w:tr>
        <w:trPr>
          <w:trHeight w:val="203"/>
        </w:trPr>
        <w:tc>
          <w:tcPr>
            <w:tcW w:w="428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shares</w:t>
            </w:r>
          </w:p>
        </w:tc>
        <w:tc>
          <w:tcPr>
            <w:tcW w:w="1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11,051,690</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11,051,690</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11,051,690</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11,051,690</w:t>
            </w:r>
          </w:p>
        </w:tc>
      </w:tr>
      <w:tr>
        <w:trPr>
          <w:trHeight w:val="203"/>
        </w:trPr>
        <w:tc>
          <w:tcPr>
            <w:tcW w:w="428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 share</w:t>
            </w:r>
          </w:p>
        </w:tc>
        <w:tc>
          <w:tcPr>
            <w:tcW w:w="1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$0.18</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$0.17</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$0.40</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$0.36</w:t>
            </w:r>
          </w:p>
        </w:tc>
      </w:tr>
      <w:tr>
        <w:trPr>
          <w:trHeight w:val="203"/>
        </w:trPr>
        <w:tc>
          <w:tcPr>
            <w:tcW w:w="4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w:t>
            </w:r>
          </w:p>
        </w:tc>
      </w:tr>
      <w:tr>
        <w:trPr>
          <w:trHeight w:val="203"/>
        </w:trPr>
        <w:tc>
          <w:tcPr>
            <w:tcW w:w="428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$0.18</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$0.17</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$0.40</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$0.32</w:t>
            </w:r>
          </w:p>
        </w:tc>
      </w:tr>
      <w:tr>
        <w:trPr>
          <w:trHeight w:val="203"/>
        </w:trPr>
        <w:tc>
          <w:tcPr>
            <w:tcW w:w="428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See accompanying Notes to Consolidated Condensed Financial Statements</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760"/>
          </w:cols>
          <w:pgMar w:left="240" w:top="919" w:right="899" w:bottom="1440" w:gutter="0" w:footer="0" w:header="0"/>
        </w:sectPr>
      </w:pPr>
    </w:p>
    <w:bookmarkStart w:id="4" w:name="page5"/>
    <w:bookmarkEnd w:id="4"/>
    <w:p>
      <w:pPr>
        <w:ind w:left="2000"/>
        <w:spacing w:after="0"/>
        <w:rPr>
          <w:sz w:val="20"/>
          <w:szCs w:val="20"/>
          <w:color w:val="auto"/>
        </w:rPr>
      </w:pPr>
      <w:r>
        <w:rPr>
          <w:rFonts w:ascii="Courier New" w:cs="Courier New" w:eastAsia="Courier New" w:hAnsi="Courier New"/>
          <w:sz w:val="18"/>
          <w:szCs w:val="18"/>
          <w:color w:val="auto"/>
        </w:rPr>
        <w:t>HAWKINS CHEMICAL, INC. AND SUBSIDIARIES</w:t>
      </w:r>
    </w:p>
    <w:tbl>
      <w:tblPr>
        <w:tblLayout w:type="fixed"/>
        <w:tblInd w:w="0" w:type="dxa"/>
        <w:tblCellMar>
          <w:top w:w="0" w:type="dxa"/>
          <w:left w:w="0" w:type="dxa"/>
          <w:bottom w:w="0" w:type="dxa"/>
          <w:right w:w="0" w:type="dxa"/>
        </w:tblCellMar>
      </w:tblPr>
      <w:tr>
        <w:trPr>
          <w:trHeight w:val="203"/>
        </w:trPr>
        <w:tc>
          <w:tcPr>
            <w:tcW w:w="7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CONSOLIDATED CONDENSED STATEMENTS OF CASH FLOWS</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08"/>
        </w:trPr>
        <w:tc>
          <w:tcPr>
            <w:tcW w:w="7280" w:type="dxa"/>
            <w:vAlign w:val="bottom"/>
          </w:tcPr>
          <w:p>
            <w:pPr>
              <w:ind w:left="3580"/>
              <w:spacing w:after="0"/>
              <w:rPr>
                <w:sz w:val="20"/>
                <w:szCs w:val="20"/>
                <w:color w:val="auto"/>
              </w:rPr>
            </w:pPr>
            <w:r>
              <w:rPr>
                <w:rFonts w:ascii="Courier New" w:cs="Courier New" w:eastAsia="Courier New" w:hAnsi="Courier New"/>
                <w:sz w:val="18"/>
                <w:szCs w:val="18"/>
                <w:color w:val="auto"/>
              </w:rPr>
              <w:t>(Unaudited)</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810"/>
        </w:trPr>
        <w:tc>
          <w:tcPr>
            <w:tcW w:w="7280" w:type="dxa"/>
            <w:vAlign w:val="bottom"/>
          </w:tcPr>
          <w:p>
            <w:pPr>
              <w:spacing w:after="0"/>
              <w:rPr>
                <w:sz w:val="24"/>
                <w:szCs w:val="24"/>
                <w:color w:val="auto"/>
              </w:rPr>
            </w:pPr>
          </w:p>
        </w:tc>
        <w:tc>
          <w:tcPr>
            <w:tcW w:w="336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NINE MONTHS ENDED JUNE 30</w:t>
            </w:r>
          </w:p>
        </w:tc>
      </w:tr>
      <w:tr>
        <w:trPr>
          <w:trHeight w:val="203"/>
        </w:trPr>
        <w:tc>
          <w:tcPr>
            <w:tcW w:w="7280" w:type="dxa"/>
            <w:vAlign w:val="bottom"/>
          </w:tcPr>
          <w:p>
            <w:pPr>
              <w:spacing w:after="0"/>
              <w:rPr>
                <w:sz w:val="17"/>
                <w:szCs w:val="17"/>
                <w:color w:val="auto"/>
              </w:rPr>
            </w:pPr>
          </w:p>
        </w:tc>
        <w:tc>
          <w:tcPr>
            <w:tcW w:w="33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7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1996</w:t>
            </w:r>
          </w:p>
        </w:tc>
        <w:tc>
          <w:tcPr>
            <w:tcW w:w="4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728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4,474,645</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$ 3,577,528</w:t>
            </w:r>
          </w:p>
        </w:tc>
      </w:tr>
      <w:tr>
        <w:trPr>
          <w:trHeight w:val="203"/>
        </w:trPr>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Loss on disposal of assets of Tessman Seed, Inc....................</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321,266</w:t>
            </w:r>
          </w:p>
        </w:tc>
      </w:tr>
      <w:tr>
        <w:trPr>
          <w:trHeight w:val="203"/>
        </w:trPr>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Loss on discontinued operations of Tessman Seed, Inc...............</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69,905</w:t>
            </w:r>
          </w:p>
        </w:tc>
      </w:tr>
      <w:tr>
        <w:trPr>
          <w:trHeight w:val="203"/>
        </w:trPr>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Unusual and nonrecurring charge....................................</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750,000</w:t>
            </w:r>
          </w:p>
        </w:tc>
      </w:tr>
      <w:tr>
        <w:trPr>
          <w:trHeight w:val="203"/>
        </w:trPr>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Depreciation and amortization......................................</w:t>
            </w:r>
          </w:p>
        </w:tc>
        <w:tc>
          <w:tcPr>
            <w:tcW w:w="4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1,052,081</w:t>
            </w:r>
          </w:p>
        </w:tc>
        <w:tc>
          <w:tcPr>
            <w:tcW w:w="4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973,579</w:t>
            </w:r>
          </w:p>
        </w:tc>
      </w:tr>
      <w:tr>
        <w:trPr>
          <w:trHeight w:val="203"/>
        </w:trPr>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Deferred income taxes..............................................</w:t>
            </w:r>
          </w:p>
        </w:tc>
        <w:tc>
          <w:tcPr>
            <w:tcW w:w="4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w:t>
            </w:r>
          </w:p>
        </w:tc>
        <w:tc>
          <w:tcPr>
            <w:tcW w:w="4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(103,500)</w:t>
            </w:r>
          </w:p>
        </w:tc>
      </w:tr>
      <w:tr>
        <w:trPr>
          <w:trHeight w:val="203"/>
        </w:trPr>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Other..............................................................</w:t>
            </w:r>
          </w:p>
        </w:tc>
        <w:tc>
          <w:tcPr>
            <w:tcW w:w="4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(130,777)</w:t>
            </w:r>
          </w:p>
        </w:tc>
        <w:tc>
          <w:tcPr>
            <w:tcW w:w="4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(60,285)</w:t>
            </w:r>
          </w:p>
        </w:tc>
      </w:tr>
      <w:tr>
        <w:trPr>
          <w:trHeight w:val="203"/>
        </w:trPr>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Changes in certain current assets and liabilities..................</w:t>
            </w:r>
          </w:p>
        </w:tc>
        <w:tc>
          <w:tcPr>
            <w:tcW w:w="4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(1,438,485)</w:t>
            </w:r>
          </w:p>
        </w:tc>
        <w:tc>
          <w:tcPr>
            <w:tcW w:w="4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2,492,842</w:t>
            </w:r>
          </w:p>
        </w:tc>
      </w:tr>
      <w:tr>
        <w:trPr>
          <w:trHeight w:val="203"/>
        </w:trPr>
        <w:tc>
          <w:tcPr>
            <w:tcW w:w="7280" w:type="dxa"/>
            <w:vAlign w:val="bottom"/>
          </w:tcPr>
          <w:p>
            <w:pPr>
              <w:spacing w:after="0"/>
              <w:rPr>
                <w:sz w:val="17"/>
                <w:szCs w:val="17"/>
                <w:color w:val="auto"/>
              </w:rPr>
            </w:pPr>
          </w:p>
        </w:tc>
        <w:tc>
          <w:tcPr>
            <w:tcW w:w="1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4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3,955,464</w:t>
            </w:r>
          </w:p>
        </w:tc>
        <w:tc>
          <w:tcPr>
            <w:tcW w:w="4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8,021,335</w:t>
            </w:r>
          </w:p>
        </w:tc>
      </w:tr>
      <w:tr>
        <w:trPr>
          <w:trHeight w:val="203"/>
        </w:trPr>
        <w:tc>
          <w:tcPr>
            <w:tcW w:w="7280" w:type="dxa"/>
            <w:vAlign w:val="bottom"/>
          </w:tcPr>
          <w:p>
            <w:pPr>
              <w:spacing w:after="0"/>
              <w:rPr>
                <w:sz w:val="17"/>
                <w:szCs w:val="17"/>
                <w:color w:val="auto"/>
              </w:rPr>
            </w:pPr>
          </w:p>
        </w:tc>
        <w:tc>
          <w:tcPr>
            <w:tcW w:w="1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Additions to property, plant and equipment..........................</w:t>
            </w:r>
          </w:p>
        </w:tc>
        <w:tc>
          <w:tcPr>
            <w:tcW w:w="4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(3,655,072)</w:t>
            </w:r>
          </w:p>
        </w:tc>
        <w:tc>
          <w:tcPr>
            <w:tcW w:w="4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(1,676,422)</w:t>
            </w:r>
          </w:p>
        </w:tc>
      </w:tr>
      <w:tr>
        <w:trPr>
          <w:trHeight w:val="203"/>
        </w:trPr>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Purchase of investments.............................................</w:t>
            </w:r>
          </w:p>
        </w:tc>
        <w:tc>
          <w:tcPr>
            <w:tcW w:w="4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(2,419,216)</w:t>
            </w:r>
          </w:p>
        </w:tc>
        <w:tc>
          <w:tcPr>
            <w:tcW w:w="4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(1,294,505)</w:t>
            </w:r>
          </w:p>
        </w:tc>
      </w:tr>
      <w:tr>
        <w:trPr>
          <w:trHeight w:val="203"/>
        </w:trPr>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Cash received on sale of land and building..........................</w:t>
            </w:r>
          </w:p>
        </w:tc>
        <w:tc>
          <w:tcPr>
            <w:tcW w:w="4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108,188</w:t>
            </w: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Cash received on sale of assets and business of Tessman Seed, Inc...</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7280" w:type="dxa"/>
            <w:vAlign w:val="bottom"/>
          </w:tcPr>
          <w:p>
            <w:pPr>
              <w:spacing w:after="0"/>
              <w:rPr>
                <w:sz w:val="17"/>
                <w:szCs w:val="17"/>
                <w:color w:val="auto"/>
              </w:rPr>
            </w:pPr>
          </w:p>
        </w:tc>
        <w:tc>
          <w:tcPr>
            <w:tcW w:w="1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4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(5,966,100)</w:t>
            </w:r>
          </w:p>
        </w:tc>
        <w:tc>
          <w:tcPr>
            <w:tcW w:w="4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(2,870,927)</w:t>
            </w:r>
          </w:p>
        </w:tc>
      </w:tr>
      <w:tr>
        <w:trPr>
          <w:trHeight w:val="203"/>
        </w:trPr>
        <w:tc>
          <w:tcPr>
            <w:tcW w:w="7280" w:type="dxa"/>
            <w:vAlign w:val="bottom"/>
          </w:tcPr>
          <w:p>
            <w:pPr>
              <w:spacing w:after="0"/>
              <w:rPr>
                <w:sz w:val="17"/>
                <w:szCs w:val="17"/>
                <w:color w:val="auto"/>
              </w:rPr>
            </w:pPr>
          </w:p>
        </w:tc>
        <w:tc>
          <w:tcPr>
            <w:tcW w:w="1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Cash dividends paid..................................................</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(1,581,869)</w:t>
            </w:r>
          </w:p>
        </w:tc>
        <w:tc>
          <w:tcPr>
            <w:tcW w:w="4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(1,437,644)</w:t>
            </w:r>
          </w:p>
        </w:tc>
      </w:tr>
      <w:tr>
        <w:trPr>
          <w:trHeight w:val="203"/>
        </w:trPr>
        <w:tc>
          <w:tcPr>
            <w:tcW w:w="7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Debt repayment.......................................................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(52,344)</w:t>
            </w:r>
          </w:p>
        </w:tc>
        <w:tc>
          <w:tcPr>
            <w:tcW w:w="4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(48,919)</w:t>
            </w:r>
          </w:p>
        </w:tc>
      </w:tr>
      <w:tr>
        <w:trPr>
          <w:trHeight w:val="203"/>
        </w:trPr>
        <w:tc>
          <w:tcPr>
            <w:tcW w:w="77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Payments received on note receivable.................................</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25,416</w:t>
            </w:r>
          </w:p>
        </w:tc>
        <w:tc>
          <w:tcPr>
            <w:tcW w:w="4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80,726</w:t>
            </w:r>
          </w:p>
        </w:tc>
      </w:tr>
      <w:tr>
        <w:trPr>
          <w:trHeight w:val="203"/>
        </w:trPr>
        <w:tc>
          <w:tcPr>
            <w:tcW w:w="7280" w:type="dxa"/>
            <w:vAlign w:val="bottom"/>
          </w:tcPr>
          <w:p>
            <w:pPr>
              <w:spacing w:after="0"/>
              <w:rPr>
                <w:sz w:val="17"/>
                <w:szCs w:val="17"/>
                <w:color w:val="auto"/>
              </w:rPr>
            </w:pPr>
          </w:p>
        </w:tc>
        <w:tc>
          <w:tcPr>
            <w:tcW w:w="1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used in financing activities</w:t>
            </w:r>
          </w:p>
        </w:tc>
        <w:tc>
          <w:tcPr>
            <w:tcW w:w="4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(1,608,797)</w:t>
            </w:r>
          </w:p>
        </w:tc>
        <w:tc>
          <w:tcPr>
            <w:tcW w:w="4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(1,405,837)</w:t>
            </w:r>
          </w:p>
        </w:tc>
      </w:tr>
      <w:tr>
        <w:trPr>
          <w:trHeight w:val="203"/>
        </w:trPr>
        <w:tc>
          <w:tcPr>
            <w:tcW w:w="7280" w:type="dxa"/>
            <w:vAlign w:val="bottom"/>
          </w:tcPr>
          <w:p>
            <w:pPr>
              <w:spacing w:after="0"/>
              <w:rPr>
                <w:sz w:val="17"/>
                <w:szCs w:val="17"/>
                <w:color w:val="auto"/>
              </w:rPr>
            </w:pPr>
          </w:p>
        </w:tc>
        <w:tc>
          <w:tcPr>
            <w:tcW w:w="1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 CASH AND CASH EQUIVALENTS</w:t>
            </w:r>
          </w:p>
        </w:tc>
        <w:tc>
          <w:tcPr>
            <w:tcW w:w="4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(3,619,433)</w:t>
            </w:r>
          </w:p>
        </w:tc>
        <w:tc>
          <w:tcPr>
            <w:tcW w:w="4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3,744,571</w:t>
            </w:r>
          </w:p>
        </w:tc>
      </w:tr>
      <w:tr>
        <w:trPr>
          <w:trHeight w:val="405"/>
        </w:trPr>
        <w:tc>
          <w:tcPr>
            <w:tcW w:w="7280" w:type="dxa"/>
            <w:vAlign w:val="bottom"/>
          </w:tcPr>
          <w:p>
            <w:pPr>
              <w:spacing w:after="0"/>
              <w:rPr>
                <w:sz w:val="20"/>
                <w:szCs w:val="20"/>
                <w:color w:val="auto"/>
              </w:rPr>
            </w:pPr>
            <w:r>
              <w:rPr>
                <w:rFonts w:ascii="Courier New" w:cs="Courier New" w:eastAsia="Courier New" w:hAnsi="Courier New"/>
                <w:sz w:val="18"/>
                <w:szCs w:val="18"/>
                <w:color w:val="auto"/>
              </w:rPr>
              <w:t>CASH AND CASH EQUIVALENTS, BEGINNING OF YEAR</w:t>
            </w:r>
          </w:p>
        </w:tc>
        <w:tc>
          <w:tcPr>
            <w:tcW w:w="42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9,906,107</w:t>
            </w:r>
          </w:p>
        </w:tc>
        <w:tc>
          <w:tcPr>
            <w:tcW w:w="4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6,895,341</w:t>
            </w:r>
          </w:p>
        </w:tc>
      </w:tr>
      <w:tr>
        <w:trPr>
          <w:trHeight w:val="203"/>
        </w:trPr>
        <w:tc>
          <w:tcPr>
            <w:tcW w:w="7280" w:type="dxa"/>
            <w:vAlign w:val="bottom"/>
          </w:tcPr>
          <w:p>
            <w:pPr>
              <w:spacing w:after="0"/>
              <w:rPr>
                <w:sz w:val="17"/>
                <w:szCs w:val="17"/>
                <w:color w:val="auto"/>
              </w:rPr>
            </w:pPr>
          </w:p>
        </w:tc>
        <w:tc>
          <w:tcPr>
            <w:tcW w:w="1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END OF PERIOD</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6,286,674</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$10,639,912</w:t>
            </w:r>
          </w:p>
        </w:tc>
      </w:tr>
      <w:tr>
        <w:trPr>
          <w:trHeight w:val="203"/>
        </w:trPr>
        <w:tc>
          <w:tcPr>
            <w:tcW w:w="7280" w:type="dxa"/>
            <w:vAlign w:val="bottom"/>
          </w:tcPr>
          <w:p>
            <w:pPr>
              <w:spacing w:after="0"/>
              <w:rPr>
                <w:sz w:val="17"/>
                <w:szCs w:val="17"/>
                <w:color w:val="auto"/>
              </w:rPr>
            </w:pPr>
          </w:p>
        </w:tc>
        <w:tc>
          <w:tcPr>
            <w:tcW w:w="1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spacing w:after="0"/>
              <w:rPr>
                <w:sz w:val="17"/>
                <w:szCs w:val="17"/>
                <w:color w:val="auto"/>
              </w:rPr>
            </w:pPr>
          </w:p>
        </w:tc>
        <w:tc>
          <w:tcPr>
            <w:tcW w:w="1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SUPPLEMENTAL DISCLOSURES OF CASH FLOW INFORMATION:</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7280" w:type="dxa"/>
            <w:vAlign w:val="bottom"/>
          </w:tcPr>
          <w:p>
            <w:pPr>
              <w:ind w:left="220"/>
              <w:spacing w:after="0"/>
              <w:rPr>
                <w:sz w:val="20"/>
                <w:szCs w:val="20"/>
                <w:color w:val="auto"/>
              </w:rPr>
            </w:pPr>
            <w:r>
              <w:rPr>
                <w:rFonts w:ascii="Courier New" w:cs="Courier New" w:eastAsia="Courier New" w:hAnsi="Courier New"/>
                <w:sz w:val="18"/>
                <w:szCs w:val="18"/>
                <w:color w:val="auto"/>
                <w:w w:val="95"/>
              </w:rPr>
              <w:t>Cash paid for interest..............................................</w:t>
            </w:r>
          </w:p>
        </w:tc>
        <w:tc>
          <w:tcPr>
            <w:tcW w:w="420" w:type="dxa"/>
            <w:vAlign w:val="bottom"/>
          </w:tcPr>
          <w:p>
            <w:pPr>
              <w:ind w:left="320"/>
              <w:spacing w:after="0"/>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54,956</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56,180</w:t>
            </w:r>
          </w:p>
        </w:tc>
      </w:tr>
      <w:tr>
        <w:trPr>
          <w:trHeight w:val="203"/>
        </w:trPr>
        <w:tc>
          <w:tcPr>
            <w:tcW w:w="7280" w:type="dxa"/>
            <w:vAlign w:val="bottom"/>
          </w:tcPr>
          <w:p>
            <w:pPr>
              <w:spacing w:after="0"/>
              <w:rPr>
                <w:sz w:val="17"/>
                <w:szCs w:val="17"/>
                <w:color w:val="auto"/>
              </w:rPr>
            </w:pPr>
          </w:p>
        </w:tc>
        <w:tc>
          <w:tcPr>
            <w:tcW w:w="1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spacing w:after="0"/>
              <w:rPr>
                <w:sz w:val="17"/>
                <w:szCs w:val="17"/>
                <w:color w:val="auto"/>
              </w:rPr>
            </w:pPr>
          </w:p>
        </w:tc>
        <w:tc>
          <w:tcPr>
            <w:tcW w:w="1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Cash paid for income taxes..........................................</w:t>
            </w:r>
          </w:p>
        </w:tc>
        <w:tc>
          <w:tcPr>
            <w:tcW w:w="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3,230,451</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$ 1,817,258</w:t>
            </w:r>
          </w:p>
        </w:tc>
      </w:tr>
      <w:tr>
        <w:trPr>
          <w:trHeight w:val="203"/>
        </w:trPr>
        <w:tc>
          <w:tcPr>
            <w:tcW w:w="7280" w:type="dxa"/>
            <w:vAlign w:val="bottom"/>
          </w:tcPr>
          <w:p>
            <w:pPr>
              <w:spacing w:after="0"/>
              <w:rPr>
                <w:sz w:val="17"/>
                <w:szCs w:val="17"/>
                <w:color w:val="auto"/>
              </w:rPr>
            </w:pPr>
          </w:p>
        </w:tc>
        <w:tc>
          <w:tcPr>
            <w:tcW w:w="1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tcPr>
          <w:p>
            <w:pPr>
              <w:spacing w:after="0"/>
              <w:rPr>
                <w:sz w:val="17"/>
                <w:szCs w:val="17"/>
                <w:color w:val="auto"/>
              </w:rPr>
            </w:pPr>
          </w:p>
        </w:tc>
        <w:tc>
          <w:tcPr>
            <w:tcW w:w="1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See accompanying Notes to Consolidated Condensed Financial Statements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640"/>
          </w:cols>
          <w:pgMar w:left="240" w:top="919" w:right="1019" w:bottom="1440" w:gutter="0" w:footer="0" w:header="0"/>
        </w:sectPr>
      </w:pPr>
    </w:p>
    <w:bookmarkStart w:id="5" w:name="page6"/>
    <w:bookmarkEnd w:id="5"/>
    <w:p>
      <w:pPr>
        <w:ind w:left="2220"/>
        <w:spacing w:after="0"/>
        <w:rPr>
          <w:sz w:val="20"/>
          <w:szCs w:val="20"/>
          <w:color w:val="auto"/>
        </w:rPr>
      </w:pPr>
      <w:r>
        <w:rPr>
          <w:rFonts w:ascii="Courier New" w:cs="Courier New" w:eastAsia="Courier New" w:hAnsi="Courier New"/>
          <w:sz w:val="18"/>
          <w:szCs w:val="18"/>
          <w:color w:val="auto"/>
        </w:rPr>
        <w:t>HAWKINS CHEMICAL, INC. AND SUBSIDIARIES</w:t>
      </w:r>
    </w:p>
    <w:p>
      <w:pPr>
        <w:ind w:left="1480"/>
        <w:spacing w:after="0" w:line="238" w:lineRule="auto"/>
        <w:rPr>
          <w:sz w:val="20"/>
          <w:szCs w:val="20"/>
          <w:color w:val="auto"/>
        </w:rPr>
      </w:pPr>
      <w:r>
        <w:rPr>
          <w:rFonts w:ascii="Courier New" w:cs="Courier New" w:eastAsia="Courier New" w:hAnsi="Courier New"/>
          <w:sz w:val="18"/>
          <w:szCs w:val="18"/>
          <w:color w:val="auto"/>
        </w:rPr>
        <w:t>NOTES TO CONSOLIDATED CONDENSED FINANCIAL STATEMENTS</w:t>
      </w:r>
    </w:p>
    <w:p>
      <w:pPr>
        <w:spacing w:after="0" w:line="200" w:lineRule="exact"/>
        <w:rPr>
          <w:sz w:val="20"/>
          <w:szCs w:val="20"/>
          <w:color w:val="auto"/>
        </w:rPr>
      </w:pPr>
    </w:p>
    <w:p>
      <w:pPr>
        <w:spacing w:after="0" w:line="210" w:lineRule="exact"/>
        <w:rPr>
          <w:sz w:val="20"/>
          <w:szCs w:val="20"/>
          <w:color w:val="auto"/>
        </w:rPr>
      </w:pPr>
    </w:p>
    <w:p>
      <w:pPr>
        <w:ind w:right="2099" w:firstLine="8"/>
        <w:spacing w:after="0" w:line="270" w:lineRule="auto"/>
        <w:tabs>
          <w:tab w:leader="none" w:pos="52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year ended October 1, 1995, previously filed with the Commission. In the opinion of management, the accompanying unaudited consolidated condensed financial statements contain all adjustments necessary to present fairly the Company's financial position and the results of its operations and cash flows for the periods presented. All adjustments made to the interim financial statements were of normal recurring nature.</w:t>
      </w:r>
    </w:p>
    <w:p>
      <w:pPr>
        <w:spacing w:after="0" w:line="39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accounting policies followed by the Company are set forth in Note 1 to the Company's financial statements in the 1995 Hawkins Chemical, Inc. Annual Report which is incorporated by reference to Form 10-K filed with the Commission on December 28, 1995.</w:t>
      </w:r>
    </w:p>
    <w:p>
      <w:pPr>
        <w:spacing w:after="0" w:line="207" w:lineRule="exact"/>
        <w:rPr>
          <w:sz w:val="20"/>
          <w:szCs w:val="20"/>
          <w:color w:val="auto"/>
        </w:rPr>
      </w:pPr>
    </w:p>
    <w:p>
      <w:pPr>
        <w:ind w:right="2099" w:firstLine="8"/>
        <w:spacing w:after="0" w:line="290"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operations for the period ended June 30, 1996 are not necessarily indicative of the results that may be expected for the full year.</w:t>
      </w:r>
    </w:p>
    <w:p>
      <w:pPr>
        <w:spacing w:after="0" w:line="164"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January 1, 1996, the Company sold property, which was</w:t>
      </w:r>
    </w:p>
    <w:p>
      <w:pPr>
        <w:spacing w:after="0" w:line="4" w:lineRule="exact"/>
        <w:rPr>
          <w:rFonts w:ascii="Courier New" w:cs="Courier New" w:eastAsia="Courier New" w:hAnsi="Courier New"/>
          <w:sz w:val="18"/>
          <w:szCs w:val="18"/>
          <w:color w:val="auto"/>
        </w:rPr>
      </w:pPr>
    </w:p>
    <w:p>
      <w:pPr>
        <w:ind w:right="21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rented to a former subsidiary, for $1,208,000. At closing the Company received $108,000 and a contract for deed for $1,100,000. The contract for deed requires monthly payments of $9,201, including interest at 8% per annum, for eight years. On January 1, 2004, the remaining unpaid principal balance is due.</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right="1999" w:firstLine="8"/>
        <w:spacing w:after="0" w:line="237"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Inventories, principally valued by the LIFO method, are less than current cost by approximately $1,501,000 at June 30, 1996. Inventory consists principally of finished goods. Inventory quantities fluctuate during the year. No material amounts of interim liquidation of inventory quantities have occurred that are not expected to be replaced by year-end.</w:t>
      </w:r>
    </w:p>
    <w:p>
      <w:pPr>
        <w:spacing w:after="0" w:line="208" w:lineRule="exact"/>
        <w:rPr>
          <w:rFonts w:ascii="Courier New" w:cs="Courier New" w:eastAsia="Courier New" w:hAnsi="Courier New"/>
          <w:sz w:val="18"/>
          <w:szCs w:val="18"/>
          <w:color w:val="auto"/>
        </w:rPr>
      </w:pPr>
    </w:p>
    <w:p>
      <w:pPr>
        <w:ind w:right="2199" w:firstLine="8"/>
        <w:spacing w:after="0" w:line="237"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common share are based upon the weighted average number of shares outstanding after giving retroactive effect to a 5% stock dividend declared February 7, 1996 to shareholders of record at the close of business on March 29, 1996. Cash dividends in the amount of $845,065 were paid on April 12, 1996.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19" w:right="1440" w:bottom="1440" w:gutter="0" w:footer="0" w:header="0"/>
        </w:sectPr>
      </w:pPr>
    </w:p>
    <w:bookmarkStart w:id="6" w:name="page7"/>
    <w:bookmarkEnd w:id="6"/>
    <w:p>
      <w:pPr>
        <w:ind w:left="2120" w:right="3359" w:hanging="2106"/>
        <w:spacing w:after="0" w:line="290" w:lineRule="auto"/>
        <w:tabs>
          <w:tab w:leader="none" w:pos="210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 AND RESULTS OF OPERATIONS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CONTINUING OPERATIONS</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Net sales decreased $4,244,497 (16.0%) in the third quarter of this fiscal year and $3,779,564 (6.1%) in the first nine months of fiscal 1996 as compared to the same periods a year ago. The majority of the sales decrease was due to management's decision to discontinue sales to mass merchandisers by The Lynde Company subsidiary, as that business involved high volumes and high inventory levels with a low, decreasing profit margin. Also contributing to the nine month sales decrease was a slight decrease in the selling price of a single, large-volume product and extremely cold weather conditions during the second quarter of this fiscal year, which caused some customers to have limited operations or to close down temporarily, thereby decreasing their volumes.</w:t>
      </w:r>
    </w:p>
    <w:p>
      <w:pPr>
        <w:spacing w:after="0" w:line="2"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above decreases were partially offset by volume increases in some of the Company's divisions and subsidiaries. Selling prices of the single, large-volume product mentioned above are beginning to stabilize and the Company expects to maintain historical profit margins.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Gross margin, as a percentage of net sales, for the third quarter of this fiscal year was 24.5% compared to 19.9% for the same quarter one year ago, and 22.5% for the first nine months of fiscal 1996 as compared to 20.8% for the first nine months of fiscal 1995. These increases are due mainly to discontinuing the lower margin sales to mass merchandisers previously mentioned and, to a lesser extent, better profit margins on a few product lines. The Company has generally been able to and expects to continue to adjust its selling prices as the cost of materials and other expenses change, thereby maintaining relatively stable gross margins.</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Selling, general and administrative expenses increased $35,769 (1.5%) in the third quarter and $250,362 (4.0%) in the first nine months of fiscal 1996 as compared to the same periods in fiscal 1995. Selling, general and administrative expenses, as a percentage of net sales, for the third quarter of fiscal 1996 were 10.8% compared to 8.9% for the same quarter one year ago, and 11.1% for the first nine months of fiscal 1996 as compared to 10.0% for the first nine months of fiscal 1995. The increases were due to a decrease in sales and increased employee compensation, employee benefits and insurance costs.</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unusual and nonrecurring charge in the second quarter and first nine months of fiscal 1995 of $750,000 was recorded to cover estimated settlement costs to be incurred by the Company in connection with a lawsuit filed against the Company. Developments in this lawsuit do not indicate the need to adjust this reserve at the present time.</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Interest income decreased $4,368 in the third quarter of fiscal 1996 as compared to the same quarter one year ago and increased $52,540 for the first nine months of this fiscal year as compared to the same period one year ago. The third quarter decrease is due to increases in investments in income tax exempt securities which generally have a lower pre-tax return than other taxable investments, but have a higher after-tax return. The nine month increase is due to an increase in the amount of cash available for investments.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DISCONTINUED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March 1995, the Company adopted a formal plan to discontinue operations of</w:t>
      </w:r>
    </w:p>
    <w:p>
      <w:pPr>
        <w:spacing w:after="0" w:line="238" w:lineRule="auto"/>
        <w:rPr>
          <w:sz w:val="20"/>
          <w:szCs w:val="20"/>
          <w:color w:val="auto"/>
        </w:rPr>
      </w:pPr>
      <w:r>
        <w:rPr>
          <w:rFonts w:ascii="Courier New" w:cs="Courier New" w:eastAsia="Courier New" w:hAnsi="Courier New"/>
          <w:sz w:val="18"/>
          <w:szCs w:val="18"/>
          <w:color w:val="auto"/>
        </w:rPr>
        <w:t>Tessman Seed, which sold a wide range of horticulture and pest control</w:t>
      </w:r>
    </w:p>
    <w:p>
      <w:pPr>
        <w:spacing w:after="0"/>
        <w:rPr>
          <w:sz w:val="20"/>
          <w:szCs w:val="20"/>
          <w:color w:val="auto"/>
        </w:rPr>
      </w:pPr>
      <w:r>
        <w:rPr>
          <w:rFonts w:ascii="Courier New" w:cs="Courier New" w:eastAsia="Courier New" w:hAnsi="Courier New"/>
          <w:sz w:val="18"/>
          <w:szCs w:val="18"/>
          <w:color w:val="auto"/>
        </w:rPr>
        <w:t>products. Effective March 1, 1995, the Company sold the inventory, equipment</w:t>
      </w:r>
    </w:p>
    <w:p>
      <w:pPr>
        <w:spacing w:after="0"/>
        <w:tabs>
          <w:tab w:leader="none" w:pos="2940" w:val="left"/>
        </w:tabs>
        <w:rPr>
          <w:sz w:val="20"/>
          <w:szCs w:val="20"/>
          <w:color w:val="auto"/>
        </w:rPr>
      </w:pPr>
      <w:r>
        <w:rPr>
          <w:rFonts w:ascii="Courier New" w:cs="Courier New" w:eastAsia="Courier New" w:hAnsi="Courier New"/>
          <w:sz w:val="18"/>
          <w:szCs w:val="18"/>
          <w:color w:val="auto"/>
        </w:rPr>
        <w:t>and operations of Tessman.</w:t>
      </w:r>
      <w:r>
        <w:rPr>
          <w:sz w:val="20"/>
          <w:szCs w:val="20"/>
          <w:color w:val="auto"/>
        </w:rPr>
        <w:tab/>
      </w:r>
      <w:r>
        <w:rPr>
          <w:rFonts w:ascii="Courier New" w:cs="Courier New" w:eastAsia="Courier New" w:hAnsi="Courier New"/>
          <w:sz w:val="16"/>
          <w:szCs w:val="16"/>
          <w:color w:val="auto"/>
        </w:rPr>
        <w:t>As a result of the transaction, the Company</w:t>
      </w:r>
    </w:p>
    <w:p>
      <w:pPr>
        <w:spacing w:after="0" w:line="238" w:lineRule="auto"/>
        <w:rPr>
          <w:sz w:val="20"/>
          <w:szCs w:val="20"/>
          <w:color w:val="auto"/>
        </w:rPr>
      </w:pPr>
      <w:r>
        <w:rPr>
          <w:rFonts w:ascii="Courier New" w:cs="Courier New" w:eastAsia="Courier New" w:hAnsi="Courier New"/>
          <w:sz w:val="18"/>
          <w:szCs w:val="18"/>
          <w:color w:val="auto"/>
        </w:rPr>
        <w:t>recorded a loss on the disposal in the second quarter of fiscal 1995 of</w:t>
      </w:r>
    </w:p>
    <w:p>
      <w:pPr>
        <w:spacing w:after="0"/>
        <w:rPr>
          <w:sz w:val="20"/>
          <w:szCs w:val="20"/>
          <w:color w:val="auto"/>
        </w:rPr>
      </w:pPr>
      <w:r>
        <w:rPr>
          <w:rFonts w:ascii="Courier New" w:cs="Courier New" w:eastAsia="Courier New" w:hAnsi="Courier New"/>
          <w:sz w:val="18"/>
          <w:szCs w:val="18"/>
          <w:color w:val="auto"/>
        </w:rPr>
        <w:t>$321,266, net of taxes totaling $214,200, to write-down Tessman's assets to</w:t>
      </w:r>
    </w:p>
    <w:p>
      <w:pPr>
        <w:spacing w:after="0" w:line="237" w:lineRule="auto"/>
        <w:rPr>
          <w:sz w:val="20"/>
          <w:szCs w:val="20"/>
          <w:color w:val="auto"/>
        </w:rPr>
      </w:pPr>
      <w:r>
        <w:rPr>
          <w:rFonts w:ascii="Courier New" w:cs="Courier New" w:eastAsia="Courier New" w:hAnsi="Courier New"/>
          <w:sz w:val="18"/>
          <w:szCs w:val="18"/>
          <w:color w:val="auto"/>
        </w:rPr>
        <w:t>the amount realized.</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Revenues for Tessman for the quarter and nine months ended June 30, 1995 were $0 and $931,000, respectively. The loss for Tessman for the nine-month period ended June 30, 1995 was less than $.01 per share.</w:t>
      </w: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767"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For the nine-month period ended June 30, 1996, cash flows from operations were $3,955,464. This amount was lower than cash provided by operations during the same period one year ago, due mainly to the changes in certain current assets and liability accounts discussed below. During the nine-month period ended June 30, 1996, the Company purchased $3,655,072 in property and equipment and invested an additional $2,419,216 in short-term investments.</w:t>
      </w:r>
    </w:p>
    <w:p>
      <w:pPr>
        <w:spacing w:after="0" w:line="18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Accounts receivable, inventories and accounts payable decreased during the first nine months of fiscal 1996 due primarily to management's decision to discontinue sales to mass merchandisers by The Lynde Company subsidiary, as discussed previously. Other current liabilities decreased as a result of the payment of cash dividends and benefit plan accruals that existed at fiscal year end. The Company did not issue any securities during the nine-month period ended June 30, 1996.</w:t>
      </w:r>
    </w:p>
    <w:p>
      <w:pPr>
        <w:spacing w:after="0" w:line="211" w:lineRule="exact"/>
        <w:rPr>
          <w:sz w:val="20"/>
          <w:szCs w:val="20"/>
          <w:color w:val="auto"/>
        </w:rPr>
      </w:pPr>
    </w:p>
    <w:p>
      <w:pPr>
        <w:ind w:right="2319"/>
        <w:spacing w:after="0" w:line="273" w:lineRule="auto"/>
        <w:rPr>
          <w:sz w:val="20"/>
          <w:szCs w:val="20"/>
          <w:color w:val="auto"/>
        </w:rPr>
      </w:pPr>
      <w:r>
        <w:rPr>
          <w:rFonts w:ascii="Courier New" w:cs="Courier New" w:eastAsia="Courier New" w:hAnsi="Courier New"/>
          <w:sz w:val="16"/>
          <w:szCs w:val="16"/>
          <w:color w:val="auto"/>
        </w:rPr>
        <w:t>In January 1996, the Company sold property which was previously rented to a former subsidiary for $1,208,000. At closing the Company received $108,188 and a contract for deed for $1,100,000. The contract for deed requires monthly payments of $9,201, including interest at 8% per annum, for eight years. On January 1, 2004, the remaining unpaid principal balance is due.</w:t>
      </w:r>
    </w:p>
    <w:p>
      <w:pPr>
        <w:spacing w:after="0" w:line="18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May 30,1996, the Company paid cash to acquire buildings and land adjacent to its location in Minneapolis, Minnesota for $880,000. At present, the property is being rented to the former owner until such time that the Company needs it for expansion.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Since 1985, the Company has been paying an annual cash dividend each year. In the fourth quarter of fiscal 1995 this was changed to a semi-annual cash dividend policy. The first half of the 1996 dividend was paid in October 1995 and the second half was paid in April 1996.</w:t>
      </w:r>
    </w:p>
    <w:p>
      <w:pPr>
        <w:spacing w:after="0" w:line="200" w:lineRule="exact"/>
        <w:rPr>
          <w:sz w:val="20"/>
          <w:szCs w:val="20"/>
          <w:color w:val="auto"/>
        </w:rPr>
      </w:pP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cash flows from operations, coupled with the Company's strong cash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puts it in a position to issue either debt or equity securities on favorable terms.</w:t>
      </w:r>
    </w:p>
    <w:p>
      <w:pPr>
        <w:spacing w:after="0" w:line="212"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 Cash equivalents consist of short-term certificates of deposit and investments consist of relatively low-risk investment and annuity contracts with highly rated, stable insurance companies, and marketable securities consisting of investment grade municipal securities, all of which are carried at fair value which approximates cost. All cash equivalents are generally highly liquid and are available upon demand.</w:t>
      </w:r>
    </w:p>
    <w:p>
      <w:pPr>
        <w:spacing w:after="0" w:line="39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Other than as discussed above, management is not aware of any matters that have materially affected the first nine months of fiscal 1996, but are not expected to materially affect future periods, nor is management aware of other matters not affecting this period that are expected to materially affect future periods.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STATEMENTS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addition to the historical information contained herein, the foregoing discussion includes forward looking statements that involve a number of risks and uncertainties. Among the factors that could cause actual results to differ materially are the following: changes in demand for the Company's products; the condition of the general economy; competitive factors such as aggressive pricing by regional competitors and entry of well capitalized competitors into territories served by the Company; increased local, state or federal regulation of the Company's products; changes in product mix; increases in product costs; and the risk factors listed from time to time in the Company's reports filed with the Securities and Exchange Commission.</w:t>
      </w: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59" w:gutter="0" w:footer="0" w:header="0"/>
        </w:sectPr>
      </w:pPr>
    </w:p>
    <w:bookmarkStart w:id="8" w:name="page9"/>
    <w:bookmarkEnd w:id="8"/>
    <w:p>
      <w:pPr>
        <w:ind w:left="2640"/>
        <w:spacing w:after="0"/>
        <w:tabs>
          <w:tab w:leader="none" w:pos="36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As disclosed by the Company in previous filings with the Commission, the Company has commenced suit in the Minnesota Federal District Court against The North River Insurance Company and the Westchester Fire Insurance Company, its primary and umbrella insurers, respectively, seeking declaratory relief consisting of a finding that the Company has coverage under both its primary and umbrella policies with respect to a lawsuit brought against the Company and its subsidiary, The Lynde Company. The lawsuit brought against the Company and its subsidiary, captioned DONNA M. COOKSEY. ET AL. V. HAWKINS CHEMICAL, INC. AND THE LYNDE COMPANY seeks damages for personal injury, property damage and other damages alleged to have been caused by the alleged release of certain pollutants as a result of a fire at an office/warehouse facility used by The Lynde Company.</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early 1996, The Company moved for summary judgment on the issue of the enforceability of a "total pollution exclusion" contained in the subject insurance policies, which the insurers claim excludes coverage for hostile fires, such as the one underlying the COOKSEY lawsuit. In late June of 1996, the United States Magistrate Judge hearing the summary judgment motion in the Company's action against North River filed a recommendation that the Company has coverage for the damages alleged in the COOKSEY lawsuit alleged to be caused by the hostile fire under its primary insurance policy. In July of 1996, the same Magistrate reached the same conclusion with respect to the umbrella policy issued by Westchester.</w:t>
      </w:r>
    </w:p>
    <w:p>
      <w:pPr>
        <w:spacing w:after="0" w:line="215"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Both of these recommendations are subject to a de novo review by a United States District Court Judge, as well as potential appeals to the Eighth Circuit Court of Appeals and the United States Supreme Court. It is not possible at this time, therefore, for the Company to determine what insurance coverage, if any, will be available with respect to the COOKSEY lawsuit.</w:t>
      </w:r>
    </w:p>
    <w:p>
      <w:pPr>
        <w:spacing w:after="0" w:line="1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4" w:lineRule="exact"/>
        <w:rPr>
          <w:rFonts w:ascii="Courier New" w:cs="Courier New" w:eastAsia="Courier New" w:hAnsi="Courier New"/>
          <w:sz w:val="18"/>
          <w:szCs w:val="18"/>
          <w:color w:val="auto"/>
        </w:rPr>
      </w:pPr>
    </w:p>
    <w:p>
      <w:pPr>
        <w:ind w:left="540" w:right="17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following exhibits are included with this Quarterly Report on Form 10-Q (or incorporated by reference) as required by Item 601 of Regulation S-K.</w:t>
      </w:r>
    </w:p>
    <w:p>
      <w:pPr>
        <w:sectPr>
          <w:pgSz w:w="11900" w:h="16838" w:orient="portrait"/>
          <w:cols w:equalWidth="0" w:num="1">
            <w:col w:w="10219"/>
          </w:cols>
          <w:pgMar w:left="240" w:top="919" w:right="1440" w:bottom="564" w:gutter="0" w:footer="0" w:header="0"/>
        </w:sectPr>
      </w:pPr>
    </w:p>
    <w:p>
      <w:pPr>
        <w:spacing w:after="0" w:line="170"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Exhibit No. - ----------- 27</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Data Schedule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No.</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ectPr>
          <w:pgSz w:w="11900" w:h="16838" w:orient="portrait"/>
          <w:cols w:equalWidth="0" w:num="3">
            <w:col w:w="1380" w:space="620"/>
            <w:col w:w="3080" w:space="720"/>
            <w:col w:w="4419"/>
          </w:cols>
          <w:pgMar w:left="240" w:top="919" w:right="1440" w:bottom="564" w:gutter="0" w:footer="0" w:header="0"/>
          <w:type w:val="continuous"/>
        </w:sectPr>
      </w:pPr>
    </w:p>
    <w:p>
      <w:pPr>
        <w:spacing w:after="0" w:line="204"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54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have been filed during the fiscal quarter ended June 30, 1996.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HAWKINS CHEMICAL,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Howard M. Hawkins, Treasurer</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(Chief Financial and Accounting Officer)</w:t>
      </w:r>
    </w:p>
    <w:p>
      <w:pPr>
        <w:spacing w:after="0" w:line="2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August 12, 1996</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19" w:right="1440" w:bottom="564" w:gutter="0" w:footer="0" w:header="0"/>
          <w:type w:val="continuous"/>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9-MOS</w:t>
      </w:r>
    </w:p>
    <w:p>
      <w:pPr>
        <w:ind w:left="2620"/>
        <w:spacing w:after="0" w:line="238" w:lineRule="auto"/>
        <w:rPr>
          <w:sz w:val="20"/>
          <w:szCs w:val="20"/>
          <w:color w:val="auto"/>
        </w:rPr>
      </w:pPr>
      <w:r>
        <w:rPr>
          <w:rFonts w:ascii="Courier New" w:cs="Courier New" w:eastAsia="Courier New" w:hAnsi="Courier New"/>
          <w:sz w:val="18"/>
          <w:szCs w:val="18"/>
          <w:color w:val="auto"/>
        </w:rPr>
        <w:t>SEP-29-1996</w:t>
      </w:r>
    </w:p>
    <w:p>
      <w:pPr>
        <w:ind w:left="2940"/>
        <w:spacing w:after="0"/>
        <w:rPr>
          <w:sz w:val="20"/>
          <w:szCs w:val="20"/>
          <w:color w:val="auto"/>
        </w:rPr>
      </w:pPr>
      <w:r>
        <w:rPr>
          <w:rFonts w:ascii="Courier New" w:cs="Courier New" w:eastAsia="Courier New" w:hAnsi="Courier New"/>
          <w:sz w:val="18"/>
          <w:szCs w:val="18"/>
          <w:color w:val="auto"/>
        </w:rPr>
        <w:t>OCT-02-1995</w:t>
      </w:r>
    </w:p>
    <w:p>
      <w:pPr>
        <w:ind w:left="3160"/>
        <w:spacing w:after="0" w:line="237" w:lineRule="auto"/>
        <w:rPr>
          <w:sz w:val="20"/>
          <w:szCs w:val="20"/>
          <w:color w:val="auto"/>
        </w:rPr>
      </w:pPr>
      <w:r>
        <w:rPr>
          <w:rFonts w:ascii="Courier New" w:cs="Courier New" w:eastAsia="Courier New" w:hAnsi="Courier New"/>
          <w:sz w:val="18"/>
          <w:szCs w:val="18"/>
          <w:color w:val="auto"/>
        </w:rPr>
        <w:t>JUN-30-1996</w:t>
      </w:r>
    </w:p>
    <w:p>
      <w:pPr>
        <w:ind w:left="4000"/>
        <w:spacing w:after="0" w:line="238" w:lineRule="auto"/>
        <w:rPr>
          <w:sz w:val="20"/>
          <w:szCs w:val="20"/>
          <w:color w:val="auto"/>
        </w:rPr>
      </w:pPr>
      <w:r>
        <w:rPr>
          <w:rFonts w:ascii="Courier New" w:cs="Courier New" w:eastAsia="Courier New" w:hAnsi="Courier New"/>
          <w:sz w:val="18"/>
          <w:szCs w:val="18"/>
          <w:color w:val="auto"/>
        </w:rPr>
        <w:t>6,286,674</w:t>
      </w:r>
    </w:p>
    <w:p>
      <w:pPr>
        <w:ind w:left="3260"/>
        <w:spacing w:after="0"/>
        <w:rPr>
          <w:sz w:val="20"/>
          <w:szCs w:val="20"/>
          <w:color w:val="auto"/>
        </w:rPr>
      </w:pPr>
      <w:r>
        <w:rPr>
          <w:rFonts w:ascii="Courier New" w:cs="Courier New" w:eastAsia="Courier New" w:hAnsi="Courier New"/>
          <w:sz w:val="18"/>
          <w:szCs w:val="18"/>
          <w:color w:val="auto"/>
        </w:rPr>
        <w:t>10,387,977</w:t>
      </w:r>
    </w:p>
    <w:p>
      <w:pPr>
        <w:ind w:left="3260"/>
        <w:spacing w:after="0" w:line="237" w:lineRule="auto"/>
        <w:rPr>
          <w:sz w:val="20"/>
          <w:szCs w:val="20"/>
          <w:color w:val="auto"/>
        </w:rPr>
      </w:pPr>
      <w:r>
        <w:rPr>
          <w:rFonts w:ascii="Courier New" w:cs="Courier New" w:eastAsia="Courier New" w:hAnsi="Courier New"/>
          <w:sz w:val="18"/>
          <w:szCs w:val="18"/>
          <w:color w:val="auto"/>
        </w:rPr>
        <w:t>9,929,176</w:t>
      </w:r>
    </w:p>
    <w:p>
      <w:pPr>
        <w:ind w:left="4200"/>
        <w:spacing w:after="0"/>
        <w:rPr>
          <w:sz w:val="20"/>
          <w:szCs w:val="20"/>
          <w:color w:val="auto"/>
        </w:rPr>
      </w:pPr>
      <w:r>
        <w:rPr>
          <w:rFonts w:ascii="Courier New" w:cs="Courier New" w:eastAsia="Courier New" w:hAnsi="Courier New"/>
          <w:sz w:val="18"/>
          <w:szCs w:val="18"/>
          <w:color w:val="auto"/>
        </w:rPr>
        <w:t>0</w:t>
      </w:r>
    </w:p>
    <w:p>
      <w:pPr>
        <w:ind w:left="3460"/>
        <w:spacing w:after="0" w:line="237" w:lineRule="auto"/>
        <w:rPr>
          <w:sz w:val="20"/>
          <w:szCs w:val="20"/>
          <w:color w:val="auto"/>
        </w:rPr>
      </w:pPr>
      <w:r>
        <w:rPr>
          <w:rFonts w:ascii="Courier New" w:cs="Courier New" w:eastAsia="Courier New" w:hAnsi="Courier New"/>
          <w:sz w:val="18"/>
          <w:szCs w:val="18"/>
          <w:color w:val="auto"/>
        </w:rPr>
        <w:t>6,244,790</w:t>
      </w:r>
    </w:p>
    <w:p>
      <w:pPr>
        <w:ind w:left="2840"/>
        <w:spacing w:after="0"/>
        <w:rPr>
          <w:sz w:val="20"/>
          <w:szCs w:val="20"/>
          <w:color w:val="auto"/>
        </w:rPr>
      </w:pPr>
      <w:r>
        <w:rPr>
          <w:rFonts w:ascii="Courier New" w:cs="Courier New" w:eastAsia="Courier New" w:hAnsi="Courier New"/>
          <w:sz w:val="18"/>
          <w:szCs w:val="18"/>
          <w:color w:val="auto"/>
        </w:rPr>
        <w:t>34,776,991</w:t>
      </w:r>
    </w:p>
    <w:p>
      <w:pPr>
        <w:ind w:left="3900"/>
        <w:spacing w:after="0" w:line="237" w:lineRule="auto"/>
        <w:rPr>
          <w:sz w:val="20"/>
          <w:szCs w:val="20"/>
          <w:color w:val="auto"/>
        </w:rPr>
      </w:pPr>
      <w:r>
        <w:rPr>
          <w:rFonts w:ascii="Courier New" w:cs="Courier New" w:eastAsia="Courier New" w:hAnsi="Courier New"/>
          <w:sz w:val="18"/>
          <w:szCs w:val="18"/>
          <w:color w:val="auto"/>
        </w:rPr>
        <w:t>12,957,065</w:t>
      </w:r>
    </w:p>
    <w:p>
      <w:pPr>
        <w:ind w:left="4000"/>
        <w:spacing w:after="0" w:line="238" w:lineRule="auto"/>
        <w:rPr>
          <w:sz w:val="20"/>
          <w:szCs w:val="20"/>
          <w:color w:val="auto"/>
        </w:rPr>
      </w:pPr>
      <w:r>
        <w:rPr>
          <w:rFonts w:ascii="Courier New" w:cs="Courier New" w:eastAsia="Courier New" w:hAnsi="Courier New"/>
          <w:sz w:val="18"/>
          <w:szCs w:val="18"/>
          <w:color w:val="auto"/>
        </w:rPr>
        <w:t>0</w:t>
      </w:r>
    </w:p>
    <w:p>
      <w:pPr>
        <w:ind w:left="3040"/>
        <w:spacing w:after="0"/>
        <w:rPr>
          <w:sz w:val="20"/>
          <w:szCs w:val="20"/>
          <w:color w:val="auto"/>
        </w:rPr>
      </w:pPr>
      <w:r>
        <w:rPr>
          <w:rFonts w:ascii="Courier New" w:cs="Courier New" w:eastAsia="Courier New" w:hAnsi="Courier New"/>
          <w:sz w:val="18"/>
          <w:szCs w:val="18"/>
          <w:color w:val="auto"/>
        </w:rPr>
        <w:t>52,198,719</w:t>
      </w:r>
    </w:p>
    <w:p>
      <w:pPr>
        <w:ind w:left="2420"/>
        <w:spacing w:after="0" w:line="237" w:lineRule="auto"/>
        <w:rPr>
          <w:sz w:val="20"/>
          <w:szCs w:val="20"/>
          <w:color w:val="auto"/>
        </w:rPr>
      </w:pPr>
      <w:r>
        <w:rPr>
          <w:rFonts w:ascii="Courier New" w:cs="Courier New" w:eastAsia="Courier New" w:hAnsi="Courier New"/>
          <w:sz w:val="18"/>
          <w:szCs w:val="18"/>
          <w:color w:val="auto"/>
        </w:rPr>
        <w:t>9,487,264</w:t>
      </w:r>
    </w:p>
    <w:p>
      <w:pPr>
        <w:jc w:val="center"/>
        <w:ind w:right="539"/>
        <w:spacing w:after="0"/>
        <w:rPr>
          <w:sz w:val="20"/>
          <w:szCs w:val="20"/>
          <w:color w:val="auto"/>
        </w:rPr>
      </w:pPr>
      <w:r>
        <w:rPr>
          <w:rFonts w:ascii="Courier New" w:cs="Courier New" w:eastAsia="Courier New" w:hAnsi="Courier New"/>
          <w:sz w:val="18"/>
          <w:szCs w:val="18"/>
          <w:color w:val="auto"/>
        </w:rPr>
        <w:t>0</w:t>
      </w:r>
    </w:p>
    <w:p>
      <w:pPr>
        <w:ind w:left="3260"/>
        <w:spacing w:after="0" w:line="237"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0</w:t>
      </w:r>
    </w:p>
    <w:p>
      <w:pPr>
        <w:ind w:left="4000"/>
        <w:spacing w:after="0" w:line="237" w:lineRule="auto"/>
        <w:rPr>
          <w:sz w:val="20"/>
          <w:szCs w:val="20"/>
          <w:color w:val="auto"/>
        </w:rPr>
      </w:pPr>
      <w:r>
        <w:rPr>
          <w:rFonts w:ascii="Courier New" w:cs="Courier New" w:eastAsia="Courier New" w:hAnsi="Courier New"/>
          <w:sz w:val="18"/>
          <w:szCs w:val="18"/>
          <w:color w:val="auto"/>
        </w:rPr>
        <w:t>552,585</w:t>
      </w:r>
    </w:p>
    <w:p>
      <w:pPr>
        <w:ind w:left="3460"/>
        <w:spacing w:after="0" w:line="238" w:lineRule="auto"/>
        <w:rPr>
          <w:sz w:val="20"/>
          <w:szCs w:val="20"/>
          <w:color w:val="auto"/>
        </w:rPr>
      </w:pPr>
      <w:r>
        <w:rPr>
          <w:rFonts w:ascii="Courier New" w:cs="Courier New" w:eastAsia="Courier New" w:hAnsi="Courier New"/>
          <w:sz w:val="18"/>
          <w:szCs w:val="18"/>
          <w:color w:val="auto"/>
        </w:rPr>
        <w:t>41,195,617</w:t>
      </w:r>
    </w:p>
    <w:p>
      <w:pPr>
        <w:ind w:left="1580"/>
        <w:spacing w:after="0"/>
        <w:rPr>
          <w:sz w:val="20"/>
          <w:szCs w:val="20"/>
          <w:color w:val="auto"/>
        </w:rPr>
      </w:pPr>
      <w:r>
        <w:rPr>
          <w:rFonts w:ascii="Courier New" w:cs="Courier New" w:eastAsia="Courier New" w:hAnsi="Courier New"/>
          <w:sz w:val="18"/>
          <w:szCs w:val="18"/>
          <w:color w:val="auto"/>
        </w:rPr>
        <w:t>41,748,202</w:t>
      </w:r>
    </w:p>
    <w:p>
      <w:pPr>
        <w:ind w:left="3780"/>
        <w:spacing w:after="0" w:line="237" w:lineRule="auto"/>
        <w:rPr>
          <w:sz w:val="20"/>
          <w:szCs w:val="20"/>
          <w:color w:val="auto"/>
        </w:rPr>
      </w:pPr>
      <w:r>
        <w:rPr>
          <w:rFonts w:ascii="Courier New" w:cs="Courier New" w:eastAsia="Courier New" w:hAnsi="Courier New"/>
          <w:sz w:val="18"/>
          <w:szCs w:val="18"/>
          <w:color w:val="auto"/>
        </w:rPr>
        <w:t>58,136,597</w:t>
      </w:r>
    </w:p>
    <w:p>
      <w:pPr>
        <w:ind w:left="2840"/>
        <w:spacing w:after="0"/>
        <w:rPr>
          <w:sz w:val="20"/>
          <w:szCs w:val="20"/>
          <w:color w:val="auto"/>
        </w:rPr>
      </w:pPr>
      <w:r>
        <w:rPr>
          <w:rFonts w:ascii="Courier New" w:cs="Courier New" w:eastAsia="Courier New" w:hAnsi="Courier New"/>
          <w:sz w:val="18"/>
          <w:szCs w:val="18"/>
          <w:color w:val="auto"/>
        </w:rPr>
        <w:t>58,136,597</w:t>
      </w:r>
    </w:p>
    <w:p>
      <w:pPr>
        <w:jc w:val="right"/>
        <w:ind w:right="5059"/>
        <w:spacing w:after="0" w:line="237" w:lineRule="auto"/>
        <w:rPr>
          <w:sz w:val="20"/>
          <w:szCs w:val="20"/>
          <w:color w:val="auto"/>
        </w:rPr>
      </w:pPr>
      <w:r>
        <w:rPr>
          <w:rFonts w:ascii="Courier New" w:cs="Courier New" w:eastAsia="Courier New" w:hAnsi="Courier New"/>
          <w:sz w:val="18"/>
          <w:szCs w:val="18"/>
          <w:color w:val="auto"/>
        </w:rPr>
        <w:t>45,061,816</w:t>
      </w:r>
    </w:p>
    <w:p>
      <w:pPr>
        <w:ind w:left="3160"/>
        <w:spacing w:after="0"/>
        <w:rPr>
          <w:sz w:val="20"/>
          <w:szCs w:val="20"/>
          <w:color w:val="auto"/>
        </w:rPr>
      </w:pPr>
      <w:r>
        <w:rPr>
          <w:rFonts w:ascii="Courier New" w:cs="Courier New" w:eastAsia="Courier New" w:hAnsi="Courier New"/>
          <w:sz w:val="18"/>
          <w:szCs w:val="18"/>
          <w:color w:val="auto"/>
        </w:rPr>
        <w:t>51,506,506</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0</w:t>
      </w:r>
    </w:p>
    <w:p>
      <w:pPr>
        <w:ind w:left="3040"/>
        <w:spacing w:after="0" w:line="237" w:lineRule="auto"/>
        <w:rPr>
          <w:sz w:val="20"/>
          <w:szCs w:val="20"/>
          <w:color w:val="auto"/>
        </w:rPr>
      </w:pPr>
      <w:r>
        <w:rPr>
          <w:rFonts w:ascii="Courier New" w:cs="Courier New" w:eastAsia="Courier New" w:hAnsi="Courier New"/>
          <w:sz w:val="18"/>
          <w:szCs w:val="18"/>
          <w:color w:val="auto"/>
        </w:rPr>
        <w:t>40,702</w:t>
      </w:r>
    </w:p>
    <w:p>
      <w:pPr>
        <w:ind w:left="3040"/>
        <w:spacing w:after="0" w:line="238" w:lineRule="auto"/>
        <w:rPr>
          <w:sz w:val="20"/>
          <w:szCs w:val="20"/>
          <w:color w:val="auto"/>
        </w:rPr>
      </w:pPr>
      <w:r>
        <w:rPr>
          <w:rFonts w:ascii="Courier New" w:cs="Courier New" w:eastAsia="Courier New" w:hAnsi="Courier New"/>
          <w:sz w:val="18"/>
          <w:szCs w:val="18"/>
          <w:color w:val="auto"/>
        </w:rPr>
        <w:t>7,457,845</w:t>
      </w:r>
    </w:p>
    <w:p>
      <w:pPr>
        <w:ind w:left="3360"/>
        <w:spacing w:after="0"/>
        <w:rPr>
          <w:sz w:val="20"/>
          <w:szCs w:val="20"/>
          <w:color w:val="auto"/>
        </w:rPr>
      </w:pPr>
      <w:r>
        <w:rPr>
          <w:rFonts w:ascii="Courier New" w:cs="Courier New" w:eastAsia="Courier New" w:hAnsi="Courier New"/>
          <w:sz w:val="18"/>
          <w:szCs w:val="18"/>
          <w:color w:val="auto"/>
        </w:rPr>
        <w:t>2,983,200</w:t>
      </w:r>
    </w:p>
    <w:p>
      <w:pPr>
        <w:ind w:left="2620"/>
        <w:spacing w:after="0" w:line="237" w:lineRule="auto"/>
        <w:rPr>
          <w:sz w:val="20"/>
          <w:szCs w:val="20"/>
          <w:color w:val="auto"/>
        </w:rPr>
      </w:pPr>
      <w:r>
        <w:rPr>
          <w:rFonts w:ascii="Courier New" w:cs="Courier New" w:eastAsia="Courier New" w:hAnsi="Courier New"/>
          <w:sz w:val="18"/>
          <w:szCs w:val="18"/>
          <w:color w:val="auto"/>
        </w:rPr>
        <w:t>4,474,645</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ind w:left="3360"/>
        <w:spacing w:after="0" w:line="237" w:lineRule="auto"/>
        <w:rPr>
          <w:sz w:val="20"/>
          <w:szCs w:val="20"/>
          <w:color w:val="auto"/>
        </w:rPr>
      </w:pPr>
      <w:r>
        <w:rPr>
          <w:rFonts w:ascii="Courier New" w:cs="Courier New" w:eastAsia="Courier New" w:hAnsi="Courier New"/>
          <w:sz w:val="18"/>
          <w:szCs w:val="18"/>
          <w:color w:val="auto"/>
        </w:rPr>
        <w:t>4,474,645</w:t>
      </w:r>
    </w:p>
    <w:p>
      <w:pPr>
        <w:ind w:left="3900"/>
        <w:spacing w:after="0" w:line="238" w:lineRule="auto"/>
        <w:rPr>
          <w:sz w:val="20"/>
          <w:szCs w:val="20"/>
          <w:color w:val="auto"/>
        </w:rPr>
      </w:pPr>
      <w:r>
        <w:rPr>
          <w:rFonts w:ascii="Courier New" w:cs="Courier New" w:eastAsia="Courier New" w:hAnsi="Courier New"/>
          <w:sz w:val="18"/>
          <w:szCs w:val="18"/>
          <w:color w:val="auto"/>
        </w:rPr>
        <w:t>.40</w:t>
      </w:r>
    </w:p>
    <w:p>
      <w:pPr>
        <w:ind w:left="3900"/>
        <w:spacing w:after="0"/>
        <w:rPr>
          <w:sz w:val="20"/>
          <w:szCs w:val="20"/>
          <w:color w:val="auto"/>
        </w:rPr>
      </w:pPr>
      <w:r>
        <w:rPr>
          <w:rFonts w:ascii="Courier New" w:cs="Courier New" w:eastAsia="Courier New" w:hAnsi="Courier New"/>
          <w:sz w:val="18"/>
          <w:szCs w:val="18"/>
          <w:color w:val="auto"/>
        </w:rPr>
        <w:t>.40</w:t>
      </w:r>
    </w:p>
    <w:sectPr>
      <w:pgSz w:w="11900" w:h="16838" w:orient="portrait"/>
      <w:cols w:equalWidth="0" w:num="1">
        <w:col w:w="10099"/>
      </w:cols>
      <w:pgMar w:left="3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612"/>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2019-12-13T01:43:22Z</dcterms:created>
  <dcterms:modified xsi:type="dcterms:W3CDTF">2019-12-13T01:43:22Z</dcterms:modified>
</cp:coreProperties>
</file>