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alibri" w:cs="Calibri" w:eastAsia="Calibri" w:hAnsi="Calibri"/>
          <w:sz w:val="32"/>
          <w:szCs w:val="32"/>
          <w:b w:val="1"/>
          <w:bCs w:val="1"/>
          <w:color w:val="auto"/>
        </w:rPr>
        <w:t>UNITED STATES</w:t>
      </w:r>
    </w:p>
    <w:p>
      <w:pPr>
        <w:spacing w:after="0" w:line="1" w:lineRule="exact"/>
        <w:rPr>
          <w:sz w:val="24"/>
          <w:szCs w:val="24"/>
          <w:color w:val="auto"/>
        </w:rPr>
      </w:pPr>
    </w:p>
    <w:p>
      <w:pPr>
        <w:jc w:val="center"/>
        <w:ind w:right="-1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Calibri" w:cs="Calibri" w:eastAsia="Calibri" w:hAnsi="Calibri"/>
          <w:sz w:val="22"/>
          <w:szCs w:val="22"/>
          <w:b w:val="1"/>
          <w:bCs w:val="1"/>
          <w:color w:val="auto"/>
        </w:rPr>
        <w:t>Washington, D.C. 20549</w:t>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Calibri" w:cs="Calibri" w:eastAsia="Calibri" w:hAnsi="Calibri"/>
          <w:sz w:val="32"/>
          <w:szCs w:val="32"/>
          <w:b w:val="1"/>
          <w:bCs w:val="1"/>
          <w:color w:val="auto"/>
        </w:rPr>
        <w:t>FORM 8-K</w:t>
      </w: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Calibri" w:cs="Calibri" w:eastAsia="Calibri" w:hAnsi="Calibri"/>
          <w:sz w:val="25"/>
          <w:szCs w:val="25"/>
          <w:b w:val="1"/>
          <w:bCs w:val="1"/>
          <w:color w:val="auto"/>
        </w:rPr>
        <w:t>CURRENT REPORT</w:t>
      </w:r>
    </w:p>
    <w:p>
      <w:pPr>
        <w:spacing w:after="0" w:line="180" w:lineRule="exact"/>
        <w:rPr>
          <w:sz w:val="24"/>
          <w:szCs w:val="24"/>
          <w:color w:val="auto"/>
        </w:rPr>
      </w:pPr>
    </w:p>
    <w:p>
      <w:pPr>
        <w:jc w:val="center"/>
        <w:ind w:right="-19"/>
        <w:spacing w:after="0"/>
        <w:rPr>
          <w:sz w:val="20"/>
          <w:szCs w:val="20"/>
          <w:color w:val="auto"/>
        </w:rPr>
      </w:pPr>
      <w:r>
        <w:rPr>
          <w:rFonts w:ascii="Calibri" w:cs="Calibri" w:eastAsia="Calibri" w:hAnsi="Calibri"/>
          <w:sz w:val="21"/>
          <w:szCs w:val="21"/>
          <w:b w:val="1"/>
          <w:bCs w:val="1"/>
          <w:color w:val="auto"/>
        </w:rPr>
        <w:t>Pursuant to Secton 13 or 15(d) of the Securites Exchange Act of 1934</w:t>
      </w:r>
    </w:p>
    <w:p>
      <w:pPr>
        <w:spacing w:after="0" w:line="152" w:lineRule="exact"/>
        <w:rPr>
          <w:sz w:val="24"/>
          <w:szCs w:val="24"/>
          <w:color w:val="auto"/>
        </w:rPr>
      </w:pPr>
    </w:p>
    <w:p>
      <w:pPr>
        <w:jc w:val="center"/>
        <w:ind w:right="-19"/>
        <w:spacing w:after="0"/>
        <w:rPr>
          <w:sz w:val="20"/>
          <w:szCs w:val="20"/>
          <w:color w:val="auto"/>
        </w:rPr>
      </w:pPr>
      <w:r>
        <w:rPr>
          <w:rFonts w:ascii="Calibri" w:cs="Calibri" w:eastAsia="Calibri" w:hAnsi="Calibri"/>
          <w:sz w:val="22"/>
          <w:szCs w:val="22"/>
          <w:b w:val="1"/>
          <w:bCs w:val="1"/>
          <w:color w:val="auto"/>
        </w:rPr>
        <w:t>Date of Report (Date of earliest event reported) May 15, 2024</w:t>
      </w:r>
    </w:p>
    <w:p>
      <w:pPr>
        <w:spacing w:after="0" w:line="353" w:lineRule="exact"/>
        <w:rPr>
          <w:sz w:val="24"/>
          <w:szCs w:val="24"/>
          <w:color w:val="auto"/>
        </w:rPr>
      </w:pPr>
    </w:p>
    <w:p>
      <w:pPr>
        <w:jc w:val="center"/>
        <w:ind w:right="-19"/>
        <w:spacing w:after="0"/>
        <w:rPr>
          <w:sz w:val="20"/>
          <w:szCs w:val="20"/>
          <w:color w:val="auto"/>
        </w:rPr>
      </w:pPr>
      <w:r>
        <w:rPr>
          <w:rFonts w:ascii="Calibri" w:cs="Calibri" w:eastAsia="Calibri" w:hAnsi="Calibri"/>
          <w:sz w:val="43"/>
          <w:szCs w:val="43"/>
          <w:b w:val="1"/>
          <w:bCs w:val="1"/>
          <w:color w:val="auto"/>
        </w:rPr>
        <w:t>Hawkins, Inc.</w:t>
      </w:r>
    </w:p>
    <w:p>
      <w:pPr>
        <w:spacing w:after="0" w:line="27"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ectPr>
          <w:pgSz w:w="11900" w:h="16838" w:orient="portrait"/>
          <w:cols w:equalWidth="0" w:num="1">
            <w:col w:w="11240"/>
          </w:cols>
          <w:pgMar w:left="320" w:top="1030" w:right="339" w:bottom="1440" w:gutter="0" w:footer="0" w:header="0"/>
        </w:sectPr>
      </w:pPr>
    </w:p>
    <w:p>
      <w:pPr>
        <w:spacing w:after="0" w:line="42" w:lineRule="exact"/>
        <w:rPr>
          <w:sz w:val="24"/>
          <w:szCs w:val="24"/>
          <w:color w:val="auto"/>
        </w:rPr>
      </w:pPr>
    </w:p>
    <w:p>
      <w:pPr>
        <w:ind w:left="1220"/>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400"/>
        <w:spacing w:after="0"/>
        <w:rPr>
          <w:sz w:val="20"/>
          <w:szCs w:val="20"/>
          <w:color w:val="auto"/>
        </w:rPr>
      </w:pPr>
      <w:r>
        <w:rPr>
          <w:rFonts w:ascii="Calibri" w:cs="Calibri" w:eastAsia="Calibri" w:hAnsi="Calibri"/>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41-0771293</w:t>
      </w:r>
    </w:p>
    <w:p>
      <w:pPr>
        <w:spacing w:after="0" w:line="16" w:lineRule="exact"/>
        <w:rPr>
          <w:sz w:val="24"/>
          <w:szCs w:val="24"/>
          <w:color w:val="auto"/>
        </w:rPr>
      </w:pPr>
    </w:p>
    <w:p>
      <w:pPr>
        <w:sectPr>
          <w:pgSz w:w="11900" w:h="16838" w:orient="portrait"/>
          <w:cols w:equalWidth="0" w:num="3">
            <w:col w:w="4640" w:space="720"/>
            <w:col w:w="2900" w:space="720"/>
            <w:col w:w="2260"/>
          </w:cols>
          <w:pgMar w:left="320" w:top="1030" w:right="339" w:bottom="1440" w:gutter="0" w:footer="0" w:header="0"/>
          <w:type w:val="continuous"/>
        </w:sectPr>
      </w:pPr>
    </w:p>
    <w:p>
      <w:pPr>
        <w:ind w:left="920"/>
        <w:spacing w:after="0"/>
        <w:rPr>
          <w:sz w:val="20"/>
          <w:szCs w:val="20"/>
          <w:color w:val="auto"/>
        </w:rPr>
      </w:pPr>
      <w:r>
        <w:rPr>
          <w:rFonts w:ascii="Calibri" w:cs="Calibri" w:eastAsia="Calibri" w:hAnsi="Calibri"/>
          <w:sz w:val="14"/>
          <w:szCs w:val="14"/>
          <w:b w:val="1"/>
          <w:bCs w:val="1"/>
          <w:color w:val="auto"/>
        </w:rPr>
        <w:t>(State 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(IRS Employer Identfcaton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030" w:right="339" w:bottom="1440" w:gutter="0" w:footer="0" w:header="0"/>
          <w:type w:val="continuous"/>
        </w:sectPr>
      </w:pPr>
    </w:p>
    <w:p>
      <w:pPr>
        <w:spacing w:after="0" w:line="27" w:lineRule="exact"/>
        <w:rPr>
          <w:sz w:val="24"/>
          <w:szCs w:val="24"/>
          <w:color w:val="auto"/>
        </w:rPr>
      </w:pPr>
    </w:p>
    <w:p>
      <w:pPr>
        <w:ind w:left="840"/>
        <w:spacing w:after="0"/>
        <w:rPr>
          <w:sz w:val="20"/>
          <w:szCs w:val="20"/>
          <w:color w:val="auto"/>
        </w:rPr>
      </w:pPr>
      <w:r>
        <w:rPr>
          <w:rFonts w:ascii="Calibri" w:cs="Calibri" w:eastAsia="Calibri" w:hAnsi="Calibri"/>
          <w:sz w:val="17"/>
          <w:szCs w:val="17"/>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Calibri" w:cs="Calibri" w:eastAsia="Calibri" w:hAnsi="Calibri"/>
          <w:sz w:val="16"/>
          <w:szCs w:val="16"/>
          <w:b w:val="1"/>
          <w:bCs w:val="1"/>
          <w:color w:val="auto"/>
        </w:rPr>
        <w:t>MN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55113</w:t>
      </w:r>
    </w:p>
    <w:p>
      <w:pPr>
        <w:spacing w:after="0" w:line="16" w:lineRule="exact"/>
        <w:rPr>
          <w:sz w:val="24"/>
          <w:szCs w:val="24"/>
          <w:color w:val="auto"/>
        </w:rPr>
      </w:pPr>
    </w:p>
    <w:p>
      <w:pPr>
        <w:sectPr>
          <w:pgSz w:w="11900" w:h="16838" w:orient="portrait"/>
          <w:cols w:equalWidth="0" w:num="3">
            <w:col w:w="2660" w:space="420"/>
            <w:col w:w="5600" w:space="720"/>
            <w:col w:w="1840"/>
          </w:cols>
          <w:pgMar w:left="320" w:top="1030" w:right="339" w:bottom="1440" w:gutter="0" w:footer="0" w:header="0"/>
          <w:type w:val="continuous"/>
        </w:sectPr>
      </w:pPr>
    </w:p>
    <w:p>
      <w:pPr>
        <w:ind w:left="1160"/>
        <w:spacing w:after="0"/>
        <w:rPr>
          <w:sz w:val="20"/>
          <w:szCs w:val="20"/>
          <w:color w:val="auto"/>
        </w:rPr>
      </w:pPr>
      <w:r>
        <w:rPr>
          <w:rFonts w:ascii="Calibri" w:cs="Calibri" w:eastAsia="Calibri" w:hAnsi="Calibri"/>
          <w:sz w:val="14"/>
          <w:szCs w:val="14"/>
          <w:b w:val="1"/>
          <w:bCs w:val="1"/>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(Zip Code)</w:t>
      </w:r>
    </w:p>
    <w:p>
      <w:pPr>
        <w:spacing w:after="0" w:line="200" w:lineRule="exact"/>
        <w:rPr>
          <w:sz w:val="24"/>
          <w:szCs w:val="24"/>
          <w:color w:val="auto"/>
        </w:rPr>
      </w:pPr>
    </w:p>
    <w:p>
      <w:pPr>
        <w:sectPr>
          <w:pgSz w:w="11900" w:h="16838" w:orient="portrait"/>
          <w:cols w:equalWidth="0" w:num="2">
            <w:col w:w="8600" w:space="720"/>
            <w:col w:w="1920"/>
          </w:cols>
          <w:pgMar w:left="320" w:top="1030" w:right="339" w:bottom="1440" w:gutter="0" w:footer="0" w:header="0"/>
          <w:type w:val="continuous"/>
        </w:sectPr>
      </w:pPr>
    </w:p>
    <w:p>
      <w:pPr>
        <w:spacing w:after="0" w:line="306"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(612) 331-6910</w:t>
      </w:r>
    </w:p>
    <w:p>
      <w:pPr>
        <w:spacing w:after="0" w:line="325" w:lineRule="exact"/>
        <w:rPr>
          <w:sz w:val="24"/>
          <w:szCs w:val="24"/>
          <w:color w:val="auto"/>
        </w:rPr>
      </w:pPr>
    </w:p>
    <w:p>
      <w:pPr>
        <w:ind w:right="500" w:firstLine="445"/>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3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ind w:left="1180"/>
              <w:spacing w:after="0"/>
              <w:rPr>
                <w:sz w:val="20"/>
                <w:szCs w:val="20"/>
                <w:color w:val="auto"/>
              </w:rPr>
            </w:pPr>
            <w:r>
              <w:rPr>
                <w:rFonts w:ascii="Calibri" w:cs="Calibri" w:eastAsia="Calibri" w:hAnsi="Calibri"/>
                <w:sz w:val="16"/>
                <w:szCs w:val="16"/>
                <w:b w:val="1"/>
                <w:bCs w:val="1"/>
                <w:color w:val="auto"/>
              </w:rPr>
              <w:t>Title of each class</w:t>
            </w:r>
          </w:p>
        </w:tc>
        <w:tc>
          <w:tcPr>
            <w:tcW w:w="3140" w:type="dxa"/>
            <w:vAlign w:val="bottom"/>
          </w:tcPr>
          <w:p>
            <w:pPr>
              <w:jc w:val="center"/>
              <w:ind w:left="119"/>
              <w:spacing w:after="0"/>
              <w:rPr>
                <w:sz w:val="20"/>
                <w:szCs w:val="20"/>
                <w:color w:val="auto"/>
              </w:rPr>
            </w:pPr>
            <w:r>
              <w:rPr>
                <w:rFonts w:ascii="Calibri" w:cs="Calibri" w:eastAsia="Calibri" w:hAnsi="Calibri"/>
                <w:sz w:val="16"/>
                <w:szCs w:val="16"/>
                <w:b w:val="1"/>
                <w:bCs w:val="1"/>
                <w:color w:val="auto"/>
                <w:w w:val="98"/>
              </w:rPr>
              <w:t>Trading Symbol(s)</w:t>
            </w:r>
          </w:p>
        </w:tc>
        <w:tc>
          <w:tcPr>
            <w:tcW w:w="4300" w:type="dxa"/>
            <w:vAlign w:val="bottom"/>
          </w:tcPr>
          <w:p>
            <w:pPr>
              <w:jc w:val="center"/>
              <w:ind w:left="33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55"/>
        </w:trPr>
        <w:tc>
          <w:tcPr>
            <w:tcW w:w="376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r>
      <w:tr>
        <w:trPr>
          <w:trHeight w:val="187"/>
        </w:trPr>
        <w:tc>
          <w:tcPr>
            <w:tcW w:w="376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3140" w:type="dxa"/>
            <w:vAlign w:val="bottom"/>
          </w:tcPr>
          <w:p>
            <w:pPr>
              <w:jc w:val="center"/>
              <w:ind w:left="119"/>
              <w:spacing w:after="0" w:line="187" w:lineRule="exact"/>
              <w:rPr>
                <w:sz w:val="20"/>
                <w:szCs w:val="20"/>
                <w:color w:val="auto"/>
              </w:rPr>
            </w:pPr>
            <w:r>
              <w:rPr>
                <w:rFonts w:ascii="Calibri" w:cs="Calibri" w:eastAsia="Calibri" w:hAnsi="Calibri"/>
                <w:sz w:val="16"/>
                <w:szCs w:val="16"/>
                <w:color w:val="auto"/>
                <w:w w:val="97"/>
              </w:rPr>
              <w:t>HWKN</w:t>
            </w:r>
          </w:p>
        </w:tc>
        <w:tc>
          <w:tcPr>
            <w:tcW w:w="4300" w:type="dxa"/>
            <w:vAlign w:val="bottom"/>
          </w:tcPr>
          <w:p>
            <w:pPr>
              <w:jc w:val="center"/>
              <w:ind w:left="319"/>
              <w:spacing w:after="0" w:line="187" w:lineRule="exact"/>
              <w:rPr>
                <w:sz w:val="20"/>
                <w:szCs w:val="20"/>
                <w:color w:val="auto"/>
              </w:rPr>
            </w:pPr>
            <w:r>
              <w:rPr>
                <w:rFonts w:ascii="Calibri" w:cs="Calibri" w:eastAsia="Calibri" w:hAnsi="Calibri"/>
                <w:sz w:val="16"/>
                <w:szCs w:val="16"/>
                <w:color w:val="auto"/>
              </w:rPr>
              <w:t>Nasdaq Stock Market LLC</w:t>
            </w:r>
          </w:p>
        </w:tc>
      </w:tr>
    </w:tbl>
    <w:p>
      <w:pPr>
        <w:spacing w:after="0" w:line="365" w:lineRule="exact"/>
        <w:rPr>
          <w:sz w:val="24"/>
          <w:szCs w:val="24"/>
          <w:color w:val="auto"/>
        </w:rPr>
      </w:pPr>
    </w:p>
    <w:p>
      <w:pPr>
        <w:ind w:right="12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(17 CFR 230.405) or Rule 12b-2 of the Exchange Act (17 CFR 240.12b 2).</w:t>
      </w:r>
    </w:p>
    <w:p>
      <w:pPr>
        <w:spacing w:after="0" w:line="1" w:lineRule="exact"/>
        <w:rPr>
          <w:sz w:val="24"/>
          <w:szCs w:val="24"/>
          <w:color w:val="auto"/>
        </w:rPr>
      </w:pPr>
    </w:p>
    <w:p>
      <w:pPr>
        <w:ind w:left="9120"/>
        <w:spacing w:after="0" w:line="208" w:lineRule="exact"/>
        <w:rPr>
          <w:sz w:val="20"/>
          <w:szCs w:val="20"/>
          <w:color w:val="auto"/>
        </w:rPr>
      </w:pPr>
      <w:r>
        <w:rPr>
          <w:rFonts w:ascii="Calibri" w:cs="Calibri" w:eastAsia="Calibri" w:hAnsi="Calibri"/>
          <w:sz w:val="17"/>
          <w:szCs w:val="17"/>
          <w:color w:val="auto"/>
        </w:rPr>
        <w:t xml:space="preserve">Emerging growth company </w:t>
      </w:r>
      <w:r>
        <w:rPr>
          <w:rFonts w:ascii="MS PGothic" w:cs="MS PGothic" w:eastAsia="MS PGothic" w:hAnsi="MS PGothic"/>
          <w:sz w:val="17"/>
          <w:szCs w:val="17"/>
          <w:color w:val="auto"/>
        </w:rPr>
        <w:t>☐</w:t>
      </w:r>
    </w:p>
    <w:p>
      <w:pPr>
        <w:spacing w:after="0" w:line="145" w:lineRule="exact"/>
        <w:rPr>
          <w:sz w:val="24"/>
          <w:szCs w:val="24"/>
          <w:color w:val="auto"/>
        </w:rPr>
      </w:pPr>
    </w:p>
    <w:p>
      <w:pPr>
        <w:ind w:right="10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Item 2.02. Results of Operatons and Financial Conditon.</w:t>
      </w:r>
    </w:p>
    <w:p>
      <w:pPr>
        <w:spacing w:after="0" w:line="96" w:lineRule="exact"/>
        <w:rPr>
          <w:sz w:val="20"/>
          <w:szCs w:val="20"/>
          <w:color w:val="auto"/>
        </w:rPr>
      </w:pPr>
    </w:p>
    <w:p>
      <w:pPr>
        <w:ind w:right="160" w:firstLine="445"/>
        <w:spacing w:after="0" w:line="235" w:lineRule="auto"/>
        <w:rPr>
          <w:sz w:val="20"/>
          <w:szCs w:val="20"/>
          <w:color w:val="auto"/>
        </w:rPr>
      </w:pPr>
      <w:r>
        <w:rPr>
          <w:rFonts w:ascii="Calibri" w:cs="Calibri" w:eastAsia="Calibri" w:hAnsi="Calibri"/>
          <w:sz w:val="18"/>
          <w:szCs w:val="18"/>
          <w:color w:val="auto"/>
        </w:rPr>
        <w:t>On May 15, 2024, Hawkins, Inc. issued a press release announcing fnancial results for its fourth quarter and fscal year ended March 31, 2024. A copy of the press release issued by the Registrant is furnished herewith as Exhibit 99.1 hereto and is incorporated herein by reference.</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9.01. Financial Statements and Exhibits.</w:t>
      </w:r>
    </w:p>
    <w:p>
      <w:pPr>
        <w:spacing w:after="0" w:line="104"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 xml:space="preserve">(d) </w:t>
      </w:r>
      <w:r>
        <w:rPr>
          <w:rFonts w:ascii="Calibri" w:cs="Calibri" w:eastAsia="Calibri" w:hAnsi="Calibri"/>
          <w:sz w:val="18"/>
          <w:szCs w:val="18"/>
          <w:u w:val="single" w:color="auto"/>
          <w:color w:val="auto"/>
        </w:rPr>
        <w:t>Exhibits</w:t>
      </w:r>
      <w:r>
        <w:rPr>
          <w:rFonts w:ascii="Calibri" w:cs="Calibri" w:eastAsia="Calibri" w:hAnsi="Calibri"/>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gridSpan w:val="4"/>
          </w:tcPr>
          <w:p>
            <w:pPr>
              <w:ind w:left="20"/>
              <w:spacing w:after="0"/>
              <w:rPr>
                <w:sz w:val="20"/>
                <w:szCs w:val="20"/>
                <w:color w:val="auto"/>
              </w:rPr>
            </w:pPr>
            <w:r>
              <w:rPr>
                <w:rFonts w:ascii="Calibri" w:cs="Calibri" w:eastAsia="Calibri" w:hAnsi="Calibri"/>
                <w:sz w:val="14"/>
                <w:szCs w:val="14"/>
                <w:color w:val="auto"/>
              </w:rPr>
              <w:t>Exhibit No.</w:t>
            </w:r>
          </w:p>
        </w:tc>
        <w:tc>
          <w:tcPr>
            <w:tcW w:w="7640" w:type="dxa"/>
            <w:vAlign w:val="bottom"/>
            <w:gridSpan w:val="2"/>
          </w:tcPr>
          <w:p>
            <w:pPr>
              <w:ind w:left="20"/>
              <w:spacing w:after="0"/>
              <w:rPr>
                <w:sz w:val="20"/>
                <w:szCs w:val="20"/>
                <w:color w:val="auto"/>
              </w:rPr>
            </w:pPr>
            <w:r>
              <w:rPr>
                <w:rFonts w:ascii="Calibri" w:cs="Calibri" w:eastAsia="Calibri" w:hAnsi="Calibri"/>
                <w:sz w:val="14"/>
                <w:szCs w:val="14"/>
                <w:color w:val="auto"/>
              </w:rPr>
              <w:t>Descripton</w:t>
            </w:r>
          </w:p>
        </w:tc>
        <w:tc>
          <w:tcPr>
            <w:tcW w:w="2040" w:type="dxa"/>
            <w:vAlign w:val="bottom"/>
          </w:tcPr>
          <w:p>
            <w:pPr>
              <w:jc w:val="center"/>
              <w:spacing w:after="0"/>
              <w:rPr>
                <w:sz w:val="20"/>
                <w:szCs w:val="20"/>
                <w:color w:val="auto"/>
              </w:rPr>
            </w:pPr>
            <w:r>
              <w:rPr>
                <w:rFonts w:ascii="Calibri" w:cs="Calibri" w:eastAsia="Calibri" w:hAnsi="Calibri"/>
                <w:sz w:val="14"/>
                <w:szCs w:val="14"/>
                <w:color w:val="auto"/>
              </w:rPr>
              <w:t>Method of Filing</w:t>
            </w:r>
          </w:p>
        </w:tc>
      </w:tr>
      <w:tr>
        <w:trPr>
          <w:trHeight w:val="47"/>
        </w:trPr>
        <w:tc>
          <w:tcPr>
            <w:tcW w:w="1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10"/>
        </w:trPr>
        <w:tc>
          <w:tcPr>
            <w:tcW w:w="1420" w:type="dxa"/>
            <w:vAlign w:val="bottom"/>
            <w:gridSpan w:val="3"/>
          </w:tcPr>
          <w:p>
            <w:pPr>
              <w:ind w:left="1100"/>
              <w:spacing w:after="0" w:line="209" w:lineRule="exact"/>
              <w:rPr>
                <w:sz w:val="20"/>
                <w:szCs w:val="20"/>
                <w:color w:val="auto"/>
              </w:rPr>
            </w:pPr>
            <w:r>
              <w:rPr>
                <w:rFonts w:ascii="Calibri" w:cs="Calibri" w:eastAsia="Calibri" w:hAnsi="Calibri"/>
                <w:sz w:val="18"/>
                <w:szCs w:val="18"/>
                <w:color w:val="0000FF"/>
                <w:w w:val="93"/>
              </w:rPr>
              <w:t>99.</w:t>
            </w:r>
            <w:r>
              <w:rPr>
                <w:rFonts w:ascii="Calibri" w:cs="Calibri" w:eastAsia="Calibri" w:hAnsi="Calibri"/>
                <w:sz w:val="18"/>
                <w:szCs w:val="18"/>
                <w:u w:val="single" w:color="auto"/>
                <w:color w:val="0000FF"/>
                <w:w w:val="93"/>
              </w:rPr>
              <w:t>1</w:t>
            </w:r>
          </w:p>
        </w:tc>
        <w:tc>
          <w:tcPr>
            <w:tcW w:w="140" w:type="dxa"/>
            <w:vAlign w:val="bottom"/>
          </w:tcPr>
          <w:p>
            <w:pPr>
              <w:spacing w:after="0"/>
              <w:rPr>
                <w:sz w:val="18"/>
                <w:szCs w:val="18"/>
                <w:color w:val="auto"/>
              </w:rPr>
            </w:pPr>
          </w:p>
        </w:tc>
        <w:tc>
          <w:tcPr>
            <w:tcW w:w="764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Press Release, dated May 15, 2024, announcing fnancial results of Hawkins, Inc. for its fourth quarter</w:t>
            </w:r>
          </w:p>
        </w:tc>
        <w:tc>
          <w:tcPr>
            <w:tcW w:w="204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Filed Electronically</w:t>
            </w:r>
          </w:p>
        </w:tc>
      </w:tr>
      <w:tr>
        <w:trPr>
          <w:trHeight w:val="195"/>
        </w:trPr>
        <w:tc>
          <w:tcPr>
            <w:tcW w:w="110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40" w:type="dxa"/>
            <w:vAlign w:val="bottom"/>
            <w:gridSpan w:val="2"/>
          </w:tcPr>
          <w:p>
            <w:pPr>
              <w:ind w:left="20"/>
              <w:spacing w:after="0" w:line="195" w:lineRule="exact"/>
              <w:rPr>
                <w:sz w:val="20"/>
                <w:szCs w:val="20"/>
                <w:color w:val="auto"/>
              </w:rPr>
            </w:pPr>
            <w:r>
              <w:rPr>
                <w:rFonts w:ascii="Calibri" w:cs="Calibri" w:eastAsia="Calibri" w:hAnsi="Calibri"/>
                <w:sz w:val="18"/>
                <w:szCs w:val="18"/>
                <w:color w:val="auto"/>
              </w:rPr>
              <w:t>and fscal year ended March 31, 2024.</w:t>
            </w:r>
          </w:p>
        </w:tc>
        <w:tc>
          <w:tcPr>
            <w:tcW w:w="2040" w:type="dxa"/>
            <w:vAlign w:val="bottom"/>
          </w:tcPr>
          <w:p>
            <w:pPr>
              <w:spacing w:after="0"/>
              <w:rPr>
                <w:sz w:val="16"/>
                <w:szCs w:val="16"/>
                <w:color w:val="auto"/>
              </w:rPr>
            </w:pPr>
          </w:p>
        </w:tc>
      </w:tr>
      <w:tr>
        <w:trPr>
          <w:trHeight w:val="234"/>
        </w:trPr>
        <w:tc>
          <w:tcPr>
            <w:tcW w:w="1400" w:type="dxa"/>
            <w:vAlign w:val="bottom"/>
            <w:gridSpan w:val="2"/>
          </w:tcPr>
          <w:p>
            <w:pPr>
              <w:ind w:left="1100"/>
              <w:spacing w:after="0"/>
              <w:rPr>
                <w:sz w:val="20"/>
                <w:szCs w:val="20"/>
                <w:color w:val="auto"/>
              </w:rPr>
            </w:pPr>
            <w:r>
              <w:rPr>
                <w:rFonts w:ascii="Calibri" w:cs="Calibri" w:eastAsia="Calibri" w:hAnsi="Calibri"/>
                <w:sz w:val="18"/>
                <w:szCs w:val="18"/>
                <w:color w:val="auto"/>
              </w:rPr>
              <w:t>104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40" w:type="dxa"/>
            <w:vAlign w:val="bottom"/>
            <w:gridSpan w:val="2"/>
          </w:tcPr>
          <w:p>
            <w:pPr>
              <w:ind w:left="20"/>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2040" w:type="dxa"/>
            <w:vAlign w:val="bottom"/>
          </w:tcPr>
          <w:p>
            <w:pPr>
              <w:jc w:val="center"/>
              <w:spacing w:after="0"/>
              <w:rPr>
                <w:sz w:val="20"/>
                <w:szCs w:val="20"/>
                <w:color w:val="auto"/>
              </w:rPr>
            </w:pPr>
            <w:r>
              <w:rPr>
                <w:rFonts w:ascii="Calibri" w:cs="Calibri" w:eastAsia="Calibri" w:hAnsi="Calibri"/>
                <w:sz w:val="18"/>
                <w:szCs w:val="18"/>
                <w:color w:val="auto"/>
                <w:w w:val="96"/>
              </w:rPr>
              <w:t>Filed Electronically</w:t>
            </w:r>
          </w:p>
        </w:tc>
      </w:tr>
      <w:tr>
        <w:trPr>
          <w:trHeight w:val="1246"/>
        </w:trPr>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57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firstLine="445"/>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37" w:lineRule="exact"/>
        <w:rPr>
          <w:sz w:val="20"/>
          <w:szCs w:val="20"/>
          <w:color w:val="auto"/>
        </w:rPr>
      </w:pPr>
    </w:p>
    <w:p>
      <w:pPr>
        <w:ind w:left="4540"/>
        <w:spacing w:after="0"/>
        <w:rPr>
          <w:sz w:val="20"/>
          <w:szCs w:val="20"/>
          <w:color w:val="auto"/>
        </w:rPr>
      </w:pPr>
      <w:r>
        <w:rPr>
          <w:rFonts w:ascii="Calibri" w:cs="Calibri" w:eastAsia="Calibri" w:hAnsi="Calibri"/>
          <w:sz w:val="18"/>
          <w:szCs w:val="18"/>
          <w:color w:val="auto"/>
        </w:rPr>
        <w:t>HAWKINS, INC.</w:t>
      </w:r>
    </w:p>
    <w:p>
      <w:pPr>
        <w:spacing w:after="0" w:line="64" w:lineRule="exact"/>
        <w:rPr>
          <w:sz w:val="20"/>
          <w:szCs w:val="20"/>
          <w:color w:val="auto"/>
        </w:rPr>
      </w:pPr>
    </w:p>
    <w:p>
      <w:pPr>
        <w:ind w:left="60"/>
        <w:spacing w:after="0"/>
        <w:tabs>
          <w:tab w:leader="none" w:pos="4520" w:val="left"/>
          <w:tab w:leader="none" w:pos="7280" w:val="left"/>
        </w:tabs>
        <w:rPr>
          <w:sz w:val="20"/>
          <w:szCs w:val="20"/>
          <w:color w:val="auto"/>
        </w:rPr>
      </w:pPr>
      <w:r>
        <w:rPr>
          <w:rFonts w:ascii="Calibri" w:cs="Calibri" w:eastAsia="Calibri" w:hAnsi="Calibri"/>
          <w:sz w:val="18"/>
          <w:szCs w:val="18"/>
          <w:color w:val="auto"/>
        </w:rPr>
        <w:t>Date: May 15,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Jefrey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900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Calibri" w:cs="Calibri" w:eastAsia="Calibri" w:hAnsi="Calibri"/>
          <w:sz w:val="18"/>
          <w:szCs w:val="18"/>
          <w:color w:val="auto"/>
        </w:rPr>
        <w:t>Jefrey P. Oldenkamp</w:t>
      </w:r>
    </w:p>
    <w:p>
      <w:pPr>
        <w:spacing w:after="0" w:line="23" w:lineRule="exact"/>
        <w:rPr>
          <w:sz w:val="20"/>
          <w:szCs w:val="20"/>
          <w:color w:val="auto"/>
        </w:rPr>
      </w:pPr>
    </w:p>
    <w:p>
      <w:pPr>
        <w:ind w:left="5120"/>
        <w:spacing w:after="0"/>
        <w:rPr>
          <w:sz w:val="20"/>
          <w:szCs w:val="20"/>
          <w:color w:val="auto"/>
        </w:rPr>
      </w:pPr>
      <w:r>
        <w:rPr>
          <w:rFonts w:ascii="Calibri" w:cs="Calibri" w:eastAsia="Calibri" w:hAnsi="Calibri"/>
          <w:sz w:val="18"/>
          <w:szCs w:val="18"/>
          <w:color w:val="auto"/>
        </w:rPr>
        <w:t>Executve Vice President and Chief Financial Ofcer</w:t>
      </w:r>
    </w:p>
    <w:p>
      <w:pPr>
        <w:sectPr>
          <w:pgSz w:w="11900" w:h="16838" w:orient="portrait"/>
          <w:cols w:equalWidth="0" w:num="1">
            <w:col w:w="10680"/>
          </w:cols>
          <w:pgMar w:left="320" w:top="882" w:right="899" w:bottom="1440" w:gutter="0" w:footer="0" w:header="0"/>
        </w:sectPr>
      </w:pPr>
    </w:p>
    <w:bookmarkStart w:id="3" w:name="page4"/>
    <w:bookmarkEnd w:id="3"/>
    <w:p>
      <w:pPr>
        <w:ind w:left="10360"/>
        <w:spacing w:after="0"/>
        <w:rPr>
          <w:sz w:val="20"/>
          <w:szCs w:val="20"/>
          <w:color w:val="auto"/>
        </w:rPr>
      </w:pPr>
      <w:r>
        <w:rPr>
          <w:rFonts w:ascii="Calibri" w:cs="Calibri" w:eastAsia="Calibri" w:hAnsi="Calibri"/>
          <w:sz w:val="18"/>
          <w:szCs w:val="18"/>
          <w:color w:val="auto"/>
        </w:rPr>
        <w:t>Exhibit 99.1</w:t>
      </w:r>
    </w:p>
    <w:p>
      <w:pPr>
        <w:spacing w:after="0" w:line="10"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May 15, 2024</w:t>
      </w:r>
    </w:p>
    <w:p>
      <w:pPr>
        <w:spacing w:after="0" w:line="10"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Hawkins, Inc.</w:t>
      </w:r>
    </w:p>
    <w:p>
      <w:pPr>
        <w:spacing w:after="0" w:line="10"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2381 Rosegate</w:t>
      </w:r>
    </w:p>
    <w:p>
      <w:pPr>
        <w:spacing w:after="0" w:line="10"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Roseville, MN 55113</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Hawkins, Inc. Reports</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Fourth Quarter and Fiscal Year 2024 Results</w:t>
      </w:r>
    </w:p>
    <w:p>
      <w:pPr>
        <w:spacing w:after="0" w:line="24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ROSEVILLE, Minn., May 15, 2024 – Hawkins, Inc. (Nasdaq: HWKN), a leading specialty chemical and ingredients company, today announced fourth quarter and full-year results for its fscal year ended March 31, 2024.</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Fourth Quarter Fiscal Year 2024 Highlights:</w:t>
      </w:r>
    </w:p>
    <w:p>
      <w:pPr>
        <w:spacing w:after="0" w:line="150" w:lineRule="exact"/>
        <w:rPr>
          <w:sz w:val="20"/>
          <w:szCs w:val="20"/>
          <w:color w:val="auto"/>
        </w:rPr>
      </w:pPr>
    </w:p>
    <w:p>
      <w:pPr>
        <w:ind w:left="660" w:right="340" w:hanging="328"/>
        <w:spacing w:after="0" w:line="211" w:lineRule="auto"/>
        <w:tabs>
          <w:tab w:leader="none" w:pos="655" w:val="left"/>
        </w:tabs>
        <w:numPr>
          <w:ilvl w:val="0"/>
          <w:numId w:val="2"/>
        </w:numPr>
        <w:rPr>
          <w:rFonts w:ascii="Arial" w:cs="Arial" w:eastAsia="Arial" w:hAnsi="Arial"/>
          <w:sz w:val="22"/>
          <w:szCs w:val="22"/>
          <w:color w:val="auto"/>
        </w:rPr>
      </w:pPr>
      <w:r>
        <w:rPr>
          <w:rFonts w:ascii="Calibri" w:cs="Calibri" w:eastAsia="Calibri" w:hAnsi="Calibri"/>
          <w:sz w:val="18"/>
          <w:szCs w:val="18"/>
          <w:color w:val="auto"/>
        </w:rPr>
        <w:t>Fourth quarter sales of $223.0 million, down 2% compared to the same quarter in the prior year, with Water Treatment segment sales growth of 21% over the same quarter in the prior year.</w:t>
      </w:r>
    </w:p>
    <w:p>
      <w:pPr>
        <w:ind w:left="660" w:right="600" w:hanging="328"/>
        <w:spacing w:after="0" w:line="213"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Gross proft of $45.5 million, a 27% increase over the same quarter in the prior year, contributng to a 9% increase in operatng income in the quarter.</w:t>
      </w:r>
    </w:p>
    <w:p>
      <w:pPr>
        <w:spacing w:after="0" w:line="3" w:lineRule="exact"/>
        <w:rPr>
          <w:rFonts w:ascii="Calibri" w:cs="Calibri" w:eastAsia="Calibri" w:hAnsi="Calibri"/>
          <w:sz w:val="18"/>
          <w:szCs w:val="18"/>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Calibri" w:cs="Calibri" w:eastAsia="Calibri" w:hAnsi="Calibri"/>
          <w:sz w:val="18"/>
          <w:szCs w:val="18"/>
          <w:color w:val="auto"/>
        </w:rPr>
        <w:t>Record fourth quarter diluted earnings per share (EPS) of $0.66, which was 20% higher than the same period of the prior year.</w:t>
      </w:r>
    </w:p>
    <w:p>
      <w:pPr>
        <w:spacing w:after="0" w:line="41" w:lineRule="exact"/>
        <w:rPr>
          <w:rFonts w:ascii="Arial" w:cs="Arial" w:eastAsia="Arial" w:hAnsi="Arial"/>
          <w:sz w:val="22"/>
          <w:szCs w:val="22"/>
          <w:color w:val="auto"/>
        </w:rPr>
      </w:pPr>
    </w:p>
    <w:p>
      <w:pPr>
        <w:ind w:left="660" w:right="180" w:hanging="328"/>
        <w:spacing w:after="0" w:line="211" w:lineRule="auto"/>
        <w:tabs>
          <w:tab w:leader="none" w:pos="655" w:val="left"/>
        </w:tabs>
        <w:numPr>
          <w:ilvl w:val="0"/>
          <w:numId w:val="2"/>
        </w:numPr>
        <w:rPr>
          <w:rFonts w:ascii="Arial" w:cs="Arial" w:eastAsia="Arial" w:hAnsi="Arial"/>
          <w:sz w:val="22"/>
          <w:szCs w:val="22"/>
          <w:color w:val="auto"/>
        </w:rPr>
      </w:pPr>
      <w:r>
        <w:rPr>
          <w:rFonts w:ascii="Calibri" w:cs="Calibri" w:eastAsia="Calibri" w:hAnsi="Calibri"/>
          <w:sz w:val="18"/>
          <w:szCs w:val="18"/>
          <w:color w:val="auto"/>
        </w:rPr>
        <w:t>Adjusted Earnings Before Interest, Taxes, Depreciaton, and Amortzaton (adjusted EBITDA), a non-GAAP measure, of $31.0 million, a 15% increase over the same period of the prior year.</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Calibri" w:cs="Calibri" w:eastAsia="Calibri" w:hAnsi="Calibri"/>
          <w:sz w:val="18"/>
          <w:szCs w:val="18"/>
          <w:color w:val="auto"/>
        </w:rPr>
        <w:t>Record fourth quarter operatng cash fow of $41.9 million allowed us to pay down $21 million in debt in the quarter.</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Full-Year Fiscal Year 2024 Highlights:</w:t>
      </w:r>
    </w:p>
    <w:p>
      <w:pPr>
        <w:spacing w:after="0" w:line="11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Full year sales of $919.2 million, down 2% compared to the prior fscal year, with Water Treatment up 19% over the prior year.</w:t>
      </w:r>
    </w:p>
    <w:p>
      <w:pPr>
        <w:spacing w:after="0" w:line="23" w:lineRule="exact"/>
        <w:rPr>
          <w:rFonts w:ascii="Arial" w:cs="Arial" w:eastAsia="Arial" w:hAnsi="Arial"/>
          <w:sz w:val="22"/>
          <w:szCs w:val="22"/>
          <w:color w:val="auto"/>
        </w:rPr>
      </w:pPr>
    </w:p>
    <w:p>
      <w:pPr>
        <w:ind w:left="660" w:hanging="328"/>
        <w:spacing w:after="0" w:line="219" w:lineRule="auto"/>
        <w:tabs>
          <w:tab w:leader="none" w:pos="660"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Record gross proft of $193.6 million, a 17% increase over the prior year, contributng to an 18% year-over-year increase in operatng income.</w:t>
      </w:r>
    </w:p>
    <w:p>
      <w:pPr>
        <w:spacing w:after="0" w:line="24" w:lineRule="exact"/>
        <w:rPr>
          <w:rFonts w:ascii="Arial" w:cs="Arial" w:eastAsia="Arial" w:hAnsi="Arial"/>
          <w:sz w:val="22"/>
          <w:szCs w:val="22"/>
          <w:color w:val="auto"/>
        </w:rPr>
      </w:pPr>
    </w:p>
    <w:p>
      <w:pPr>
        <w:ind w:left="660" w:hanging="328"/>
        <w:spacing w:after="0" w:line="219" w:lineRule="auto"/>
        <w:tabs>
          <w:tab w:leader="none" w:pos="660"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Record diluted EPS of $3.59, which was $0.73, or 26%, higher than fscal 2023.</w:t>
      </w:r>
    </w:p>
    <w:p>
      <w:pPr>
        <w:spacing w:after="0" w:line="24" w:lineRule="exact"/>
        <w:rPr>
          <w:rFonts w:ascii="Arial" w:cs="Arial" w:eastAsia="Arial" w:hAnsi="Arial"/>
          <w:sz w:val="22"/>
          <w:szCs w:val="22"/>
          <w:color w:val="auto"/>
        </w:rPr>
      </w:pPr>
    </w:p>
    <w:p>
      <w:pPr>
        <w:ind w:left="660" w:hanging="328"/>
        <w:spacing w:after="0" w:line="219" w:lineRule="auto"/>
        <w:tabs>
          <w:tab w:leader="none" w:pos="660"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Record adjusted EBITDA, a non-GAAP measure, of $143.0 million, an increase of 20% over fscal 2023.</w:t>
      </w:r>
    </w:p>
    <w:p>
      <w:pPr>
        <w:spacing w:after="0" w:line="24" w:lineRule="exact"/>
        <w:rPr>
          <w:rFonts w:ascii="Arial" w:cs="Arial" w:eastAsia="Arial" w:hAnsi="Arial"/>
          <w:sz w:val="22"/>
          <w:szCs w:val="22"/>
          <w:color w:val="auto"/>
        </w:rPr>
      </w:pPr>
    </w:p>
    <w:p>
      <w:pPr>
        <w:ind w:left="660" w:hanging="328"/>
        <w:spacing w:after="0" w:line="219" w:lineRule="auto"/>
        <w:tabs>
          <w:tab w:leader="none" w:pos="660"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Record operatng cash fow of $159.5 million, which was more than double that of fscal 2023.</w:t>
      </w:r>
    </w:p>
    <w:p>
      <w:pPr>
        <w:spacing w:after="0" w:line="41" w:lineRule="exact"/>
        <w:rPr>
          <w:rFonts w:ascii="Arial" w:cs="Arial" w:eastAsia="Arial" w:hAnsi="Arial"/>
          <w:sz w:val="22"/>
          <w:szCs w:val="22"/>
          <w:color w:val="auto"/>
        </w:rPr>
      </w:pPr>
    </w:p>
    <w:p>
      <w:pPr>
        <w:ind w:left="660" w:right="400" w:hanging="328"/>
        <w:spacing w:after="0" w:line="204" w:lineRule="auto"/>
        <w:tabs>
          <w:tab w:leader="none" w:pos="655"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Completed four acquisitons in our Water Treatment segment while paying down our debt, ending the year with net debt of $91.8 million and a leverage rato of 0.66x EBITDA.</w:t>
      </w:r>
    </w:p>
    <w:p>
      <w:pPr>
        <w:spacing w:after="0" w:line="4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Calibri" w:cs="Calibri" w:eastAsia="Calibri" w:hAnsi="Calibri"/>
          <w:sz w:val="17"/>
          <w:szCs w:val="17"/>
          <w:color w:val="auto"/>
        </w:rPr>
        <w:t>Paid cash dividends of $0.63 per share for the year, an increase of 11% over the prior year. This marks the 39</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consecutve year of paying a dividend.</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Executve Commentary – Patrick H. Hawkins, Chief Executve Ofcer and President:</w:t>
      </w:r>
    </w:p>
    <w:p>
      <w:pPr>
        <w:spacing w:after="0" w:line="96" w:lineRule="exact"/>
        <w:rPr>
          <w:sz w:val="20"/>
          <w:szCs w:val="20"/>
          <w:color w:val="auto"/>
        </w:rPr>
      </w:pPr>
    </w:p>
    <w:p>
      <w:pPr>
        <w:ind w:right="60"/>
        <w:spacing w:after="0" w:line="228" w:lineRule="auto"/>
        <w:rPr>
          <w:sz w:val="20"/>
          <w:szCs w:val="20"/>
          <w:color w:val="auto"/>
        </w:rPr>
      </w:pPr>
      <w:r>
        <w:rPr>
          <w:rFonts w:ascii="Calibri" w:cs="Calibri" w:eastAsia="Calibri" w:hAnsi="Calibri"/>
          <w:sz w:val="18"/>
          <w:szCs w:val="18"/>
          <w:color w:val="auto"/>
        </w:rPr>
        <w:t>“We had an excellent fscal 2024. This included record operatng cash fow, and, for the sixth year in a row, record operatng income, net income, diluted EPS, and adjusted EBITDA. This performance provided the necessary capital for us to invest in the business and complete four acquisitons within the year that were fully funded by our cash fow. The cash fow also allowed us to contnue to deliver shareholder value with dividends and share repurchases while paying down our debt resultng in a leverage rato below 1x EBITDA. Cumulatvely, all of these factors have driven our stock appreciaton. This performance is the result of the hard work by our many employees, our innovatve approach to business, as well as our outstanding relatonships with our customers and suppliers, which we never take for granted.”</w:t>
      </w:r>
    </w:p>
    <w:p>
      <w:pPr>
        <w:spacing w:after="0" w:line="246"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Mr. Hawkins, contnued, “Our contnued focus on executng our growth strategy resulted in the completon of four acquisitons in our Water Treatment segment in fscal 2024, adding eight facilites and over 100 employees. The Water Treatment segment's operatng income grew 69% to $53 million in the year, on revenue growth of 19%. Sales in our Industrial segment decreased 13% driven primarily by lower overall volumes as well as the divestture of our consumer bleach packaging business, which we sold at the end of fscal 2023. However, because of our diverse product oferings and disciplined margin management, even with that sales decline, our gross proft in the Industrial segment was relatvely fat year over year. Our Health and Nutriton segment sales decreased from the prior year, and, as antcipated, we did see improved year-over-year sales performance throughout the year, as customers worked through overstocking situatons. In the fourth quarter, revenue for the Health and Nutriton segment grew slightly compared to declines in the previous quarters.”</w:t>
      </w:r>
    </w:p>
    <w:p>
      <w:pPr>
        <w:sectPr>
          <w:pgSz w:w="11900" w:h="16838" w:orient="portrait"/>
          <w:cols w:equalWidth="0" w:num="1">
            <w:col w:w="11240"/>
          </w:cols>
          <w:pgMar w:left="320" w:top="922" w:right="339" w:bottom="1440" w:gutter="0" w:footer="0" w:header="0"/>
        </w:sectPr>
      </w:pPr>
    </w:p>
    <w:bookmarkStart w:id="4" w:name="page5"/>
    <w:bookmarkEnd w:id="4"/>
    <w:p>
      <w:pPr>
        <w:ind w:right="20"/>
        <w:spacing w:after="0" w:line="235" w:lineRule="auto"/>
        <w:rPr>
          <w:sz w:val="20"/>
          <w:szCs w:val="20"/>
          <w:color w:val="auto"/>
        </w:rPr>
      </w:pPr>
      <w:r>
        <w:rPr>
          <w:rFonts w:ascii="Calibri" w:cs="Calibri" w:eastAsia="Calibri" w:hAnsi="Calibri"/>
          <w:sz w:val="18"/>
          <w:szCs w:val="18"/>
          <w:color w:val="auto"/>
        </w:rPr>
        <w:t>Mr. Hawkins contnued, "We are extremely proud of what we accomplished over the past year, and over the past several years. As we look to fscal 2025, we expect to see contnued top and botom-line growth, with our top line approaching $1 billion in revenue and Water Treatment becoming our largest reportng segment. We are cautously optmistc about our Industrial segment, but we believe economic and compettve pressures will contnue to weigh on many of our customers and impact demand. In Health and Nutriton, we expect the improved performance we saw in the later half of fscal 2024 to contnue into fscal 2025, and expect results to be higher than fscal 2024. With the diversity of our businesses and the overall strength of our Company, we believe we will contnue to generate strong operatng cash fow that will allow us to fund future investments for growth while contnuing to pay down debt during fscal year 2025."</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Fourth Quarter and Fiscal Year Financial Highlights: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NET INCOME</w:t>
      </w:r>
    </w:p>
    <w:p>
      <w:pPr>
        <w:spacing w:after="0" w:line="9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For the fourth quarter of fscal 2024, the Company reported net income of $13.8 million, or $0.66 per diluted share, compared to net income for the fourth quarter of fscal 2023 of $11.6 million, or $0.55 per diluted share.</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For the full year, the Company reported record net income of $75.4 million, or $3.59 per diluted share, compared to net income for fscal 2023 of $60.0 million, or $2.86 per diluted share.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w:t>
      </w:r>
    </w:p>
    <w:p>
      <w:pPr>
        <w:spacing w:after="0" w:line="100"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 xml:space="preserve">For the fourth quarter of fscal 2024, sales were $223.0 million, a </w:t>
      </w:r>
      <w:r>
        <w:rPr>
          <w:rFonts w:ascii="Times New Roman" w:cs="Times New Roman" w:eastAsia="Times New Roman" w:hAnsi="Times New Roman"/>
          <w:sz w:val="17"/>
          <w:szCs w:val="17"/>
          <w:color w:val="auto"/>
        </w:rPr>
        <w:t>decrease</w:t>
      </w:r>
      <w:r>
        <w:rPr>
          <w:rFonts w:ascii="Calibri" w:cs="Calibri" w:eastAsia="Calibri" w:hAnsi="Calibri"/>
          <w:sz w:val="17"/>
          <w:szCs w:val="17"/>
          <w:color w:val="auto"/>
        </w:rPr>
        <w:t xml:space="preserve"> of $5.1 million, or 2%, from sales of $228.1 million a year ago. Increased sales in our Water Treatment segment were more than ofset by decreased sales in our Industrial segment. Industrial segment sales decreased $20.6 million, or 18%, to $97.1 million for the fourth quarter, as compared to $117.7 million for the same period a year ago. The sale of our consumer bleach packaging business at the end of fscal 2023 resulted in $3.0 million lower sales in the current quarter. In additon, sales declined due to lower selling prices on certain products driven by lower raw material costs and compettve pricing as well as lower volumes. Water Treatment segment sales increased $15.3 million, or 21%, to $86.7 million for the fourth quarter, as compared to $71.4 million for the same period a year ago. Sales increased primarily as a result of $14.1 million of added sales from acquired businesses. Health and Nutriton segment sales increased $0.2 million to $39.3 million for the fourth quarter, as compared to $39.1 million for the same period a year ago. Increased sales of our distributed products were virtually ofset by a decrease in sales of our manufactured products.</w:t>
      </w:r>
    </w:p>
    <w:p>
      <w:pPr>
        <w:spacing w:after="0" w:line="98" w:lineRule="exact"/>
        <w:rPr>
          <w:sz w:val="20"/>
          <w:szCs w:val="20"/>
          <w:color w:val="auto"/>
        </w:rPr>
      </w:pPr>
    </w:p>
    <w:p>
      <w:pPr>
        <w:ind w:right="20"/>
        <w:spacing w:after="0" w:line="220" w:lineRule="auto"/>
        <w:rPr>
          <w:sz w:val="20"/>
          <w:szCs w:val="20"/>
          <w:color w:val="auto"/>
        </w:rPr>
      </w:pPr>
      <w:r>
        <w:rPr>
          <w:rFonts w:ascii="Calibri" w:cs="Calibri" w:eastAsia="Calibri" w:hAnsi="Calibri"/>
          <w:sz w:val="18"/>
          <w:szCs w:val="18"/>
          <w:color w:val="auto"/>
        </w:rPr>
        <w:t>For fscal 2024, Industrial segment sales were $409.5 million, a decrease of 13% from fscal 2023 sales of $470.8 million. Water Treatment segment sales were $363.3 million for the year, an increase of 19% over last year’s sales of $304.9 million; of the $58.4 million increase, $23.9 million was from our acquired businesses in fscal 2024. Sales for our Health and Nutriton segment were $146.4 million in fscal 2024, a decrease of 8%, from fscal 2023 sales of $159.4 million.</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GROSS PROFIT</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Company-wide gross proft for fscal 2024 increased $28.5 million, or 17%, to $193.6 million, or 21% of sales, from $165.1 million, or 18% of sales, for fscal 2023. During fscal 2024, the LIFO reserve decreased, and gross profts increased, by $15.4 million, primarily due to decreased raw material costs. During fscal 2023, the LIFO reserve increased, and gross profts decreased, by $18.5 million, primarily due to rising raw material costs. Included as a reducton to gross proft in the current year was a $7.7 million charge to operatng expense for an environmental liability related to perchlorinated biphenyls (PCBs) discovered in the soil at our Rosemount, MN facility, with such expense refected in our Industrial segment. While the source of the PCBs is unknown, we have never brought PCBs onto the property or used PCBs on the site.</w:t>
      </w:r>
    </w:p>
    <w:p>
      <w:pPr>
        <w:spacing w:after="0" w:line="11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Gross proft for the Industrial segment decreased $0.6 million, or 1%, to $67.5 million, or 16% of sales, for fscal 2024, from $68.1 million, or 14% of sales, for fscal 2023. During fscal 2024 the LIFO reserve decreased, and gross profts increased, by $12.1 million, primarily due to decreased raw material costs. During fscal 2023, the LIFO reserve increased, and gross profts decreased, by $12.3 million, primarily due to rising raw material costs.</w:t>
      </w:r>
    </w:p>
    <w:p>
      <w:pPr>
        <w:spacing w:after="0" w:line="111" w:lineRule="exact"/>
        <w:rPr>
          <w:sz w:val="20"/>
          <w:szCs w:val="20"/>
          <w:color w:val="auto"/>
        </w:rPr>
      </w:pPr>
    </w:p>
    <w:p>
      <w:pPr>
        <w:ind w:right="100"/>
        <w:spacing w:after="0" w:line="252" w:lineRule="auto"/>
        <w:rPr>
          <w:sz w:val="20"/>
          <w:szCs w:val="20"/>
          <w:color w:val="auto"/>
        </w:rPr>
      </w:pPr>
      <w:r>
        <w:rPr>
          <w:rFonts w:ascii="Calibri" w:cs="Calibri" w:eastAsia="Calibri" w:hAnsi="Calibri"/>
          <w:sz w:val="17"/>
          <w:szCs w:val="17"/>
          <w:color w:val="auto"/>
        </w:rPr>
        <w:t>Gross proft for the Water Treatment segment increased $31.3 million, or 47%, to $98.5 million, or 27% of sales, for fscal 2024, from $67.2 million, or 22% of sales, for fscal 2023. During fscal 2024, the LIFO reserve decreased, and gross profts increased, by $3.3 million, primarily due to decreased raw material costs. During fscal 2023, the LIFO reserve increased, and gross proft decreased, by $6.2 million, primarily due to rising raw material costs. Gross proft increased as a result of improved per-unit margins on many of our products as well as increased sales, including the added sales from acquired businesses.</w:t>
      </w:r>
    </w:p>
    <w:p>
      <w:pPr>
        <w:spacing w:after="0" w:line="87" w:lineRule="exact"/>
        <w:rPr>
          <w:sz w:val="20"/>
          <w:szCs w:val="20"/>
          <w:color w:val="auto"/>
        </w:rPr>
      </w:pPr>
    </w:p>
    <w:p>
      <w:pPr>
        <w:ind w:right="160"/>
        <w:spacing w:after="0" w:line="227" w:lineRule="auto"/>
        <w:rPr>
          <w:sz w:val="20"/>
          <w:szCs w:val="20"/>
          <w:color w:val="auto"/>
        </w:rPr>
      </w:pPr>
      <w:r>
        <w:rPr>
          <w:rFonts w:ascii="Calibri" w:cs="Calibri" w:eastAsia="Calibri" w:hAnsi="Calibri"/>
          <w:sz w:val="18"/>
          <w:szCs w:val="18"/>
          <w:color w:val="auto"/>
        </w:rPr>
        <w:t>Gross proft for the Health and Nutriton segment decreased $2.2 million, or 7%, to $27.6 million, or 19% of sales, for fscal 2024, from $29.8 million, or 19% of sales, for fscal 2023. Gross proft decreased due to lower sales.</w:t>
      </w:r>
    </w:p>
    <w:p>
      <w:pPr>
        <w:sectPr>
          <w:pgSz w:w="11900" w:h="16838" w:orient="portrait"/>
          <w:cols w:equalWidth="0" w:num="1">
            <w:col w:w="11240"/>
          </w:cols>
          <w:pgMar w:left="320" w:top="1130"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t>SELLING, GENERAL AND ADMINISTRATIVE EXPENSES</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Selling, general and administratve ("SG&amp;A") expenses increased $12.6 million, or 16%, to $89.6 million, or 10% of sales, for fscal 2024 from $77.0 million, or 8% of sales, for fscal 2023. Included in SG&amp;A expenses for the prior year was a gain of approximately $3.0 million related to the sale of certain assets related to our consumer bleach packaging business. In additon, a year-over-year increase in compensaton expense of $1.4 million related to our non-qualifed deferred compensaton plan reduced SG&amp;A expenses, with the ofset in Other Expense. Additonally, expenses increased due to the added costs from the acquired businesses in our Water Treatment segment of $5.8 million, including $1.8 million of amortzaton of intangibles, as well as increased variable expenses, most notably variable pay.</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ADJUSTED EBITDA</w:t>
      </w:r>
    </w:p>
    <w:p>
      <w:pPr>
        <w:spacing w:after="0" w:line="10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Adjusted EBITDA, a non-GAAP fnancial measure, is an important performance indicator and a key compliance measure under the terms of our credit agreement. An explanaton of the computaton of adjusted EBITDA is presented below. Adjusted EBITDA for the three months ended March 31, 2024, was $31.0 million, an increase of $4.0 million, or 15%, from adjusted EBITDA of $27.0 million for the same period in the prior year. Full-year adjusted EBITDA was $143.0 million, an increase of $23.9 million, or 20%, from adjusted EBITDA of $119.1 million for fscal 2023. The increase was due to the impact of improved gross profts discussed above.</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TAXES</w:t>
      </w:r>
    </w:p>
    <w:p>
      <w:pPr>
        <w:spacing w:after="0" w:line="109"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Our efectve tax rate was approximately 26% for fscal 2024 and 27% for fscal 2023. The efectve tax rate is impacted by projected levels of annual taxable income, permanent items, and state taxes. The current year decrease in the efectve tax rate was primarily driven by favorable tax provision adjustments recorded.</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BALANCE SHEET</w:t>
      </w:r>
    </w:p>
    <w:p>
      <w:pPr>
        <w:spacing w:after="0" w:line="96"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At the end of fscal 2024, our working capital was $42 million lower than the end of fscal 2023 due to favorable cash collectons on accounts receivable and disciplined management of our inventory levels. For the year, our record operatng cash fow of $159 million was used to fund $83 million in acquisiton spending for the acquisitons of EcoTech, Water Solutons, Miami Products and Industrial Research, capital spending of $40 million, dividend payments of $13 million, stock repurchases of $11 million, and net debt repayments of $13 million. Our total debt outstanding at the end of fscal 2024 was $99 million and our leverage rato was 0.66 tmes our trailing twelve-month proforma adjusted EBITDA, as compared to 0.96x at the end of fscal 2023.</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About Hawkins, Inc.</w:t>
      </w:r>
    </w:p>
    <w:p>
      <w:pPr>
        <w:spacing w:after="0" w:line="109"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Hawkins, Inc. was founded in 1938 and is a leading specialty chemical and ingredients company that formulates, distributes, blends and manufactures products for its Industrial, Water Treatment, and Health &amp; Nutriton customers. Headquartered in Roseville, Minnesota, the Company has 59 facilites in 26 states and creates value for its customers through superb customer service and support, quality products and personalized applicatons. Hawkins, Inc. generated $919 million of revenue in fscal 2024 and has approximately 950 employees. For more informaton, including registering to receive email alerts, please visit www.hawkinsinc.com/investors.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Reconciliaton of Non-GAAP Financial Measures</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report our consolidated fnancial results in accordance with U.S. generally accepted accountng principles (GAAP). To assist investors in understanding our fnancial performance between periods, we have provided certain fnancial measures not computed according to GAAP, including adjusted EBITDA. This non-GAAP fnancial measure is not meant to be considered in isolaton or as a substtute for comparable GAAP measures. The method we use to produce non-GAAP results is not computed according to GAAP and may difer from the methods used by other companies.</w:t>
      </w:r>
    </w:p>
    <w:p>
      <w:pPr>
        <w:spacing w:after="0" w:line="17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Management uses this non-GAAP fnancial measure internally to understand, manage and evaluate our business and to make operatng decisions. Management believes that this non-GAAP fnancial measure refects an additonal way of viewing aspects of our operatons that, when viewed with our GAAP results, provides a more complete understanding of the factors and trends afectng our fnancial conditon and results of operatons.</w:t>
      </w:r>
    </w:p>
    <w:p>
      <w:pPr>
        <w:sectPr>
          <w:pgSz w:w="11900" w:h="16838" w:orient="portrait"/>
          <w:cols w:equalWidth="0" w:num="1">
            <w:col w:w="11220"/>
          </w:cols>
          <w:pgMar w:left="320" w:top="868" w:right="359" w:bottom="1440" w:gutter="0" w:footer="0" w:header="0"/>
        </w:sectPr>
      </w:pPr>
    </w:p>
    <w:bookmarkStart w:id="6" w:name="page7"/>
    <w:bookmarkEnd w:id="6"/>
    <w:p>
      <w:pPr>
        <w:spacing w:after="0" w:line="235" w:lineRule="auto"/>
        <w:rPr>
          <w:sz w:val="20"/>
          <w:szCs w:val="20"/>
          <w:color w:val="auto"/>
        </w:rPr>
      </w:pPr>
      <w:r>
        <w:rPr>
          <w:rFonts w:ascii="Calibri" w:cs="Calibri" w:eastAsia="Calibri" w:hAnsi="Calibri"/>
          <w:sz w:val="18"/>
          <w:szCs w:val="18"/>
          <w:color w:val="auto"/>
        </w:rPr>
        <w:t>We defne adjusted EBITDA as GAAP net income adjusted for the impact of the following: net interest expense resultng from our net borrowing positon; income tax expense; non-cash expenses including amortzaton of intangibles, depreciaton, and charges for the employee stock purchase plan and restricted stock grants; and non-recurring items of income or expense, if applicable.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shd w:val="clear" w:color="auto" w:fill="CCEEFF"/>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180" w:type="dxa"/>
            <w:vAlign w:val="bottom"/>
            <w:shd w:val="clear" w:color="auto" w:fill="CCEEFF"/>
          </w:tcPr>
          <w:p>
            <w:pPr>
              <w:spacing w:after="0"/>
              <w:rPr>
                <w:sz w:val="19"/>
                <w:szCs w:val="19"/>
                <w:color w:val="auto"/>
              </w:rPr>
            </w:pPr>
          </w:p>
        </w:tc>
        <w:tc>
          <w:tcPr>
            <w:tcW w:w="3360" w:type="dxa"/>
            <w:vAlign w:val="bottom"/>
            <w:gridSpan w:val="5"/>
            <w:shd w:val="clear" w:color="auto" w:fill="CCEEFF"/>
          </w:tcPr>
          <w:p>
            <w:pPr>
              <w:ind w:left="760"/>
              <w:spacing w:after="0"/>
              <w:rPr>
                <w:sz w:val="20"/>
                <w:szCs w:val="20"/>
                <w:color w:val="auto"/>
              </w:rPr>
            </w:pPr>
            <w:r>
              <w:rPr>
                <w:rFonts w:ascii="Calibri" w:cs="Calibri" w:eastAsia="Calibri" w:hAnsi="Calibri"/>
                <w:sz w:val="18"/>
                <w:szCs w:val="18"/>
                <w:b w:val="1"/>
                <w:bCs w:val="1"/>
                <w:color w:val="auto"/>
              </w:rPr>
              <w:t>Three Months Ended</w:t>
            </w:r>
          </w:p>
        </w:tc>
        <w:tc>
          <w:tcPr>
            <w:tcW w:w="180" w:type="dxa"/>
            <w:vAlign w:val="bottom"/>
            <w:shd w:val="clear" w:color="auto" w:fill="CCEEFF"/>
          </w:tcPr>
          <w:p>
            <w:pPr>
              <w:spacing w:after="0"/>
              <w:rPr>
                <w:sz w:val="19"/>
                <w:szCs w:val="19"/>
                <w:color w:val="auto"/>
              </w:rPr>
            </w:pPr>
          </w:p>
        </w:tc>
        <w:tc>
          <w:tcPr>
            <w:tcW w:w="3240" w:type="dxa"/>
            <w:vAlign w:val="bottom"/>
            <w:gridSpan w:val="4"/>
            <w:shd w:val="clear" w:color="auto" w:fill="CCEEFF"/>
          </w:tcPr>
          <w:p>
            <w:pPr>
              <w:jc w:val="right"/>
              <w:ind w:right="990"/>
              <w:spacing w:after="0"/>
              <w:rPr>
                <w:sz w:val="20"/>
                <w:szCs w:val="20"/>
                <w:color w:val="auto"/>
              </w:rPr>
            </w:pPr>
            <w:r>
              <w:rPr>
                <w:rFonts w:ascii="Calibri" w:cs="Calibri" w:eastAsia="Calibri" w:hAnsi="Calibri"/>
                <w:sz w:val="18"/>
                <w:szCs w:val="18"/>
                <w:b w:val="1"/>
                <w:bCs w:val="1"/>
                <w:color w:val="auto"/>
              </w:rPr>
              <w:t>Fiscal Year Ended</w:t>
            </w:r>
          </w:p>
        </w:tc>
      </w:tr>
      <w:tr>
        <w:trPr>
          <w:trHeight w:val="216"/>
        </w:trPr>
        <w:tc>
          <w:tcPr>
            <w:tcW w:w="4040" w:type="dxa"/>
            <w:vAlign w:val="bottom"/>
          </w:tcPr>
          <w:p>
            <w:pPr>
              <w:ind w:left="20"/>
              <w:spacing w:after="0" w:line="199" w:lineRule="exact"/>
              <w:rPr>
                <w:sz w:val="20"/>
                <w:szCs w:val="20"/>
                <w:color w:val="auto"/>
              </w:rPr>
            </w:pPr>
            <w:r>
              <w:rPr>
                <w:rFonts w:ascii="Calibri" w:cs="Calibri" w:eastAsia="Calibri" w:hAnsi="Calibri"/>
                <w:sz w:val="18"/>
                <w:szCs w:val="18"/>
                <w:color w:val="auto"/>
              </w:rPr>
              <w:t>(In thousands)</w:t>
            </w: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80"/>
              <w:spacing w:after="0" w:line="215" w:lineRule="exact"/>
              <w:rPr>
                <w:sz w:val="20"/>
                <w:szCs w:val="20"/>
                <w:color w:val="auto"/>
              </w:rPr>
            </w:pPr>
            <w:r>
              <w:rPr>
                <w:rFonts w:ascii="Calibri" w:cs="Calibri" w:eastAsia="Calibri" w:hAnsi="Calibri"/>
                <w:sz w:val="18"/>
                <w:szCs w:val="18"/>
                <w:b w:val="1"/>
                <w:bCs w:val="1"/>
                <w:color w:val="auto"/>
              </w:rPr>
              <w:t>March 31, 2024</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50"/>
              <w:spacing w:after="0" w:line="215" w:lineRule="exact"/>
              <w:rPr>
                <w:sz w:val="20"/>
                <w:szCs w:val="20"/>
                <w:color w:val="auto"/>
              </w:rPr>
            </w:pPr>
            <w:r>
              <w:rPr>
                <w:rFonts w:ascii="Calibri" w:cs="Calibri" w:eastAsia="Calibri" w:hAnsi="Calibri"/>
                <w:sz w:val="18"/>
                <w:szCs w:val="18"/>
                <w:b w:val="1"/>
                <w:bCs w:val="1"/>
                <w:color w:val="auto"/>
              </w:rPr>
              <w:t>April 2, 2023</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80"/>
              <w:spacing w:after="0" w:line="215" w:lineRule="exact"/>
              <w:rPr>
                <w:sz w:val="20"/>
                <w:szCs w:val="20"/>
                <w:color w:val="auto"/>
              </w:rPr>
            </w:pPr>
            <w:r>
              <w:rPr>
                <w:rFonts w:ascii="Calibri" w:cs="Calibri" w:eastAsia="Calibri" w:hAnsi="Calibri"/>
                <w:sz w:val="18"/>
                <w:szCs w:val="18"/>
                <w:b w:val="1"/>
                <w:bCs w:val="1"/>
                <w:color w:val="auto"/>
              </w:rPr>
              <w:t>March 31, 2024</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70"/>
              <w:spacing w:after="0" w:line="215" w:lineRule="exact"/>
              <w:rPr>
                <w:sz w:val="20"/>
                <w:szCs w:val="20"/>
                <w:color w:val="auto"/>
              </w:rPr>
            </w:pPr>
            <w:r>
              <w:rPr>
                <w:rFonts w:ascii="Calibri" w:cs="Calibri" w:eastAsia="Calibri" w:hAnsi="Calibri"/>
                <w:sz w:val="18"/>
                <w:szCs w:val="18"/>
                <w:b w:val="1"/>
                <w:bCs w:val="1"/>
                <w:color w:val="auto"/>
              </w:rPr>
              <w:t>April 2, 2023</w:t>
            </w:r>
          </w:p>
        </w:tc>
      </w:tr>
      <w:tr>
        <w:trPr>
          <w:trHeight w:val="230"/>
        </w:trPr>
        <w:tc>
          <w:tcPr>
            <w:tcW w:w="404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b w:val="1"/>
                <w:bCs w:val="1"/>
                <w:color w:val="auto"/>
              </w:rPr>
              <w:t>Net income (GAAP)</w:t>
            </w:r>
          </w:p>
        </w:tc>
        <w:tc>
          <w:tcPr>
            <w:tcW w:w="1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13,832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11,613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75,363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60,041</w:t>
            </w:r>
          </w:p>
        </w:tc>
      </w:tr>
      <w:tr>
        <w:trPr>
          <w:trHeight w:val="222"/>
        </w:trPr>
        <w:tc>
          <w:tcPr>
            <w:tcW w:w="4040" w:type="dxa"/>
            <w:vAlign w:val="bottom"/>
          </w:tcPr>
          <w:p>
            <w:pPr>
              <w:ind w:left="140"/>
              <w:spacing w:after="0" w:line="215" w:lineRule="exact"/>
              <w:rPr>
                <w:sz w:val="20"/>
                <w:szCs w:val="20"/>
                <w:color w:val="auto"/>
              </w:rPr>
            </w:pPr>
            <w:r>
              <w:rPr>
                <w:rFonts w:ascii="Calibri" w:cs="Calibri" w:eastAsia="Calibri" w:hAnsi="Calibri"/>
                <w:sz w:val="18"/>
                <w:szCs w:val="18"/>
                <w:color w:val="auto"/>
              </w:rPr>
              <w:t>Interest expense</w:t>
            </w: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1,249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1,376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4,282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5,234</w:t>
            </w:r>
          </w:p>
        </w:tc>
      </w:tr>
      <w:tr>
        <w:trPr>
          <w:trHeight w:val="237"/>
        </w:trPr>
        <w:tc>
          <w:tcPr>
            <w:tcW w:w="40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Income tax expense</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5,493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5,904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25,782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22,541</w:t>
            </w:r>
          </w:p>
        </w:tc>
      </w:tr>
      <w:tr>
        <w:trPr>
          <w:trHeight w:val="222"/>
        </w:trPr>
        <w:tc>
          <w:tcPr>
            <w:tcW w:w="4040" w:type="dxa"/>
            <w:vAlign w:val="bottom"/>
          </w:tcPr>
          <w:p>
            <w:pPr>
              <w:ind w:left="140"/>
              <w:spacing w:after="0" w:line="215" w:lineRule="exact"/>
              <w:rPr>
                <w:sz w:val="20"/>
                <w:szCs w:val="20"/>
                <w:color w:val="auto"/>
              </w:rPr>
            </w:pPr>
            <w:r>
              <w:rPr>
                <w:rFonts w:ascii="Calibri" w:cs="Calibri" w:eastAsia="Calibri" w:hAnsi="Calibri"/>
                <w:sz w:val="18"/>
                <w:szCs w:val="18"/>
                <w:color w:val="auto"/>
              </w:rPr>
              <w:t>Amortzaton of intangibles</w:t>
            </w: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2,753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1,677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8,539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6,924</w:t>
            </w:r>
          </w:p>
        </w:tc>
      </w:tr>
      <w:tr>
        <w:trPr>
          <w:trHeight w:val="237"/>
        </w:trPr>
        <w:tc>
          <w:tcPr>
            <w:tcW w:w="40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Depreciaton expense</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6,201</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5,390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23,264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20,516</w:t>
            </w:r>
          </w:p>
        </w:tc>
      </w:tr>
      <w:tr>
        <w:trPr>
          <w:trHeight w:val="222"/>
        </w:trPr>
        <w:tc>
          <w:tcPr>
            <w:tcW w:w="4040" w:type="dxa"/>
            <w:vAlign w:val="bottom"/>
          </w:tcPr>
          <w:p>
            <w:pPr>
              <w:ind w:left="140"/>
              <w:spacing w:after="0" w:line="215" w:lineRule="exact"/>
              <w:rPr>
                <w:sz w:val="20"/>
                <w:szCs w:val="20"/>
                <w:color w:val="auto"/>
              </w:rPr>
            </w:pPr>
            <w:r>
              <w:rPr>
                <w:rFonts w:ascii="Calibri" w:cs="Calibri" w:eastAsia="Calibri" w:hAnsi="Calibri"/>
                <w:sz w:val="18"/>
                <w:szCs w:val="18"/>
                <w:color w:val="auto"/>
              </w:rPr>
              <w:t>Non-cash compensaton expense</w:t>
            </w: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1,374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1,061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4,880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3,825</w:t>
            </w:r>
          </w:p>
        </w:tc>
      </w:tr>
      <w:tr>
        <w:trPr>
          <w:trHeight w:val="230"/>
        </w:trPr>
        <w:tc>
          <w:tcPr>
            <w:tcW w:w="404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Non-recurring acquisiton expense</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85</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917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4040" w:type="dxa"/>
            <w:vAlign w:val="bottom"/>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30,987</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27,021</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143,027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119,081</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40"/>
          </w:cols>
          <w:pgMar w:left="320" w:top="887" w:right="439" w:bottom="1440" w:gutter="0" w:footer="0" w:header="0"/>
        </w:sectPr>
      </w:pPr>
    </w:p>
    <w:bookmarkStart w:id="7" w:name="page8"/>
    <w:bookmarkEnd w:id="7"/>
    <w:p>
      <w:pPr>
        <w:spacing w:after="0" w:line="104"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HAWKINS, INC.</w:t>
      </w:r>
    </w:p>
    <w:p>
      <w:pPr>
        <w:spacing w:after="0" w:line="1"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b w:val="1"/>
          <w:bCs w:val="1"/>
          <w:color w:val="auto"/>
        </w:rPr>
        <w:t>CONSOLIDATED STATEMENTS OF INCOME (UNAUDITED)</w:t>
      </w:r>
    </w:p>
    <w:p>
      <w:pPr>
        <w:spacing w:after="0" w:line="4"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(In thousands, except share and per-share data)</w:t>
      </w:r>
    </w:p>
    <w:p>
      <w:pPr>
        <w:sectPr>
          <w:pgSz w:w="11900" w:h="16838" w:orient="portrait"/>
          <w:cols w:equalWidth="0" w:num="1">
            <w:col w:w="11180"/>
          </w:cols>
          <w:pgMar w:left="360" w:top="1440" w:right="359" w:bottom="1440" w:gutter="0" w:footer="0" w:header="0"/>
        </w:sectPr>
      </w:pPr>
    </w:p>
    <w:p>
      <w:pPr>
        <w:spacing w:after="0" w:line="35" w:lineRule="exact"/>
        <w:rPr>
          <w:sz w:val="20"/>
          <w:szCs w:val="20"/>
          <w:color w:val="auto"/>
        </w:rPr>
      </w:pPr>
    </w:p>
    <w:p>
      <w:pPr>
        <w:ind w:left="6340"/>
        <w:spacing w:after="0"/>
        <w:rPr>
          <w:sz w:val="20"/>
          <w:szCs w:val="20"/>
          <w:color w:val="auto"/>
        </w:rPr>
      </w:pPr>
      <w:r>
        <w:rPr>
          <w:rFonts w:ascii="Calibri" w:cs="Calibri" w:eastAsia="Calibri" w:hAnsi="Calibri"/>
          <w:sz w:val="14"/>
          <w:szCs w:val="14"/>
          <w:b w:val="1"/>
          <w:bCs w:val="1"/>
          <w:color w:val="auto"/>
        </w:rPr>
        <w:t>Three Months Ended</w:t>
      </w:r>
    </w:p>
    <w:p>
      <w:pPr>
        <w:spacing w:after="0" w:line="45" w:lineRule="exact"/>
        <w:rPr>
          <w:sz w:val="20"/>
          <w:szCs w:val="20"/>
          <w:color w:val="auto"/>
        </w:rPr>
      </w:pPr>
    </w:p>
    <w:p>
      <w:pPr>
        <w:ind w:left="5800"/>
        <w:spacing w:after="0"/>
        <w:tabs>
          <w:tab w:leader="none" w:pos="7280" w:val="left"/>
        </w:tabs>
        <w:rPr>
          <w:sz w:val="20"/>
          <w:szCs w:val="20"/>
          <w:color w:val="auto"/>
        </w:rPr>
      </w:pPr>
      <w:r>
        <w:rPr>
          <w:rFonts w:ascii="Calibri" w:cs="Calibri" w:eastAsia="Calibri" w:hAnsi="Calibri"/>
          <w:sz w:val="14"/>
          <w:szCs w:val="14"/>
          <w:b w:val="1"/>
          <w:bCs w:val="1"/>
          <w:color w:val="auto"/>
        </w:rPr>
        <w:t>March 31, 2024</w:t>
      </w:r>
      <w:r>
        <w:rPr>
          <w:sz w:val="20"/>
          <w:szCs w:val="20"/>
          <w:color w:val="auto"/>
        </w:rPr>
        <w:tab/>
      </w:r>
      <w:r>
        <w:rPr>
          <w:rFonts w:ascii="Calibri" w:cs="Calibri" w:eastAsia="Calibri" w:hAnsi="Calibri"/>
          <w:sz w:val="14"/>
          <w:szCs w:val="14"/>
          <w:b w:val="1"/>
          <w:bCs w:val="1"/>
          <w:color w:val="auto"/>
        </w:rPr>
        <w:t>April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-106680</wp:posOffset>
            </wp:positionV>
            <wp:extent cx="1731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680"/>
        <w:spacing w:after="0"/>
        <w:rPr>
          <w:sz w:val="20"/>
          <w:szCs w:val="20"/>
          <w:color w:val="auto"/>
        </w:rPr>
      </w:pPr>
      <w:r>
        <w:rPr>
          <w:rFonts w:ascii="Calibri" w:cs="Calibri" w:eastAsia="Calibri" w:hAnsi="Calibri"/>
          <w:sz w:val="14"/>
          <w:szCs w:val="14"/>
          <w:b w:val="1"/>
          <w:bCs w:val="1"/>
          <w:color w:val="auto"/>
        </w:rPr>
        <w:t>Fiscal Year Ended</w:t>
      </w:r>
    </w:p>
    <w:p>
      <w:pPr>
        <w:spacing w:after="0" w:line="45" w:lineRule="exact"/>
        <w:rPr>
          <w:sz w:val="20"/>
          <w:szCs w:val="20"/>
          <w:color w:val="auto"/>
        </w:rPr>
      </w:pPr>
    </w:p>
    <w:p>
      <w:pPr>
        <w:spacing w:after="0"/>
        <w:tabs>
          <w:tab w:leader="none" w:pos="1500" w:val="left"/>
        </w:tabs>
        <w:rPr>
          <w:sz w:val="20"/>
          <w:szCs w:val="20"/>
          <w:color w:val="auto"/>
        </w:rPr>
      </w:pPr>
      <w:r>
        <w:rPr>
          <w:rFonts w:ascii="Calibri" w:cs="Calibri" w:eastAsia="Calibri" w:hAnsi="Calibri"/>
          <w:sz w:val="14"/>
          <w:szCs w:val="14"/>
          <w:b w:val="1"/>
          <w:bCs w:val="1"/>
          <w:color w:val="auto"/>
        </w:rPr>
        <w:t>March 31, 2024</w:t>
      </w:r>
      <w:r>
        <w:rPr>
          <w:sz w:val="20"/>
          <w:szCs w:val="20"/>
          <w:color w:val="auto"/>
        </w:rPr>
        <w:tab/>
      </w:r>
      <w:r>
        <w:rPr>
          <w:rFonts w:ascii="Calibri" w:cs="Calibri" w:eastAsia="Calibri" w:hAnsi="Calibri"/>
          <w:sz w:val="14"/>
          <w:szCs w:val="14"/>
          <w:b w:val="1"/>
          <w:bCs w:val="1"/>
          <w:color w:val="auto"/>
        </w:rPr>
        <w:t>April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-106680</wp:posOffset>
            </wp:positionV>
            <wp:extent cx="1748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8040" w:space="580"/>
            <w:col w:w="2560"/>
          </w:cols>
          <w:pgMar w:left="36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6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gridSpan w:val="3"/>
            <w:shd w:val="clear" w:color="auto" w:fill="CCEEFF"/>
          </w:tcPr>
          <w:p>
            <w:pPr>
              <w:jc w:val="right"/>
              <w:spacing w:after="0"/>
              <w:rPr>
                <w:sz w:val="20"/>
                <w:szCs w:val="20"/>
                <w:color w:val="auto"/>
              </w:rPr>
            </w:pPr>
            <w:r>
              <w:rPr>
                <w:rFonts w:ascii="Calibri" w:cs="Calibri" w:eastAsia="Calibri" w:hAnsi="Calibri"/>
                <w:sz w:val="18"/>
                <w:szCs w:val="18"/>
                <w:color w:val="auto"/>
              </w:rPr>
              <w:t>(unaudited)</w:t>
            </w: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22"/>
        </w:trPr>
        <w:tc>
          <w:tcPr>
            <w:tcW w:w="5600" w:type="dxa"/>
            <w:vAlign w:val="bottom"/>
          </w:tcPr>
          <w:p>
            <w:pPr>
              <w:spacing w:after="0" w:line="215" w:lineRule="exact"/>
              <w:rPr>
                <w:sz w:val="20"/>
                <w:szCs w:val="20"/>
                <w:color w:val="auto"/>
              </w:rPr>
            </w:pPr>
            <w:r>
              <w:rPr>
                <w:rFonts w:ascii="Calibri" w:cs="Calibri" w:eastAsia="Calibri" w:hAnsi="Calibri"/>
                <w:sz w:val="18"/>
                <w:szCs w:val="18"/>
                <w:color w:val="auto"/>
              </w:rPr>
              <w:t>Sales</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223,020</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228,145</w:t>
            </w:r>
          </w:p>
        </w:tc>
        <w:tc>
          <w:tcPr>
            <w:tcW w:w="12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919,162</w:t>
            </w:r>
          </w:p>
        </w:tc>
        <w:tc>
          <w:tcPr>
            <w:tcW w:w="100" w:type="dxa"/>
            <w:vAlign w:val="bottom"/>
          </w:tcPr>
          <w:p>
            <w:pPr>
              <w:spacing w:after="0"/>
              <w:rPr>
                <w:sz w:val="19"/>
                <w:szCs w:val="19"/>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935,098</w:t>
            </w:r>
          </w:p>
        </w:tc>
      </w:tr>
      <w:tr>
        <w:trPr>
          <w:trHeight w:val="237"/>
        </w:trPr>
        <w:tc>
          <w:tcPr>
            <w:tcW w:w="5600" w:type="dxa"/>
            <w:vAlign w:val="bottom"/>
            <w:shd w:val="clear" w:color="auto" w:fill="CCEEFF"/>
          </w:tcPr>
          <w:p>
            <w:pPr>
              <w:spacing w:after="0"/>
              <w:rPr>
                <w:sz w:val="20"/>
                <w:szCs w:val="20"/>
                <w:color w:val="auto"/>
              </w:rPr>
            </w:pPr>
            <w:r>
              <w:rPr>
                <w:rFonts w:ascii="Calibri" w:cs="Calibri" w:eastAsia="Calibri" w:hAnsi="Calibri"/>
                <w:sz w:val="18"/>
                <w:szCs w:val="18"/>
                <w:color w:val="auto"/>
              </w:rPr>
              <w:t>Cost of sales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(177,509)</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(192,420)</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(725,526)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(769,979)</w:t>
            </w:r>
          </w:p>
        </w:tc>
      </w:tr>
      <w:tr>
        <w:trPr>
          <w:trHeight w:val="216"/>
        </w:trPr>
        <w:tc>
          <w:tcPr>
            <w:tcW w:w="5600" w:type="dxa"/>
            <w:vAlign w:val="bottom"/>
          </w:tcPr>
          <w:p>
            <w:pPr>
              <w:spacing w:after="0" w:line="195" w:lineRule="exact"/>
              <w:rPr>
                <w:sz w:val="20"/>
                <w:szCs w:val="20"/>
                <w:color w:val="auto"/>
              </w:rPr>
            </w:pPr>
            <w:r>
              <w:rPr>
                <w:rFonts w:ascii="Calibri" w:cs="Calibri" w:eastAsia="Calibri" w:hAnsi="Calibri"/>
                <w:sz w:val="18"/>
                <w:szCs w:val="18"/>
                <w:color w:val="auto"/>
              </w:rPr>
              <w:t>Gross proft</w:t>
            </w:r>
          </w:p>
        </w:tc>
        <w:tc>
          <w:tcPr>
            <w:tcW w:w="2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45,511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35,725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193,636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165,119</w:t>
            </w:r>
          </w:p>
        </w:tc>
      </w:tr>
      <w:tr>
        <w:trPr>
          <w:trHeight w:val="237"/>
        </w:trPr>
        <w:tc>
          <w:tcPr>
            <w:tcW w:w="5600" w:type="dxa"/>
            <w:vAlign w:val="bottom"/>
            <w:shd w:val="clear" w:color="auto" w:fill="CCEEFF"/>
          </w:tcPr>
          <w:p>
            <w:pPr>
              <w:spacing w:after="0"/>
              <w:rPr>
                <w:sz w:val="20"/>
                <w:szCs w:val="20"/>
                <w:color w:val="auto"/>
              </w:rPr>
            </w:pPr>
            <w:r>
              <w:rPr>
                <w:rFonts w:ascii="Calibri" w:cs="Calibri" w:eastAsia="Calibri" w:hAnsi="Calibri"/>
                <w:sz w:val="18"/>
                <w:szCs w:val="18"/>
                <w:color w:val="auto"/>
              </w:rPr>
              <w:t>Selling, general and administratve expenses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(25,427)</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(17,242)</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(89,600)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(76,969)</w:t>
            </w:r>
          </w:p>
        </w:tc>
      </w:tr>
      <w:tr>
        <w:trPr>
          <w:trHeight w:val="216"/>
        </w:trPr>
        <w:tc>
          <w:tcPr>
            <w:tcW w:w="5600" w:type="dxa"/>
            <w:vAlign w:val="bottom"/>
          </w:tcPr>
          <w:p>
            <w:pPr>
              <w:spacing w:after="0" w:line="195" w:lineRule="exact"/>
              <w:rPr>
                <w:sz w:val="20"/>
                <w:szCs w:val="20"/>
                <w:color w:val="auto"/>
              </w:rPr>
            </w:pPr>
            <w:r>
              <w:rPr>
                <w:rFonts w:ascii="Calibri" w:cs="Calibri" w:eastAsia="Calibri" w:hAnsi="Calibri"/>
                <w:sz w:val="18"/>
                <w:szCs w:val="18"/>
                <w:color w:val="auto"/>
              </w:rPr>
              <w:t>Operatng income</w:t>
            </w:r>
          </w:p>
        </w:tc>
        <w:tc>
          <w:tcPr>
            <w:tcW w:w="2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20,084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18,483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104,036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88,150</w:t>
            </w:r>
          </w:p>
        </w:tc>
      </w:tr>
      <w:tr>
        <w:trPr>
          <w:trHeight w:val="237"/>
        </w:trPr>
        <w:tc>
          <w:tcPr>
            <w:tcW w:w="5600" w:type="dxa"/>
            <w:vAlign w:val="bottom"/>
            <w:shd w:val="clear" w:color="auto" w:fill="CCEEFF"/>
          </w:tcPr>
          <w:p>
            <w:pPr>
              <w:spacing w:after="0"/>
              <w:rPr>
                <w:sz w:val="20"/>
                <w:szCs w:val="20"/>
                <w:color w:val="auto"/>
              </w:rPr>
            </w:pPr>
            <w:r>
              <w:rPr>
                <w:rFonts w:ascii="Calibri" w:cs="Calibri" w:eastAsia="Calibri" w:hAnsi="Calibri"/>
                <w:sz w:val="18"/>
                <w:szCs w:val="18"/>
                <w:color w:val="auto"/>
              </w:rPr>
              <w:t>Interest expense, net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(1,249)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(1,376)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(4,282)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(5,234)</w:t>
            </w:r>
          </w:p>
        </w:tc>
      </w:tr>
      <w:tr>
        <w:trPr>
          <w:trHeight w:val="223"/>
        </w:trPr>
        <w:tc>
          <w:tcPr>
            <w:tcW w:w="560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Other income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(334)</w:t>
            </w:r>
          </w:p>
        </w:tc>
      </w:tr>
      <w:tr>
        <w:trPr>
          <w:trHeight w:val="229"/>
        </w:trPr>
        <w:tc>
          <w:tcPr>
            <w:tcW w:w="5600" w:type="dxa"/>
            <w:vAlign w:val="bottom"/>
            <w:shd w:val="clear" w:color="auto" w:fill="CCEEFF"/>
          </w:tcPr>
          <w:p>
            <w:pPr>
              <w:spacing w:after="0" w:line="202" w:lineRule="exact"/>
              <w:rPr>
                <w:sz w:val="20"/>
                <w:szCs w:val="20"/>
                <w:color w:val="auto"/>
              </w:rPr>
            </w:pPr>
            <w:r>
              <w:rPr>
                <w:rFonts w:ascii="Calibri" w:cs="Calibri" w:eastAsia="Calibri" w:hAnsi="Calibri"/>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19,325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17,517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101,145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82,582</w:t>
            </w:r>
          </w:p>
        </w:tc>
      </w:tr>
      <w:tr>
        <w:trPr>
          <w:trHeight w:val="223"/>
        </w:trPr>
        <w:tc>
          <w:tcPr>
            <w:tcW w:w="560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(5,904)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(25,782)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(22,541)</w:t>
            </w:r>
          </w:p>
        </w:tc>
      </w:tr>
      <w:tr>
        <w:trPr>
          <w:trHeight w:val="248"/>
        </w:trPr>
        <w:tc>
          <w:tcPr>
            <w:tcW w:w="5600" w:type="dxa"/>
            <w:vAlign w:val="bottom"/>
            <w:tcBorders>
              <w:bottom w:val="single" w:sz="8" w:color="CCEEFF"/>
            </w:tcBorders>
            <w:shd w:val="clear" w:color="auto" w:fill="CCEEFF"/>
          </w:tcPr>
          <w:p>
            <w:pPr>
              <w:spacing w:after="0" w:line="202" w:lineRule="exact"/>
              <w:rPr>
                <w:sz w:val="20"/>
                <w:szCs w:val="20"/>
                <w:color w:val="auto"/>
              </w:rPr>
            </w:pPr>
            <w:r>
              <w:rPr>
                <w:rFonts w:ascii="Calibri" w:cs="Calibri" w:eastAsia="Calibri" w:hAnsi="Calibri"/>
                <w:sz w:val="18"/>
                <w:szCs w:val="18"/>
                <w:color w:val="auto"/>
              </w:rPr>
              <w:t>Net income</w:t>
            </w:r>
          </w:p>
        </w:tc>
        <w:tc>
          <w:tcPr>
            <w:tcW w:w="28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13,832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60,041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0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Weighted average number of shares outstanding-basic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20,790,260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99"/>
              </w:rPr>
              <w:t>20,850,454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20,864,348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20,848,077</w:t>
            </w:r>
          </w:p>
        </w:tc>
      </w:tr>
      <w:tr>
        <w:trPr>
          <w:trHeight w:val="222"/>
        </w:trPr>
        <w:tc>
          <w:tcPr>
            <w:tcW w:w="5600" w:type="dxa"/>
            <w:vAlign w:val="bottom"/>
          </w:tcPr>
          <w:p>
            <w:pPr>
              <w:spacing w:after="0" w:line="215" w:lineRule="exact"/>
              <w:rPr>
                <w:sz w:val="20"/>
                <w:szCs w:val="20"/>
                <w:color w:val="auto"/>
              </w:rPr>
            </w:pPr>
            <w:r>
              <w:rPr>
                <w:rFonts w:ascii="Calibri" w:cs="Calibri" w:eastAsia="Calibri" w:hAnsi="Calibri"/>
                <w:sz w:val="18"/>
                <w:szCs w:val="18"/>
                <w:color w:val="auto"/>
              </w:rPr>
              <w:t>Weighted average number of shares outstanding-diluted</w:t>
            </w:r>
          </w:p>
        </w:tc>
        <w:tc>
          <w:tcPr>
            <w:tcW w:w="2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20,929,056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w w:val="99"/>
              </w:rPr>
              <w:t>21,024,649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21,014,326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21,014,905</w:t>
            </w:r>
          </w:p>
        </w:tc>
      </w:tr>
      <w:tr>
        <w:trPr>
          <w:trHeight w:val="277"/>
        </w:trPr>
        <w:tc>
          <w:tcPr>
            <w:tcW w:w="5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2"/>
        </w:trPr>
        <w:tc>
          <w:tcPr>
            <w:tcW w:w="5600" w:type="dxa"/>
            <w:vAlign w:val="bottom"/>
          </w:tcPr>
          <w:p>
            <w:pPr>
              <w:spacing w:after="0" w:line="215" w:lineRule="exact"/>
              <w:rPr>
                <w:sz w:val="20"/>
                <w:szCs w:val="20"/>
                <w:color w:val="auto"/>
              </w:rPr>
            </w:pPr>
            <w:r>
              <w:rPr>
                <w:rFonts w:ascii="Calibri" w:cs="Calibri" w:eastAsia="Calibri" w:hAnsi="Calibri"/>
                <w:sz w:val="18"/>
                <w:szCs w:val="18"/>
                <w:color w:val="auto"/>
              </w:rPr>
              <w:t>Basic earnings per share</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0.67</w:t>
            </w:r>
          </w:p>
        </w:tc>
        <w:tc>
          <w:tcPr>
            <w:tcW w:w="100" w:type="dxa"/>
            <w:vAlign w:val="bottom"/>
          </w:tcPr>
          <w:p>
            <w:pPr>
              <w:spacing w:after="0"/>
              <w:rPr>
                <w:sz w:val="19"/>
                <w:szCs w:val="19"/>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0.56</w:t>
            </w:r>
          </w:p>
        </w:tc>
        <w:tc>
          <w:tcPr>
            <w:tcW w:w="12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3.61</w:t>
            </w:r>
          </w:p>
        </w:tc>
        <w:tc>
          <w:tcPr>
            <w:tcW w:w="100" w:type="dxa"/>
            <w:vAlign w:val="bottom"/>
          </w:tcPr>
          <w:p>
            <w:pPr>
              <w:spacing w:after="0"/>
              <w:rPr>
                <w:sz w:val="19"/>
                <w:szCs w:val="19"/>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2.88</w:t>
            </w:r>
          </w:p>
        </w:tc>
      </w:tr>
      <w:tr>
        <w:trPr>
          <w:trHeight w:val="237"/>
        </w:trPr>
        <w:tc>
          <w:tcPr>
            <w:tcW w:w="5600" w:type="dxa"/>
            <w:vAlign w:val="bottom"/>
            <w:shd w:val="clear" w:color="auto" w:fill="CCEEFF"/>
          </w:tcPr>
          <w:p>
            <w:pPr>
              <w:spacing w:after="0"/>
              <w:rPr>
                <w:sz w:val="20"/>
                <w:szCs w:val="20"/>
                <w:color w:val="auto"/>
              </w:rPr>
            </w:pPr>
            <w:r>
              <w:rPr>
                <w:rFonts w:ascii="Calibri" w:cs="Calibri" w:eastAsia="Calibri" w:hAnsi="Calibri"/>
                <w:sz w:val="18"/>
                <w:szCs w:val="18"/>
                <w:color w:val="auto"/>
              </w:rPr>
              <w:t>Diluted earnings per share</w:t>
            </w:r>
          </w:p>
        </w:tc>
        <w:tc>
          <w:tcPr>
            <w:tcW w:w="28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0.66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0.55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2.86</w:t>
            </w:r>
          </w:p>
        </w:tc>
      </w:tr>
    </w:tbl>
    <w:p>
      <w:pPr>
        <w:sectPr>
          <w:pgSz w:w="11900" w:h="16838" w:orient="portrait"/>
          <w:cols w:equalWidth="0" w:num="1">
            <w:col w:w="11180"/>
          </w:cols>
          <w:pgMar w:left="360" w:top="1440" w:right="359" w:bottom="1440" w:gutter="0" w:footer="0" w:header="0"/>
          <w:type w:val="continuous"/>
        </w:sectPr>
      </w:pPr>
    </w:p>
    <w:bookmarkStart w:id="8" w:name="page9"/>
    <w:bookmarkEnd w:id="8"/>
    <w:p>
      <w:pPr>
        <w:jc w:val="center"/>
        <w:spacing w:after="0"/>
        <w:rPr>
          <w:sz w:val="20"/>
          <w:szCs w:val="20"/>
          <w:color w:val="auto"/>
        </w:rPr>
      </w:pPr>
      <w:r>
        <w:rPr>
          <w:rFonts w:ascii="Calibri" w:cs="Calibri" w:eastAsia="Calibri" w:hAnsi="Calibri"/>
          <w:sz w:val="18"/>
          <w:szCs w:val="18"/>
          <w:b w:val="1"/>
          <w:bCs w:val="1"/>
          <w:color w:val="auto"/>
        </w:rPr>
        <w:t>HAWKINS, INC.</w:t>
      </w:r>
    </w:p>
    <w:p>
      <w:pPr>
        <w:ind w:left="4220"/>
        <w:spacing w:after="0" w:line="235" w:lineRule="auto"/>
        <w:rPr>
          <w:sz w:val="20"/>
          <w:szCs w:val="20"/>
          <w:color w:val="auto"/>
        </w:rPr>
      </w:pPr>
      <w:r>
        <w:rPr>
          <w:rFonts w:ascii="Calibri" w:cs="Calibri" w:eastAsia="Calibri" w:hAnsi="Calibri"/>
          <w:sz w:val="18"/>
          <w:szCs w:val="18"/>
          <w:b w:val="1"/>
          <w:bCs w:val="1"/>
          <w:color w:val="auto"/>
        </w:rPr>
        <w:t>CONSOLIDATED BALANCE SHEETS (UNAUDITED)</w:t>
      </w:r>
    </w:p>
    <w:p>
      <w:pPr>
        <w:ind w:left="4220"/>
        <w:spacing w:after="0" w:line="236" w:lineRule="auto"/>
        <w:rPr>
          <w:sz w:val="20"/>
          <w:szCs w:val="20"/>
          <w:color w:val="auto"/>
        </w:rPr>
      </w:pPr>
      <w:r>
        <w:rPr>
          <w:rFonts w:ascii="Calibri" w:cs="Calibri" w:eastAsia="Calibri" w:hAnsi="Calibri"/>
          <w:sz w:val="18"/>
          <w:szCs w:val="18"/>
          <w:b w:val="1"/>
          <w:bCs w:val="1"/>
          <w:color w:val="auto"/>
        </w:rPr>
        <w:t>(In thousands, except share and per-share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Calibri" w:cs="Calibri" w:eastAsia="Calibri" w:hAnsi="Calibri"/>
                <w:sz w:val="14"/>
                <w:szCs w:val="14"/>
                <w:b w:val="1"/>
                <w:bCs w:val="1"/>
                <w:color w:val="auto"/>
              </w:rPr>
              <w:t>March 31, 2024</w:t>
            </w:r>
          </w:p>
        </w:tc>
        <w:tc>
          <w:tcPr>
            <w:tcW w:w="300" w:type="dxa"/>
            <w:vAlign w:val="bottom"/>
          </w:tcPr>
          <w:p>
            <w:pPr>
              <w:spacing w:after="0"/>
              <w:rPr>
                <w:sz w:val="14"/>
                <w:szCs w:val="14"/>
                <w:color w:val="auto"/>
              </w:rPr>
            </w:pPr>
          </w:p>
        </w:tc>
        <w:tc>
          <w:tcPr>
            <w:tcW w:w="1460" w:type="dxa"/>
            <w:vAlign w:val="bottom"/>
          </w:tcPr>
          <w:p>
            <w:pPr>
              <w:jc w:val="right"/>
              <w:ind w:right="419"/>
              <w:spacing w:after="0"/>
              <w:rPr>
                <w:sz w:val="20"/>
                <w:szCs w:val="20"/>
                <w:color w:val="auto"/>
              </w:rPr>
            </w:pPr>
            <w:r>
              <w:rPr>
                <w:rFonts w:ascii="Calibri" w:cs="Calibri" w:eastAsia="Calibri" w:hAnsi="Calibri"/>
                <w:sz w:val="14"/>
                <w:szCs w:val="14"/>
                <w:b w:val="1"/>
                <w:bCs w:val="1"/>
                <w:color w:val="auto"/>
              </w:rPr>
              <w:t>April 2, 2023</w:t>
            </w:r>
          </w:p>
        </w:tc>
      </w:tr>
      <w:tr>
        <w:trPr>
          <w:trHeight w:val="47"/>
        </w:trPr>
        <w:tc>
          <w:tcPr>
            <w:tcW w:w="76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176"/>
        </w:trPr>
        <w:tc>
          <w:tcPr>
            <w:tcW w:w="762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2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93"/>
        </w:trPr>
        <w:tc>
          <w:tcPr>
            <w:tcW w:w="762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7,566</w:t>
            </w:r>
          </w:p>
        </w:tc>
      </w:tr>
      <w:tr>
        <w:trPr>
          <w:trHeight w:val="193"/>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Trade accounts receivables, net</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114,477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129,252</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Inventories</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74,600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88,777</w:t>
            </w:r>
          </w:p>
        </w:tc>
      </w:tr>
      <w:tr>
        <w:trPr>
          <w:trHeight w:val="193"/>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6,596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6,449</w:t>
            </w:r>
          </w:p>
        </w:tc>
      </w:tr>
      <w:tr>
        <w:trPr>
          <w:trHeight w:val="23"/>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9"/>
        </w:trPr>
        <w:tc>
          <w:tcPr>
            <w:tcW w:w="762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current assets</w:t>
            </w:r>
          </w:p>
        </w:tc>
        <w:tc>
          <w:tcPr>
            <w:tcW w:w="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202,826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232,044</w:t>
            </w:r>
          </w:p>
        </w:tc>
      </w:tr>
      <w:tr>
        <w:trPr>
          <w:trHeight w:val="193"/>
        </w:trPr>
        <w:tc>
          <w:tcPr>
            <w:tcW w:w="762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Land</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17,916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16,344</w:t>
            </w:r>
          </w:p>
        </w:tc>
      </w:tr>
      <w:tr>
        <w:trPr>
          <w:trHeight w:val="193"/>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Buildings and improvements</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147,701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134,901</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Machinery and equipment</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141,262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125,970</w:t>
            </w:r>
          </w:p>
        </w:tc>
      </w:tr>
      <w:tr>
        <w:trPr>
          <w:trHeight w:val="193"/>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Transportaton equipment</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67,868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56,328</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Ofce furniture and equipment</w:t>
            </w:r>
          </w:p>
        </w:tc>
        <w:tc>
          <w:tcPr>
            <w:tcW w:w="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11,901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11,210</w:t>
            </w:r>
          </w:p>
        </w:tc>
      </w:tr>
      <w:tr>
        <w:trPr>
          <w:trHeight w:val="187"/>
        </w:trPr>
        <w:tc>
          <w:tcPr>
            <w:tcW w:w="76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386,648</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344,753</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762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Less accumulated depreciaton</w:t>
            </w:r>
          </w:p>
        </w:tc>
        <w:tc>
          <w:tcPr>
            <w:tcW w:w="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177,774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158,950</w:t>
            </w:r>
          </w:p>
        </w:tc>
      </w:tr>
      <w:tr>
        <w:trPr>
          <w:trHeight w:val="187"/>
        </w:trPr>
        <w:tc>
          <w:tcPr>
            <w:tcW w:w="7620" w:type="dxa"/>
            <w:vAlign w:val="bottom"/>
          </w:tcPr>
          <w:p>
            <w:pPr>
              <w:ind w:left="1120"/>
              <w:spacing w:after="0" w:line="174" w:lineRule="exact"/>
              <w:rPr>
                <w:sz w:val="20"/>
                <w:szCs w:val="20"/>
                <w:color w:val="auto"/>
              </w:rPr>
            </w:pPr>
            <w:r>
              <w:rPr>
                <w:rFonts w:ascii="Calibri" w:cs="Calibri" w:eastAsia="Calibri" w:hAnsi="Calibri"/>
                <w:sz w:val="16"/>
                <w:szCs w:val="16"/>
                <w:color w:val="auto"/>
              </w:rPr>
              <w:t>Net property, plant, and equipment</w:t>
            </w: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208,874</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185,803</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3"/>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Right-of-use assets</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11,713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10,199</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Goodwill</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103,399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77,401</w:t>
            </w:r>
          </w:p>
        </w:tc>
      </w:tr>
      <w:tr>
        <w:trPr>
          <w:trHeight w:val="193"/>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Intangible assets, net</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116,626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73,060</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Deferred compensaton plan asset</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9,584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7,367</w:t>
            </w:r>
          </w:p>
        </w:tc>
      </w:tr>
      <w:tr>
        <w:trPr>
          <w:trHeight w:val="193"/>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4,912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4,661</w:t>
            </w:r>
          </w:p>
        </w:tc>
      </w:tr>
      <w:tr>
        <w:trPr>
          <w:trHeight w:val="23"/>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762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other assets</w:t>
            </w:r>
          </w:p>
        </w:tc>
        <w:tc>
          <w:tcPr>
            <w:tcW w:w="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246,234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172,688</w:t>
            </w:r>
          </w:p>
        </w:tc>
      </w:tr>
      <w:tr>
        <w:trPr>
          <w:trHeight w:val="187"/>
        </w:trPr>
        <w:tc>
          <w:tcPr>
            <w:tcW w:w="7620" w:type="dxa"/>
            <w:vAlign w:val="bottom"/>
          </w:tcPr>
          <w:p>
            <w:pPr>
              <w:ind w:left="1120"/>
              <w:spacing w:after="0" w:line="174" w:lineRule="exact"/>
              <w:rPr>
                <w:sz w:val="20"/>
                <w:szCs w:val="20"/>
                <w:color w:val="auto"/>
              </w:rPr>
            </w:pPr>
            <w:r>
              <w:rPr>
                <w:rFonts w:ascii="Calibri" w:cs="Calibri" w:eastAsia="Calibri" w:hAnsi="Calibri"/>
                <w:sz w:val="16"/>
                <w:szCs w:val="16"/>
                <w:color w:val="auto"/>
              </w:rPr>
              <w:t>Total assets</w:t>
            </w:r>
          </w:p>
        </w:tc>
        <w:tc>
          <w:tcPr>
            <w:tcW w:w="260" w:type="dxa"/>
            <w:vAlign w:val="bottom"/>
            <w:tcBorders>
              <w:top w:val="single" w:sz="8" w:color="auto"/>
            </w:tcBorders>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657,934</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590,535</w:t>
            </w:r>
          </w:p>
        </w:tc>
      </w:tr>
      <w:tr>
        <w:trPr>
          <w:trHeight w:val="23"/>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3"/>
        </w:trPr>
        <w:tc>
          <w:tcPr>
            <w:tcW w:w="762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r>
      <w:tr>
        <w:trPr>
          <w:trHeight w:val="194"/>
        </w:trPr>
        <w:tc>
          <w:tcPr>
            <w:tcW w:w="762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Accounts payable — trade</w:t>
            </w: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56,387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53,705</w:t>
            </w:r>
          </w:p>
        </w:tc>
      </w:tr>
      <w:tr>
        <w:trPr>
          <w:trHeight w:val="193"/>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19,532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17,279</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Current porton of long-term debt</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9,913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9,913</w:t>
            </w:r>
          </w:p>
        </w:tc>
      </w:tr>
      <w:tr>
        <w:trPr>
          <w:trHeight w:val="193"/>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Income tax payable</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1,943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3,329</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Environmental remediaton</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4"/>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current liabilites</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7,832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6,645</w:t>
            </w:r>
          </w:p>
        </w:tc>
      </w:tr>
      <w:tr>
        <w:trPr>
          <w:trHeight w:val="22"/>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0"/>
        </w:trPr>
        <w:tc>
          <w:tcPr>
            <w:tcW w:w="762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current liabilites</w:t>
            </w:r>
          </w:p>
        </w:tc>
        <w:tc>
          <w:tcPr>
            <w:tcW w:w="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103,307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90,871</w:t>
            </w:r>
          </w:p>
        </w:tc>
      </w:tr>
      <w:tr>
        <w:trPr>
          <w:trHeight w:val="194"/>
        </w:trPr>
        <w:tc>
          <w:tcPr>
            <w:tcW w:w="762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88,818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101,731</w:t>
            </w:r>
          </w:p>
        </w:tc>
      </w:tr>
      <w:tr>
        <w:trPr>
          <w:trHeight w:val="22"/>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LONG-TERM LEASE LIABILITY</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9,530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8,687</w:t>
            </w:r>
          </w:p>
        </w:tc>
      </w:tr>
      <w:tr>
        <w:trPr>
          <w:trHeight w:val="194"/>
        </w:trPr>
        <w:tc>
          <w:tcPr>
            <w:tcW w:w="7620" w:type="dxa"/>
            <w:vAlign w:val="bottom"/>
          </w:tcPr>
          <w:p>
            <w:pPr>
              <w:ind w:left="20"/>
              <w:spacing w:after="0" w:line="193" w:lineRule="exact"/>
              <w:rPr>
                <w:sz w:val="20"/>
                <w:szCs w:val="20"/>
                <w:color w:val="auto"/>
              </w:rPr>
            </w:pPr>
            <w:r>
              <w:rPr>
                <w:rFonts w:ascii="Calibri" w:cs="Calibri" w:eastAsia="Calibri" w:hAnsi="Calibri"/>
                <w:sz w:val="16"/>
                <w:szCs w:val="16"/>
                <w:color w:val="auto"/>
              </w:rPr>
              <w:t>PENSION WITHDRAWAL LIABILITY</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3,538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3,912</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DEFERRED COMPENSATION LIABILITY</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11,764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9,343</w:t>
            </w:r>
          </w:p>
        </w:tc>
      </w:tr>
      <w:tr>
        <w:trPr>
          <w:trHeight w:val="193"/>
        </w:trPr>
        <w:tc>
          <w:tcPr>
            <w:tcW w:w="762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INCOME TAXES</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22,406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23,800</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EARNOUT LIABILITY</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11,235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7620" w:type="dxa"/>
            <w:vAlign w:val="bottom"/>
          </w:tcPr>
          <w:p>
            <w:pPr>
              <w:ind w:left="20"/>
              <w:spacing w:after="0" w:line="193" w:lineRule="exact"/>
              <w:rPr>
                <w:sz w:val="20"/>
                <w:szCs w:val="20"/>
                <w:color w:val="auto"/>
              </w:rPr>
            </w:pPr>
            <w:r>
              <w:rPr>
                <w:rFonts w:ascii="Calibri" w:cs="Calibri" w:eastAsia="Calibri" w:hAnsi="Calibri"/>
                <w:sz w:val="16"/>
                <w:szCs w:val="16"/>
                <w:color w:val="auto"/>
              </w:rPr>
              <w:t>OTHER LONG-TERM LIABILITIES</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1,310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2,175</w:t>
            </w:r>
          </w:p>
        </w:tc>
      </w:tr>
      <w:tr>
        <w:trPr>
          <w:trHeight w:val="23"/>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0"/>
        </w:trPr>
        <w:tc>
          <w:tcPr>
            <w:tcW w:w="7620" w:type="dxa"/>
            <w:vAlign w:val="bottom"/>
            <w:tcBorders>
              <w:bottom w:val="single" w:sz="8" w:color="CCEEFF"/>
            </w:tcBorders>
            <w:shd w:val="clear" w:color="auto" w:fill="CCEEFF"/>
          </w:tcPr>
          <w:p>
            <w:pPr>
              <w:ind w:left="1120"/>
              <w:spacing w:after="0" w:line="174" w:lineRule="exact"/>
              <w:rPr>
                <w:sz w:val="20"/>
                <w:szCs w:val="20"/>
                <w:color w:val="auto"/>
              </w:rPr>
            </w:pPr>
            <w:r>
              <w:rPr>
                <w:rFonts w:ascii="Calibri" w:cs="Calibri" w:eastAsia="Calibri" w:hAnsi="Calibri"/>
                <w:sz w:val="16"/>
                <w:szCs w:val="16"/>
                <w:color w:val="auto"/>
              </w:rPr>
              <w:t>Total liabilites</w:t>
            </w:r>
          </w:p>
        </w:tc>
        <w:tc>
          <w:tcPr>
            <w:tcW w:w="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251,908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240,519</w:t>
            </w:r>
          </w:p>
        </w:tc>
      </w:tr>
      <w:tr>
        <w:trPr>
          <w:trHeight w:val="193"/>
        </w:trPr>
        <w:tc>
          <w:tcPr>
            <w:tcW w:w="7620" w:type="dxa"/>
            <w:vAlign w:val="bottom"/>
          </w:tcPr>
          <w:p>
            <w:pPr>
              <w:ind w:left="20"/>
              <w:spacing w:after="0" w:line="193" w:lineRule="exact"/>
              <w:rPr>
                <w:sz w:val="20"/>
                <w:szCs w:val="20"/>
                <w:color w:val="auto"/>
              </w:rPr>
            </w:pPr>
            <w:r>
              <w:rPr>
                <w:rFonts w:ascii="Calibri" w:cs="Calibri" w:eastAsia="Calibri" w:hAnsi="Calibri"/>
                <w:sz w:val="16"/>
                <w:szCs w:val="16"/>
                <w:color w:val="auto"/>
              </w:rPr>
              <w:t>COMMITMENTS AND CONTINGENCIES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762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57"/>
        </w:trPr>
        <w:tc>
          <w:tcPr>
            <w:tcW w:w="7620" w:type="dxa"/>
            <w:vAlign w:val="bottom"/>
          </w:tcPr>
          <w:p>
            <w:pPr>
              <w:ind w:left="360"/>
              <w:spacing w:after="0" w:line="157" w:lineRule="exact"/>
              <w:rPr>
                <w:sz w:val="20"/>
                <w:szCs w:val="20"/>
                <w:color w:val="auto"/>
              </w:rPr>
            </w:pPr>
            <w:r>
              <w:rPr>
                <w:rFonts w:ascii="Calibri" w:cs="Calibri" w:eastAsia="Calibri" w:hAnsi="Calibri"/>
                <w:sz w:val="16"/>
                <w:szCs w:val="16"/>
                <w:color w:val="auto"/>
              </w:rPr>
              <w:t>Common shares; authorized: 60,000,000 shares of $0.01 par value; 20,790,261 and 20,850,454 shares issued</w:t>
            </w: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4"/>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and outstanding for 2024 and 2023, respectvely</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209</w:t>
            </w:r>
          </w:p>
        </w:tc>
      </w:tr>
      <w:tr>
        <w:trPr>
          <w:trHeight w:val="28"/>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Additonal paid-in capital</w:t>
            </w: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38,154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44,443</w:t>
            </w:r>
          </w:p>
        </w:tc>
      </w:tr>
      <w:tr>
        <w:trPr>
          <w:trHeight w:val="194"/>
        </w:trPr>
        <w:tc>
          <w:tcPr>
            <w:tcW w:w="7620" w:type="dxa"/>
            <w:vAlign w:val="bottom"/>
          </w:tcPr>
          <w:p>
            <w:pPr>
              <w:ind w:left="360"/>
              <w:spacing w:after="0" w:line="193" w:lineRule="exact"/>
              <w:rPr>
                <w:sz w:val="20"/>
                <w:szCs w:val="20"/>
                <w:color w:val="auto"/>
              </w:rPr>
            </w:pPr>
            <w:r>
              <w:rPr>
                <w:rFonts w:ascii="Calibri" w:cs="Calibri" w:eastAsia="Calibri" w:hAnsi="Calibri"/>
                <w:sz w:val="16"/>
                <w:szCs w:val="16"/>
                <w:color w:val="auto"/>
              </w:rPr>
              <w:t>Retained earnings</w:t>
            </w:r>
          </w:p>
        </w:tc>
        <w:tc>
          <w:tcPr>
            <w:tcW w:w="26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364,549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302,424</w:t>
            </w:r>
          </w:p>
        </w:tc>
      </w:tr>
      <w:tr>
        <w:trPr>
          <w:trHeight w:val="23"/>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762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2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3,115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2,940</w:t>
            </w:r>
          </w:p>
        </w:tc>
      </w:tr>
      <w:tr>
        <w:trPr>
          <w:trHeight w:val="187"/>
        </w:trPr>
        <w:tc>
          <w:tcPr>
            <w:tcW w:w="7620" w:type="dxa"/>
            <w:vAlign w:val="bottom"/>
          </w:tcPr>
          <w:p>
            <w:pPr>
              <w:ind w:left="1120"/>
              <w:spacing w:after="0" w:line="174" w:lineRule="exact"/>
              <w:rPr>
                <w:sz w:val="20"/>
                <w:szCs w:val="20"/>
                <w:color w:val="auto"/>
              </w:rPr>
            </w:pPr>
            <w:r>
              <w:rPr>
                <w:rFonts w:ascii="Calibri" w:cs="Calibri" w:eastAsia="Calibri" w:hAnsi="Calibri"/>
                <w:sz w:val="16"/>
                <w:szCs w:val="16"/>
                <w:color w:val="auto"/>
              </w:rPr>
              <w:t>Total shareholders’ equity</w:t>
            </w: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406,026</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350,016</w:t>
            </w:r>
          </w:p>
        </w:tc>
      </w:tr>
      <w:tr>
        <w:trPr>
          <w:trHeight w:val="22"/>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41"/>
        </w:trPr>
        <w:tc>
          <w:tcPr>
            <w:tcW w:w="762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Total liabilites and shareholders’ equity</w:t>
            </w: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4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657,934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590,535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2" w:right="339" w:bottom="1440" w:gutter="0" w:footer="0" w:header="0"/>
        </w:sectPr>
      </w:pPr>
    </w:p>
    <w:bookmarkStart w:id="9" w:name="page10"/>
    <w:bookmarkEnd w:id="9"/>
    <w:p>
      <w:pPr>
        <w:jc w:val="center"/>
        <w:ind w:left="640"/>
        <w:spacing w:after="0"/>
        <w:rPr>
          <w:sz w:val="20"/>
          <w:szCs w:val="20"/>
          <w:color w:val="auto"/>
        </w:rPr>
      </w:pPr>
      <w:r>
        <w:rPr>
          <w:rFonts w:ascii="Calibri" w:cs="Calibri" w:eastAsia="Calibri" w:hAnsi="Calibri"/>
          <w:sz w:val="18"/>
          <w:szCs w:val="18"/>
          <w:b w:val="1"/>
          <w:bCs w:val="1"/>
          <w:color w:val="auto"/>
        </w:rPr>
        <w:t>HAWKINS, INC.</w:t>
      </w:r>
    </w:p>
    <w:p>
      <w:pPr>
        <w:jc w:val="center"/>
        <w:ind w:left="640"/>
        <w:spacing w:after="0" w:line="235" w:lineRule="auto"/>
        <w:rPr>
          <w:sz w:val="20"/>
          <w:szCs w:val="20"/>
          <w:color w:val="auto"/>
        </w:rPr>
      </w:pPr>
      <w:r>
        <w:rPr>
          <w:rFonts w:ascii="Calibri" w:cs="Calibri" w:eastAsia="Calibri" w:hAnsi="Calibri"/>
          <w:sz w:val="18"/>
          <w:szCs w:val="18"/>
          <w:b w:val="1"/>
          <w:bCs w:val="1"/>
          <w:color w:val="auto"/>
        </w:rPr>
        <w:t>CONSOLIDATED STATEMENTS OF CASH FLOWS (UNAUDITED)</w:t>
      </w:r>
    </w:p>
    <w:p>
      <w:pPr>
        <w:jc w:val="center"/>
        <w:ind w:left="640"/>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gridSpan w:val="4"/>
          </w:tcPr>
          <w:p>
            <w:pPr>
              <w:jc w:val="right"/>
              <w:ind w:right="1079"/>
              <w:spacing w:after="0"/>
              <w:rPr>
                <w:sz w:val="20"/>
                <w:szCs w:val="20"/>
                <w:color w:val="auto"/>
              </w:rPr>
            </w:pPr>
            <w:r>
              <w:rPr>
                <w:rFonts w:ascii="Calibri" w:cs="Calibri" w:eastAsia="Calibri" w:hAnsi="Calibri"/>
                <w:sz w:val="14"/>
                <w:szCs w:val="14"/>
                <w:b w:val="1"/>
                <w:bCs w:val="1"/>
                <w:color w:val="auto"/>
              </w:rPr>
              <w:t>Fiscal Year Ended</w:t>
            </w:r>
          </w:p>
        </w:tc>
      </w:tr>
      <w:tr>
        <w:trPr>
          <w:trHeight w:val="47"/>
        </w:trPr>
        <w:tc>
          <w:tcPr>
            <w:tcW w:w="79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163"/>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ind w:left="120"/>
              <w:spacing w:after="0" w:line="164" w:lineRule="exact"/>
              <w:rPr>
                <w:sz w:val="20"/>
                <w:szCs w:val="20"/>
                <w:color w:val="auto"/>
              </w:rPr>
            </w:pPr>
            <w:r>
              <w:rPr>
                <w:rFonts w:ascii="Calibri" w:cs="Calibri" w:eastAsia="Calibri" w:hAnsi="Calibri"/>
                <w:sz w:val="14"/>
                <w:szCs w:val="14"/>
                <w:b w:val="1"/>
                <w:bCs w:val="1"/>
                <w:color w:val="auto"/>
              </w:rPr>
              <w:t>March 31, 2024</w:t>
            </w:r>
          </w:p>
        </w:tc>
        <w:tc>
          <w:tcPr>
            <w:tcW w:w="260" w:type="dxa"/>
            <w:vAlign w:val="bottom"/>
          </w:tcPr>
          <w:p>
            <w:pPr>
              <w:spacing w:after="0"/>
              <w:rPr>
                <w:sz w:val="14"/>
                <w:szCs w:val="14"/>
                <w:color w:val="auto"/>
              </w:rPr>
            </w:pPr>
          </w:p>
        </w:tc>
        <w:tc>
          <w:tcPr>
            <w:tcW w:w="1360" w:type="dxa"/>
            <w:vAlign w:val="bottom"/>
          </w:tcPr>
          <w:p>
            <w:pPr>
              <w:jc w:val="right"/>
              <w:ind w:right="359"/>
              <w:spacing w:after="0" w:line="164" w:lineRule="exact"/>
              <w:rPr>
                <w:sz w:val="20"/>
                <w:szCs w:val="20"/>
                <w:color w:val="auto"/>
              </w:rPr>
            </w:pPr>
            <w:r>
              <w:rPr>
                <w:rFonts w:ascii="Calibri" w:cs="Calibri" w:eastAsia="Calibri" w:hAnsi="Calibri"/>
                <w:sz w:val="14"/>
                <w:szCs w:val="14"/>
                <w:b w:val="1"/>
                <w:bCs w:val="1"/>
                <w:color w:val="auto"/>
              </w:rPr>
              <w:t>April 2, 2023</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6"/>
        </w:trPr>
        <w:tc>
          <w:tcPr>
            <w:tcW w:w="79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93"/>
        </w:trPr>
        <w:tc>
          <w:tcPr>
            <w:tcW w:w="790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2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75,363</w:t>
            </w:r>
          </w:p>
        </w:tc>
        <w:tc>
          <w:tcPr>
            <w:tcW w:w="100" w:type="dxa"/>
            <w:vAlign w:val="bottom"/>
          </w:tcPr>
          <w:p>
            <w:pPr>
              <w:spacing w:after="0"/>
              <w:rPr>
                <w:sz w:val="16"/>
                <w:szCs w:val="16"/>
                <w:color w:val="auto"/>
              </w:rPr>
            </w:pPr>
          </w:p>
        </w:tc>
        <w:tc>
          <w:tcPr>
            <w:tcW w:w="26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60,041</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193"/>
        </w:trPr>
        <w:tc>
          <w:tcPr>
            <w:tcW w:w="790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31,803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27,440</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Change in fair value of earnout liability</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571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7900" w:type="dxa"/>
            <w:vAlign w:val="bottom"/>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2,708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1,971</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(Gain) loss on deferred compensaton assets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(1,391)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334</w:t>
            </w:r>
          </w:p>
        </w:tc>
      </w:tr>
      <w:tr>
        <w:trPr>
          <w:trHeight w:val="193"/>
        </w:trPr>
        <w:tc>
          <w:tcPr>
            <w:tcW w:w="7900" w:type="dxa"/>
            <w:vAlign w:val="bottom"/>
          </w:tcPr>
          <w:p>
            <w:pPr>
              <w:ind w:left="680"/>
              <w:spacing w:after="0" w:line="193" w:lineRule="exact"/>
              <w:rPr>
                <w:sz w:val="20"/>
                <w:szCs w:val="20"/>
                <w:color w:val="auto"/>
              </w:rPr>
            </w:pPr>
            <w:r>
              <w:rPr>
                <w:rFonts w:ascii="Calibri" w:cs="Calibri" w:eastAsia="Calibri" w:hAnsi="Calibri"/>
                <w:sz w:val="16"/>
                <w:szCs w:val="16"/>
                <w:color w:val="auto"/>
              </w:rPr>
              <w:t>Deferred income taxes</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(1,459)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(232)</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4,880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3,825</w:t>
            </w:r>
          </w:p>
        </w:tc>
      </w:tr>
      <w:tr>
        <w:trPr>
          <w:trHeight w:val="193"/>
        </w:trPr>
        <w:tc>
          <w:tcPr>
            <w:tcW w:w="7900" w:type="dxa"/>
            <w:vAlign w:val="bottom"/>
          </w:tcPr>
          <w:p>
            <w:pPr>
              <w:ind w:left="680"/>
              <w:spacing w:after="0" w:line="193" w:lineRule="exact"/>
              <w:rPr>
                <w:sz w:val="20"/>
                <w:szCs w:val="20"/>
                <w:color w:val="auto"/>
              </w:rPr>
            </w:pPr>
            <w:r>
              <w:rPr>
                <w:rFonts w:ascii="Calibri" w:cs="Calibri" w:eastAsia="Calibri" w:hAnsi="Calibri"/>
                <w:sz w:val="16"/>
                <w:szCs w:val="16"/>
                <w:color w:val="auto"/>
              </w:rPr>
              <w:t>Gain from asset disposals</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(2,950)</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87</w:t>
            </w:r>
          </w:p>
        </w:tc>
      </w:tr>
      <w:tr>
        <w:trPr>
          <w:trHeight w:val="193"/>
        </w:trPr>
        <w:tc>
          <w:tcPr>
            <w:tcW w:w="7900" w:type="dxa"/>
            <w:vAlign w:val="bottom"/>
          </w:tcPr>
          <w:p>
            <w:pPr>
              <w:ind w:left="680"/>
              <w:spacing w:after="0" w:line="193" w:lineRule="exact"/>
              <w:rPr>
                <w:sz w:val="20"/>
                <w:szCs w:val="20"/>
                <w:color w:val="auto"/>
              </w:rPr>
            </w:pPr>
            <w:r>
              <w:rPr>
                <w:rFonts w:ascii="Calibri" w:cs="Calibri" w:eastAsia="Calibri" w:hAnsi="Calibri"/>
                <w:sz w:val="16"/>
                <w:szCs w:val="16"/>
                <w:color w:val="auto"/>
              </w:rPr>
              <w:t>Changes in operatng accounts (using) providing cash, net of acquisitons: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1020"/>
              <w:spacing w:after="0" w:line="193" w:lineRule="exact"/>
              <w:rPr>
                <w:sz w:val="20"/>
                <w:szCs w:val="20"/>
                <w:color w:val="auto"/>
              </w:rPr>
            </w:pPr>
            <w:r>
              <w:rPr>
                <w:rFonts w:ascii="Calibri" w:cs="Calibri" w:eastAsia="Calibri" w:hAnsi="Calibri"/>
                <w:sz w:val="16"/>
                <w:szCs w:val="16"/>
                <w:color w:val="auto"/>
              </w:rPr>
              <w:t>Trade receivables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21,399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(6,389)</w:t>
            </w:r>
          </w:p>
        </w:tc>
      </w:tr>
      <w:tr>
        <w:trPr>
          <w:trHeight w:val="193"/>
        </w:trPr>
        <w:tc>
          <w:tcPr>
            <w:tcW w:w="7900" w:type="dxa"/>
            <w:vAlign w:val="bottom"/>
          </w:tcPr>
          <w:p>
            <w:pPr>
              <w:ind w:left="1020"/>
              <w:spacing w:after="0" w:line="193" w:lineRule="exact"/>
              <w:rPr>
                <w:sz w:val="20"/>
                <w:szCs w:val="20"/>
                <w:color w:val="auto"/>
              </w:rPr>
            </w:pPr>
            <w:r>
              <w:rPr>
                <w:rFonts w:ascii="Calibri" w:cs="Calibri" w:eastAsia="Calibri" w:hAnsi="Calibri"/>
                <w:sz w:val="16"/>
                <w:szCs w:val="16"/>
                <w:color w:val="auto"/>
              </w:rPr>
              <w:t>Inventories</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19,921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4,717</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1020"/>
              <w:spacing w:after="0" w:line="193" w:lineRule="exact"/>
              <w:rPr>
                <w:sz w:val="20"/>
                <w:szCs w:val="20"/>
                <w:color w:val="auto"/>
              </w:rPr>
            </w:pPr>
            <w:r>
              <w:rPr>
                <w:rFonts w:ascii="Calibri" w:cs="Calibri" w:eastAsia="Calibri" w:hAnsi="Calibri"/>
                <w:sz w:val="16"/>
                <w:szCs w:val="16"/>
                <w:color w:val="auto"/>
              </w:rPr>
              <w:t>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(828)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(11,596)</w:t>
            </w:r>
          </w:p>
        </w:tc>
      </w:tr>
      <w:tr>
        <w:trPr>
          <w:trHeight w:val="193"/>
        </w:trPr>
        <w:tc>
          <w:tcPr>
            <w:tcW w:w="7900" w:type="dxa"/>
            <w:vAlign w:val="bottom"/>
          </w:tcPr>
          <w:p>
            <w:pPr>
              <w:ind w:left="1020"/>
              <w:spacing w:after="0" w:line="193" w:lineRule="exact"/>
              <w:rPr>
                <w:sz w:val="20"/>
                <w:szCs w:val="20"/>
                <w:color w:val="auto"/>
              </w:rPr>
            </w:pPr>
            <w:r>
              <w:rPr>
                <w:rFonts w:ascii="Calibri" w:cs="Calibri" w:eastAsia="Calibri" w:hAnsi="Calibri"/>
                <w:sz w:val="16"/>
                <w:szCs w:val="16"/>
                <w:color w:val="auto"/>
              </w:rPr>
              <w:t>Accrued liabilites</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10,708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(737)</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1020"/>
              <w:spacing w:after="0" w:line="193" w:lineRule="exact"/>
              <w:rPr>
                <w:sz w:val="20"/>
                <w:szCs w:val="20"/>
                <w:color w:val="auto"/>
              </w:rPr>
            </w:pPr>
            <w:r>
              <w:rPr>
                <w:rFonts w:ascii="Calibri" w:cs="Calibri" w:eastAsia="Calibri" w:hAnsi="Calibri"/>
                <w:sz w:val="16"/>
                <w:szCs w:val="16"/>
                <w:color w:val="auto"/>
              </w:rPr>
              <w:t>Lease liabilites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(2,676)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(1,958)</w:t>
            </w:r>
          </w:p>
        </w:tc>
      </w:tr>
      <w:tr>
        <w:trPr>
          <w:trHeight w:val="193"/>
        </w:trPr>
        <w:tc>
          <w:tcPr>
            <w:tcW w:w="7900" w:type="dxa"/>
            <w:vAlign w:val="bottom"/>
          </w:tcPr>
          <w:p>
            <w:pPr>
              <w:ind w:left="1020"/>
              <w:spacing w:after="0" w:line="193" w:lineRule="exact"/>
              <w:rPr>
                <w:sz w:val="20"/>
                <w:szCs w:val="20"/>
                <w:color w:val="auto"/>
              </w:rPr>
            </w:pPr>
            <w:r>
              <w:rPr>
                <w:rFonts w:ascii="Calibri" w:cs="Calibri" w:eastAsia="Calibri" w:hAnsi="Calibri"/>
                <w:sz w:val="16"/>
                <w:szCs w:val="16"/>
                <w:color w:val="auto"/>
              </w:rPr>
              <w:t>Income taxes</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(1,390)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3,290</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7900" w:type="dxa"/>
            <w:vAlign w:val="bottom"/>
            <w:tcBorders>
              <w:bottom w:val="single" w:sz="8" w:color="CCEEFF"/>
            </w:tcBorders>
            <w:shd w:val="clear" w:color="auto" w:fill="CCEEFF"/>
          </w:tcPr>
          <w:p>
            <w:pPr>
              <w:ind w:left="1020"/>
              <w:spacing w:after="0" w:line="193" w:lineRule="exact"/>
              <w:rPr>
                <w:sz w:val="20"/>
                <w:szCs w:val="20"/>
                <w:color w:val="auto"/>
              </w:rPr>
            </w:pPr>
            <w:r>
              <w:rPr>
                <w:rFonts w:ascii="Calibri" w:cs="Calibri" w:eastAsia="Calibri" w:hAnsi="Calibri"/>
                <w:sz w:val="16"/>
                <w:szCs w:val="16"/>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(443)</w:t>
            </w:r>
          </w:p>
        </w:tc>
      </w:tr>
      <w:tr>
        <w:trPr>
          <w:trHeight w:val="187"/>
        </w:trPr>
        <w:tc>
          <w:tcPr>
            <w:tcW w:w="790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provided by operatng actvites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159,499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77,400</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193"/>
        </w:trPr>
        <w:tc>
          <w:tcPr>
            <w:tcW w:w="7900" w:type="dxa"/>
            <w:vAlign w:val="bottom"/>
          </w:tcPr>
          <w:p>
            <w:pPr>
              <w:ind w:left="360"/>
              <w:spacing w:after="0" w:line="193" w:lineRule="exact"/>
              <w:rPr>
                <w:sz w:val="20"/>
                <w:szCs w:val="20"/>
                <w:color w:val="auto"/>
              </w:rPr>
            </w:pPr>
            <w:r>
              <w:rPr>
                <w:rFonts w:ascii="Calibri" w:cs="Calibri" w:eastAsia="Calibri" w:hAnsi="Calibri"/>
                <w:sz w:val="16"/>
                <w:szCs w:val="16"/>
                <w:color w:val="auto"/>
              </w:rPr>
              <w:t>Additons to property, plant, and equipment</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(40,151)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(48,321)</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Acquisitons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(83,455)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7900" w:type="dxa"/>
            <w:vAlign w:val="bottom"/>
          </w:tcPr>
          <w:p>
            <w:pPr>
              <w:ind w:left="360"/>
              <w:spacing w:after="0" w:line="193" w:lineRule="exact"/>
              <w:rPr>
                <w:sz w:val="20"/>
                <w:szCs w:val="20"/>
                <w:color w:val="auto"/>
              </w:rPr>
            </w:pPr>
            <w:r>
              <w:rPr>
                <w:rFonts w:ascii="Calibri" w:cs="Calibri" w:eastAsia="Calibri" w:hAnsi="Calibri"/>
                <w:sz w:val="16"/>
                <w:szCs w:val="16"/>
                <w:color w:val="auto"/>
              </w:rPr>
              <w:t>Proceeds from asset disposals</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1,102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7,091</w:t>
            </w:r>
          </w:p>
        </w:tc>
      </w:tr>
      <w:tr>
        <w:trPr>
          <w:trHeight w:val="23"/>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0"/>
        </w:trPr>
        <w:tc>
          <w:tcPr>
            <w:tcW w:w="790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(122,504)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(41,230)</w:t>
            </w:r>
          </w:p>
        </w:tc>
      </w:tr>
      <w:tr>
        <w:trPr>
          <w:trHeight w:val="193"/>
        </w:trPr>
        <w:tc>
          <w:tcPr>
            <w:tcW w:w="790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dividends paid</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(13,238)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(12,001)</w:t>
            </w:r>
          </w:p>
        </w:tc>
      </w:tr>
      <w:tr>
        <w:trPr>
          <w:trHeight w:val="193"/>
        </w:trPr>
        <w:tc>
          <w:tcPr>
            <w:tcW w:w="7900" w:type="dxa"/>
            <w:vAlign w:val="bottom"/>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2,242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2,008</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(1,550)</w:t>
            </w:r>
          </w:p>
        </w:tc>
      </w:tr>
      <w:tr>
        <w:trPr>
          <w:trHeight w:val="194"/>
        </w:trPr>
        <w:tc>
          <w:tcPr>
            <w:tcW w:w="790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(11,272)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(6,557)</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Payments on senior secured revolving loan</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(98,000)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(59,000)</w:t>
            </w:r>
          </w:p>
        </w:tc>
      </w:tr>
      <w:tr>
        <w:trPr>
          <w:trHeight w:val="194"/>
        </w:trPr>
        <w:tc>
          <w:tcPr>
            <w:tcW w:w="7900" w:type="dxa"/>
            <w:vAlign w:val="bottom"/>
          </w:tcPr>
          <w:p>
            <w:pPr>
              <w:ind w:left="360"/>
              <w:spacing w:after="0" w:line="193" w:lineRule="exact"/>
              <w:rPr>
                <w:sz w:val="20"/>
                <w:szCs w:val="20"/>
                <w:color w:val="auto"/>
              </w:rPr>
            </w:pPr>
            <w:r>
              <w:rPr>
                <w:rFonts w:ascii="Calibri" w:cs="Calibri" w:eastAsia="Calibri" w:hAnsi="Calibri"/>
                <w:sz w:val="16"/>
                <w:szCs w:val="16"/>
                <w:color w:val="auto"/>
              </w:rPr>
              <w:t>Borrowings on senior secured revolving loan</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85,000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45,000</w:t>
            </w:r>
          </w:p>
        </w:tc>
      </w:tr>
      <w:tr>
        <w:trPr>
          <w:trHeight w:val="23"/>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fnancing actvites</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(37,408)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(32,100)</w:t>
            </w:r>
          </w:p>
        </w:tc>
      </w:tr>
      <w:tr>
        <w:trPr>
          <w:trHeight w:val="187"/>
        </w:trPr>
        <w:tc>
          <w:tcPr>
            <w:tcW w:w="7900" w:type="dxa"/>
            <w:vAlign w:val="bottom"/>
          </w:tcPr>
          <w:p>
            <w:pPr>
              <w:ind w:left="180"/>
              <w:spacing w:after="0" w:line="174" w:lineRule="exact"/>
              <w:rPr>
                <w:sz w:val="20"/>
                <w:szCs w:val="20"/>
                <w:color w:val="auto"/>
              </w:rPr>
            </w:pPr>
            <w:r>
              <w:rPr>
                <w:rFonts w:ascii="Calibri" w:cs="Calibri" w:eastAsia="Calibri" w:hAnsi="Calibri"/>
                <w:sz w:val="16"/>
                <w:szCs w:val="16"/>
                <w:color w:val="auto"/>
              </w:rPr>
              <w:t>NET (DECREASE) INCREASE IN CASH AND CASH EQUIVALENTS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(413)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4,070</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79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AND CASH EQUIVALENTS - beginning of year</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7,566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3,496</w:t>
            </w:r>
          </w:p>
        </w:tc>
      </w:tr>
      <w:tr>
        <w:trPr>
          <w:trHeight w:val="187"/>
        </w:trPr>
        <w:tc>
          <w:tcPr>
            <w:tcW w:w="7900" w:type="dxa"/>
            <w:vAlign w:val="bottom"/>
          </w:tcPr>
          <w:p>
            <w:pPr>
              <w:ind w:left="360"/>
              <w:spacing w:after="0" w:line="174" w:lineRule="exact"/>
              <w:rPr>
                <w:sz w:val="20"/>
                <w:szCs w:val="20"/>
                <w:color w:val="auto"/>
              </w:rPr>
            </w:pPr>
            <w:r>
              <w:rPr>
                <w:rFonts w:ascii="Calibri" w:cs="Calibri" w:eastAsia="Calibri" w:hAnsi="Calibri"/>
                <w:sz w:val="16"/>
                <w:szCs w:val="16"/>
                <w:color w:val="auto"/>
              </w:rPr>
              <w:t>CASH AND CASH EQUIVALENTS - end of year</w:t>
            </w:r>
          </w:p>
        </w:tc>
        <w:tc>
          <w:tcPr>
            <w:tcW w:w="220" w:type="dxa"/>
            <w:vAlign w:val="bottom"/>
            <w:tcBorders>
              <w:top w:val="single" w:sz="8" w:color="auto"/>
            </w:tcBorders>
          </w:tcPr>
          <w:p>
            <w:pPr>
              <w:jc w:val="right"/>
              <w:ind w:right="39"/>
              <w:spacing w:after="0" w:line="187" w:lineRule="exact"/>
              <w:rPr>
                <w:sz w:val="20"/>
                <w:szCs w:val="20"/>
                <w:color w:val="auto"/>
              </w:rPr>
            </w:pPr>
            <w:r>
              <w:rPr>
                <w:rFonts w:ascii="Calibri" w:cs="Calibri" w:eastAsia="Calibri" w:hAnsi="Calibri"/>
                <w:sz w:val="16"/>
                <w:szCs w:val="16"/>
                <w:color w:val="auto"/>
                <w:w w:val="97"/>
              </w:rPr>
              <w:t>$</w:t>
            </w:r>
          </w:p>
        </w:tc>
        <w:tc>
          <w:tcPr>
            <w:tcW w:w="14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7,153</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7,566</w:t>
            </w:r>
          </w:p>
        </w:tc>
      </w:tr>
      <w:tr>
        <w:trPr>
          <w:trHeight w:val="23"/>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3"/>
        </w:trPr>
        <w:tc>
          <w:tcPr>
            <w:tcW w:w="7900" w:type="dxa"/>
            <w:vAlign w:val="bottom"/>
            <w:tcBorders>
              <w:bottom w:val="single" w:sz="8" w:color="CCEEFF"/>
            </w:tcBorders>
            <w:shd w:val="clear" w:color="auto" w:fill="CCEEFF"/>
          </w:tcPr>
          <w:p>
            <w:pPr>
              <w:ind w:left="180"/>
              <w:spacing w:after="0" w:line="161" w:lineRule="exact"/>
              <w:rPr>
                <w:sz w:val="20"/>
                <w:szCs w:val="20"/>
                <w:color w:val="auto"/>
              </w:rPr>
            </w:pPr>
            <w:r>
              <w:rPr>
                <w:rFonts w:ascii="Calibri" w:cs="Calibri" w:eastAsia="Calibri" w:hAnsi="Calibri"/>
                <w:sz w:val="16"/>
                <w:szCs w:val="16"/>
                <w:color w:val="auto"/>
              </w:rPr>
              <w:t>SUPPLEMENTAL DISCLOSURES OF CASH FLOW INFORMATION-</w:t>
            </w:r>
          </w:p>
        </w:tc>
        <w:tc>
          <w:tcPr>
            <w:tcW w:w="2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94"/>
        </w:trPr>
        <w:tc>
          <w:tcPr>
            <w:tcW w:w="7900" w:type="dxa"/>
            <w:vAlign w:val="bottom"/>
          </w:tcPr>
          <w:p>
            <w:pPr>
              <w:ind w:left="360"/>
              <w:spacing w:after="0" w:line="193" w:lineRule="exact"/>
              <w:rPr>
                <w:sz w:val="20"/>
                <w:szCs w:val="20"/>
                <w:color w:val="auto"/>
              </w:rPr>
            </w:pPr>
            <w:r>
              <w:rPr>
                <w:rFonts w:ascii="Calibri" w:cs="Calibri" w:eastAsia="Calibri" w:hAnsi="Calibri"/>
                <w:sz w:val="16"/>
                <w:szCs w:val="16"/>
                <w:color w:val="auto"/>
              </w:rPr>
              <w:t>Cash paid during the year for income taxes</w:t>
            </w:r>
          </w:p>
        </w:tc>
        <w:tc>
          <w:tcPr>
            <w:tcW w:w="2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28,631</w:t>
            </w:r>
          </w:p>
        </w:tc>
        <w:tc>
          <w:tcPr>
            <w:tcW w:w="100" w:type="dxa"/>
            <w:vAlign w:val="bottom"/>
          </w:tcPr>
          <w:p>
            <w:pPr>
              <w:spacing w:after="0"/>
              <w:rPr>
                <w:sz w:val="16"/>
                <w:szCs w:val="16"/>
                <w:color w:val="auto"/>
              </w:rPr>
            </w:pPr>
          </w:p>
        </w:tc>
        <w:tc>
          <w:tcPr>
            <w:tcW w:w="26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19,485</w:t>
            </w:r>
          </w:p>
        </w:tc>
      </w:tr>
      <w:tr>
        <w:trPr>
          <w:trHeight w:val="23"/>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79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4,654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4,759</w:t>
            </w:r>
          </w:p>
        </w:tc>
      </w:tr>
      <w:tr>
        <w:trPr>
          <w:trHeight w:val="193"/>
        </w:trPr>
        <w:tc>
          <w:tcPr>
            <w:tcW w:w="7900" w:type="dxa"/>
            <w:vAlign w:val="bottom"/>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22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2,697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2,340</w:t>
            </w:r>
          </w:p>
        </w:tc>
      </w:tr>
    </w:tbl>
    <w:p>
      <w:pPr>
        <w:sectPr>
          <w:pgSz w:w="11900" w:h="16838" w:orient="portrait"/>
          <w:cols w:equalWidth="0" w:num="1">
            <w:col w:w="11240"/>
          </w:cols>
          <w:pgMar w:left="320" w:top="882" w:right="339" w:bottom="1440" w:gutter="0" w:footer="0" w:header="0"/>
        </w:sectPr>
      </w:pPr>
    </w:p>
    <w:bookmarkStart w:id="10" w:name="page11"/>
    <w:bookmarkEnd w:id="10"/>
    <w:p>
      <w:pPr>
        <w:jc w:val="center"/>
        <w:ind w:right="-179"/>
        <w:spacing w:after="0"/>
        <w:rPr>
          <w:sz w:val="20"/>
          <w:szCs w:val="20"/>
          <w:color w:val="auto"/>
        </w:rPr>
      </w:pPr>
      <w:r>
        <w:rPr>
          <w:rFonts w:ascii="Calibri" w:cs="Calibri" w:eastAsia="Calibri" w:hAnsi="Calibri"/>
          <w:sz w:val="18"/>
          <w:szCs w:val="18"/>
          <w:b w:val="1"/>
          <w:bCs w:val="1"/>
          <w:color w:val="auto"/>
        </w:rPr>
        <w:t>HAWKINS, INC.</w:t>
      </w:r>
    </w:p>
    <w:p>
      <w:pPr>
        <w:jc w:val="center"/>
        <w:ind w:right="-179"/>
        <w:spacing w:after="0" w:line="235" w:lineRule="auto"/>
        <w:rPr>
          <w:sz w:val="20"/>
          <w:szCs w:val="20"/>
          <w:color w:val="auto"/>
        </w:rPr>
      </w:pPr>
      <w:r>
        <w:rPr>
          <w:rFonts w:ascii="Calibri" w:cs="Calibri" w:eastAsia="Calibri" w:hAnsi="Calibri"/>
          <w:sz w:val="18"/>
          <w:szCs w:val="18"/>
          <w:b w:val="1"/>
          <w:bCs w:val="1"/>
          <w:color w:val="auto"/>
        </w:rPr>
        <w:t>REPORTABLE SEGMENTS (UNAUDITED)</w:t>
      </w:r>
    </w:p>
    <w:p>
      <w:pPr>
        <w:jc w:val="center"/>
        <w:ind w:right="-179"/>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140"/>
              <w:spacing w:after="0"/>
              <w:rPr>
                <w:sz w:val="20"/>
                <w:szCs w:val="20"/>
                <w:color w:val="auto"/>
              </w:rPr>
            </w:pPr>
            <w:r>
              <w:rPr>
                <w:rFonts w:ascii="Calibri" w:cs="Calibri" w:eastAsia="Calibri" w:hAnsi="Calibri"/>
                <w:sz w:val="14"/>
                <w:szCs w:val="14"/>
                <w:b w:val="1"/>
                <w:bCs w:val="1"/>
                <w:color w:val="auto"/>
              </w:rPr>
              <w:t>Industrial</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320"/>
              <w:spacing w:after="0"/>
              <w:rPr>
                <w:sz w:val="20"/>
                <w:szCs w:val="20"/>
                <w:color w:val="auto"/>
              </w:rPr>
            </w:pPr>
            <w:r>
              <w:rPr>
                <w:rFonts w:ascii="Calibri" w:cs="Calibri" w:eastAsia="Calibri" w:hAnsi="Calibri"/>
                <w:sz w:val="14"/>
                <w:szCs w:val="14"/>
                <w:b w:val="1"/>
                <w:bCs w:val="1"/>
                <w:color w:val="auto"/>
              </w:rPr>
              <w:t>Water</w:t>
            </w:r>
          </w:p>
        </w:tc>
        <w:tc>
          <w:tcPr>
            <w:tcW w:w="1440" w:type="dxa"/>
            <w:vAlign w:val="bottom"/>
            <w:gridSpan w:val="3"/>
            <w:vMerge w:val="restart"/>
            <w:shd w:val="clear" w:color="auto" w:fill="CCEEFF"/>
          </w:tcPr>
          <w:p>
            <w:pPr>
              <w:ind w:left="60"/>
              <w:spacing w:after="0"/>
              <w:rPr>
                <w:sz w:val="20"/>
                <w:szCs w:val="20"/>
                <w:color w:val="auto"/>
              </w:rPr>
            </w:pPr>
            <w:r>
              <w:rPr>
                <w:rFonts w:ascii="Calibri" w:cs="Calibri" w:eastAsia="Calibri" w:hAnsi="Calibri"/>
                <w:sz w:val="14"/>
                <w:szCs w:val="14"/>
                <w:b w:val="1"/>
                <w:bCs w:val="1"/>
                <w:color w:val="auto"/>
              </w:rPr>
              <w:t>Health and Nutriton</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52"/>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Calibri" w:cs="Calibri" w:eastAsia="Calibri" w:hAnsi="Calibri"/>
                <w:sz w:val="14"/>
                <w:szCs w:val="14"/>
                <w:b w:val="1"/>
                <w:bCs w:val="1"/>
                <w:color w:val="auto"/>
              </w:rPr>
              <w:t>Treatment</w:t>
            </w:r>
          </w:p>
        </w:tc>
        <w:tc>
          <w:tcPr>
            <w:tcW w:w="1440" w:type="dxa"/>
            <w:vAlign w:val="bottom"/>
            <w:tcBorders>
              <w:bottom w:val="single" w:sz="8" w:color="CCEEFF"/>
            </w:tcBorders>
            <w:gridSpan w:val="3"/>
            <w:vMerge w:val="continue"/>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Fiscal Year Ended March 31, 2024: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409,465</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363,289</w:t>
            </w:r>
          </w:p>
        </w:tc>
        <w:tc>
          <w:tcPr>
            <w:tcW w:w="100" w:type="dxa"/>
            <w:vAlign w:val="bottom"/>
          </w:tcPr>
          <w:p>
            <w:pPr>
              <w:spacing w:after="0"/>
              <w:rPr>
                <w:sz w:val="19"/>
                <w:szCs w:val="19"/>
                <w:color w:val="auto"/>
              </w:rPr>
            </w:pPr>
          </w:p>
        </w:tc>
        <w:tc>
          <w:tcPr>
            <w:tcW w:w="400" w:type="dxa"/>
            <w:vAlign w:val="bottom"/>
          </w:tcPr>
          <w:p>
            <w:pPr>
              <w:jc w:val="right"/>
              <w:ind w:right="196"/>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146,408</w:t>
            </w:r>
          </w:p>
        </w:tc>
        <w:tc>
          <w:tcPr>
            <w:tcW w:w="100" w:type="dxa"/>
            <w:vAlign w:val="bottom"/>
          </w:tcPr>
          <w:p>
            <w:pPr>
              <w:spacing w:after="0"/>
              <w:rPr>
                <w:sz w:val="19"/>
                <w:szCs w:val="19"/>
                <w:color w:val="auto"/>
              </w:rPr>
            </w:pP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919,162</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67,545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98,498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27,593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193,636</w:t>
            </w: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28,316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45,286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89,600</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39,229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53,212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11,595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104,036</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Fiscal Year Ended April 2, 2023: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470,760</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304,925</w:t>
            </w:r>
          </w:p>
        </w:tc>
        <w:tc>
          <w:tcPr>
            <w:tcW w:w="100" w:type="dxa"/>
            <w:vAlign w:val="bottom"/>
          </w:tcPr>
          <w:p>
            <w:pPr>
              <w:spacing w:after="0"/>
              <w:rPr>
                <w:sz w:val="19"/>
                <w:szCs w:val="19"/>
                <w:color w:val="auto"/>
              </w:rPr>
            </w:pPr>
          </w:p>
        </w:tc>
        <w:tc>
          <w:tcPr>
            <w:tcW w:w="400" w:type="dxa"/>
            <w:vAlign w:val="bottom"/>
          </w:tcPr>
          <w:p>
            <w:pPr>
              <w:jc w:val="right"/>
              <w:ind w:right="196"/>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159,413</w:t>
            </w:r>
          </w:p>
        </w:tc>
        <w:tc>
          <w:tcPr>
            <w:tcW w:w="100" w:type="dxa"/>
            <w:vAlign w:val="bottom"/>
          </w:tcPr>
          <w:p>
            <w:pPr>
              <w:spacing w:after="0"/>
              <w:rPr>
                <w:sz w:val="19"/>
                <w:szCs w:val="19"/>
                <w:color w:val="auto"/>
              </w:rPr>
            </w:pP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935,098</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68,115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67,208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29,796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165,119</w:t>
            </w:r>
          </w:p>
        </w:tc>
        <w:tc>
          <w:tcPr>
            <w:tcW w:w="0" w:type="dxa"/>
            <w:vAlign w:val="bottom"/>
          </w:tcPr>
          <w:p>
            <w:pPr>
              <w:spacing w:after="0"/>
              <w:rPr>
                <w:sz w:val="1"/>
                <w:szCs w:val="1"/>
                <w:color w:val="auto"/>
              </w:rPr>
            </w:pPr>
          </w:p>
        </w:tc>
      </w:tr>
      <w:tr>
        <w:trPr>
          <w:trHeight w:val="222"/>
        </w:trPr>
        <w:tc>
          <w:tcPr>
            <w:tcW w:w="54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4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25,703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35,734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15,532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76,969</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Operatng income (loss)</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42,412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31,474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14,264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88,150</w:t>
            </w:r>
          </w:p>
        </w:tc>
        <w:tc>
          <w:tcPr>
            <w:tcW w:w="0" w:type="dxa"/>
            <w:vAlign w:val="bottom"/>
          </w:tcPr>
          <w:p>
            <w:pPr>
              <w:spacing w:after="0"/>
              <w:rPr>
                <w:sz w:val="1"/>
                <w:szCs w:val="1"/>
                <w:color w:val="auto"/>
              </w:rPr>
            </w:pPr>
          </w:p>
        </w:tc>
      </w:tr>
    </w:tbl>
    <w:p>
      <w:pPr>
        <w:sectPr>
          <w:pgSz w:w="11900" w:h="16838" w:orient="portrait"/>
          <w:cols w:equalWidth="0" w:num="1">
            <w:col w:w="11060"/>
          </w:cols>
          <w:pgMar w:left="320" w:top="882" w:right="519" w:bottom="1440" w:gutter="0" w:footer="0" w:header="0"/>
        </w:sectPr>
      </w:pPr>
    </w:p>
    <w:bookmarkStart w:id="11" w:name="page12"/>
    <w:bookmarkEnd w:id="11"/>
    <w:p>
      <w:pPr>
        <w:spacing w:after="0" w:line="217" w:lineRule="auto"/>
        <w:rPr>
          <w:rFonts w:ascii="Calibri" w:cs="Calibri" w:eastAsia="Calibri" w:hAnsi="Calibri"/>
          <w:sz w:val="18"/>
          <w:szCs w:val="18"/>
          <w:color w:val="auto"/>
        </w:rPr>
      </w:pPr>
      <w:r>
        <w:rPr>
          <w:rFonts w:ascii="Calibri" w:cs="Calibri" w:eastAsia="Calibri" w:hAnsi="Calibri"/>
          <w:sz w:val="18"/>
          <w:szCs w:val="18"/>
          <w:u w:val="single" w:color="auto"/>
          <w:color w:val="auto"/>
        </w:rPr>
        <w:t>Forward-Looking Statements</w:t>
      </w:r>
      <w:r>
        <w:rPr>
          <w:rFonts w:ascii="Calibri" w:cs="Calibri" w:eastAsia="Calibri" w:hAnsi="Calibri"/>
          <w:sz w:val="18"/>
          <w:szCs w:val="18"/>
          <w:color w:val="auto"/>
        </w:rPr>
        <w:t xml:space="preserve">. Various remarks in this press release consttute forward-looking statements within the meaning of Secton 27A of the Securites Act of 1933, as amended, and Secton 21E of the Securites Exchange Act of 1934, as amended. These statements include those relatng to expectatons for results in our business segments and our ability to generate cash fow and pay down debt. These statements are not historical facts, but rather are based on our current expectatons, estmates and projectons, and our beliefs and assumptons. Forward-looking statements may be identfed by terms, including “antcipate,” “believe,” “can,” “could,” “expect,” “intend,” “may,” “predict,” “should,” or “will” or the negatve of these terms or other comparable terms. These statements are not guarantees of future performance and are subject to certain risks, uncertaintes and other factors, some of which are beyond our control and are difcult to predict. Actual results may vary materially from those contained in forward looking statements based on a number of factors, including, but not limited to, changes in regulaton, changes in the labor markets, changes in competton and price pressures, changes in demand and customer requirements or processes for our products, availability of product and disruptons to supplies, interruptons in producton resultng from hazards, transportaton limitatons or other extraordinary events outside our control that may negatvely impact our business or the supply chains in which we partcipate, changes in imported products and tarif levels, the availability of products and the prices at which they are available, the acceptance of new products by our customers and the tming of any such acceptance, changes in pricing of our products and our ability to pass any changes on to our customers, changes in product supplies and the terms of our credit agreement. Additonal informaton concerning potental factors that could afect future fnancial results is included in our </w:t>
      </w:r>
      <w:hyperlink r:id="rId14">
        <w:r>
          <w:rPr>
            <w:rFonts w:ascii="Calibri" w:cs="Calibri" w:eastAsia="Calibri" w:hAnsi="Calibri"/>
            <w:sz w:val="18"/>
            <w:szCs w:val="18"/>
            <w:u w:val="single" w:color="auto"/>
            <w:color w:val="0000FF"/>
          </w:rPr>
          <w:t>Annual Report on Form 10-K for the fscal year ended April 2, 2023</w:t>
        </w:r>
      </w:hyperlink>
      <w:r>
        <w:rPr>
          <w:rFonts w:ascii="Calibri" w:cs="Calibri" w:eastAsia="Calibri" w:hAnsi="Calibri"/>
          <w:sz w:val="18"/>
          <w:szCs w:val="18"/>
          <w:color w:val="auto"/>
        </w:rPr>
        <w:t>, as updated from tme to tme in amendments and subsequent reports fled with the SEC. Investors should take such risks into account when making investment decisions. Shareholders and other readers are cautoned not to place undue reliance on forward-looking statements, which refect our management’s view only as of the date hereof. We do not undertake any obligaton to update any forward-looking statements.</w:t>
      </w:r>
    </w:p>
    <w:p>
      <w:pPr>
        <w:spacing w:after="0" w:line="236" w:lineRule="exact"/>
        <w:rPr>
          <w:sz w:val="20"/>
          <w:szCs w:val="20"/>
          <w:color w:val="auto"/>
        </w:rPr>
      </w:pPr>
    </w:p>
    <w:p>
      <w:pPr>
        <w:spacing w:after="0"/>
        <w:tabs>
          <w:tab w:leader="none" w:pos="820" w:val="left"/>
        </w:tabs>
        <w:rPr>
          <w:sz w:val="20"/>
          <w:szCs w:val="20"/>
          <w:color w:val="auto"/>
        </w:rPr>
      </w:pPr>
      <w:r>
        <w:rPr>
          <w:rFonts w:ascii="Calibri" w:cs="Calibri" w:eastAsia="Calibri" w:hAnsi="Calibri"/>
          <w:sz w:val="18"/>
          <w:szCs w:val="18"/>
          <w:color w:val="auto"/>
        </w:rPr>
        <w:t>Contacts:</w:t>
      </w:r>
      <w:r>
        <w:rPr>
          <w:sz w:val="20"/>
          <w:szCs w:val="20"/>
          <w:color w:val="auto"/>
        </w:rPr>
        <w:tab/>
      </w:r>
      <w:r>
        <w:rPr>
          <w:rFonts w:ascii="Calibri" w:cs="Calibri" w:eastAsia="Calibri" w:hAnsi="Calibri"/>
          <w:sz w:val="17"/>
          <w:szCs w:val="17"/>
          <w:color w:val="auto"/>
        </w:rPr>
        <w:t>Jefrey P. Oldenkamp</w:t>
      </w:r>
    </w:p>
    <w:p>
      <w:pPr>
        <w:ind w:left="1300"/>
        <w:spacing w:after="0" w:line="221" w:lineRule="auto"/>
        <w:rPr>
          <w:sz w:val="20"/>
          <w:szCs w:val="20"/>
          <w:color w:val="auto"/>
        </w:rPr>
      </w:pPr>
      <w:r>
        <w:rPr>
          <w:rFonts w:ascii="Calibri" w:cs="Calibri" w:eastAsia="Calibri" w:hAnsi="Calibri"/>
          <w:sz w:val="18"/>
          <w:szCs w:val="18"/>
          <w:color w:val="auto"/>
        </w:rPr>
        <w:t>Executve Vice President and Chief Financial Ofcer</w:t>
      </w:r>
    </w:p>
    <w:p>
      <w:pPr>
        <w:ind w:left="1300"/>
        <w:spacing w:after="0" w:line="236" w:lineRule="auto"/>
        <w:rPr>
          <w:sz w:val="20"/>
          <w:szCs w:val="20"/>
          <w:color w:val="auto"/>
        </w:rPr>
      </w:pPr>
      <w:r>
        <w:rPr>
          <w:rFonts w:ascii="Calibri" w:cs="Calibri" w:eastAsia="Calibri" w:hAnsi="Calibri"/>
          <w:sz w:val="18"/>
          <w:szCs w:val="18"/>
          <w:color w:val="auto"/>
        </w:rPr>
        <w:t>612/331-6910</w:t>
      </w:r>
    </w:p>
    <w:p>
      <w:pPr>
        <w:ind w:left="1300"/>
        <w:spacing w:after="0" w:line="221" w:lineRule="auto"/>
        <w:rPr>
          <w:sz w:val="20"/>
          <w:szCs w:val="20"/>
          <w:color w:val="auto"/>
        </w:rPr>
      </w:pPr>
      <w:r>
        <w:rPr>
          <w:rFonts w:ascii="Calibri" w:cs="Calibri" w:eastAsia="Calibri" w:hAnsi="Calibri"/>
          <w:sz w:val="18"/>
          <w:szCs w:val="18"/>
          <w:u w:val="single" w:color="auto"/>
          <w:color w:val="auto"/>
        </w:rPr>
        <w:t>ir@HawkinsInc.com</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s://www.sec.gov/ix?doc=/Archives/edgar/data/46250/000004625023000015/hwkn-202304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2024-05-15T15:43:15Z</dcterms:created>
  <dcterms:modified xsi:type="dcterms:W3CDTF">2024-05-15T15:43:15Z</dcterms:modified>
</cp:coreProperties>
</file>