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May 13, 2008</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0" w:gutter="0" w:footer="0" w:header="0"/>
        </w:sectPr>
      </w:pPr>
    </w:p>
    <w:p>
      <w:pPr>
        <w:spacing w:after="0" w:line="200" w:lineRule="exact"/>
        <w:rPr>
          <w:sz w:val="24"/>
          <w:szCs w:val="24"/>
          <w:color w:val="auto"/>
        </w:rPr>
      </w:pPr>
    </w:p>
    <w:p>
      <w:pPr>
        <w:spacing w:after="0" w:line="214" w:lineRule="exact"/>
        <w:rPr>
          <w:sz w:val="24"/>
          <w:szCs w:val="24"/>
          <w:color w:val="auto"/>
        </w:rPr>
      </w:pPr>
    </w:p>
    <w:p>
      <w:pPr>
        <w:ind w:left="1340"/>
        <w:spacing w:after="0"/>
        <w:rPr>
          <w:sz w:val="20"/>
          <w:szCs w:val="20"/>
          <w:color w:val="auto"/>
        </w:rPr>
      </w:pPr>
      <w:r>
        <w:rPr>
          <w:rFonts w:ascii="Arial" w:cs="Arial" w:eastAsia="Arial" w:hAnsi="Arial"/>
          <w:sz w:val="19"/>
          <w:szCs w:val="19"/>
          <w:color w:val="auto"/>
        </w:rPr>
        <w:t>Minnesota</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jc w:val="center"/>
        <w:ind w:right="2360"/>
        <w:spacing w:after="0"/>
        <w:rPr>
          <w:sz w:val="20"/>
          <w:szCs w:val="20"/>
          <w:color w:val="auto"/>
        </w:rPr>
      </w:pPr>
      <w:r>
        <w:rPr>
          <w:rFonts w:ascii="Arial" w:cs="Arial" w:eastAsia="Arial" w:hAnsi="Arial"/>
          <w:sz w:val="19"/>
          <w:szCs w:val="19"/>
          <w:color w:val="auto"/>
        </w:rPr>
        <w:t>0-7647</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rPr>
          <w:sz w:val="20"/>
          <w:szCs w:val="20"/>
          <w:color w:val="auto"/>
        </w:rPr>
      </w:pPr>
      <w:r>
        <w:rPr>
          <w:rFonts w:ascii="Arial" w:cs="Arial" w:eastAsia="Arial" w:hAnsi="Arial"/>
          <w:sz w:val="19"/>
          <w:szCs w:val="19"/>
          <w:color w:val="auto"/>
        </w:rPr>
        <w:t>41-0771293</w:t>
      </w:r>
    </w:p>
    <w:p>
      <w:pPr>
        <w:spacing w:after="0" w:line="56" w:lineRule="exact"/>
        <w:rPr>
          <w:sz w:val="24"/>
          <w:szCs w:val="24"/>
          <w:color w:val="auto"/>
        </w:rPr>
      </w:pPr>
    </w:p>
    <w:p>
      <w:pPr>
        <w:sectPr>
          <w:pgSz w:w="11900" w:h="16838" w:orient="portrait"/>
          <w:cols w:equalWidth="0" w:num="3">
            <w:col w:w="4680" w:space="720"/>
            <w:col w:w="2980" w:space="720"/>
            <w:col w:w="2320"/>
          </w:cols>
          <w:pgMar w:left="240" w:top="786" w:right="239" w:bottom="0" w:gutter="0" w:footer="0" w:header="0"/>
          <w:type w:val="continuous"/>
        </w:sectPr>
      </w:pPr>
    </w:p>
    <w:p>
      <w:pPr>
        <w:ind w:left="9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60"/>
          </w:cols>
          <w:pgMar w:left="240" w:top="786" w:right="239" w:bottom="0" w:gutter="0" w:footer="0" w:header="0"/>
          <w:type w:val="continuous"/>
        </w:sectPr>
      </w:pPr>
    </w:p>
    <w:p>
      <w:pPr>
        <w:spacing w:after="0" w:line="233" w:lineRule="exact"/>
        <w:rPr>
          <w:sz w:val="24"/>
          <w:szCs w:val="24"/>
          <w:color w:val="auto"/>
        </w:rPr>
      </w:pPr>
    </w:p>
    <w:p>
      <w:pPr>
        <w:ind w:left="1440"/>
        <w:spacing w:after="0"/>
        <w:rPr>
          <w:sz w:val="20"/>
          <w:szCs w:val="20"/>
          <w:color w:val="auto"/>
        </w:rPr>
      </w:pPr>
      <w:r>
        <w:rPr>
          <w:rFonts w:ascii="Arial" w:cs="Arial" w:eastAsia="Arial" w:hAnsi="Arial"/>
          <w:sz w:val="19"/>
          <w:szCs w:val="19"/>
          <w:color w:val="auto"/>
        </w:rPr>
        <w:t>3100 East Hennepin Avenue</w:t>
      </w:r>
    </w:p>
    <w:p>
      <w:pPr>
        <w:spacing w:after="0" w:line="43" w:lineRule="exact"/>
        <w:rPr>
          <w:sz w:val="24"/>
          <w:szCs w:val="24"/>
          <w:color w:val="auto"/>
        </w:rPr>
      </w:pPr>
    </w:p>
    <w:p>
      <w:pPr>
        <w:ind w:left="1900"/>
        <w:spacing w:after="0"/>
        <w:rPr>
          <w:sz w:val="20"/>
          <w:szCs w:val="20"/>
          <w:color w:val="auto"/>
        </w:rPr>
      </w:pPr>
      <w:r>
        <w:rPr>
          <w:rFonts w:ascii="Arial" w:cs="Arial" w:eastAsia="Arial" w:hAnsi="Arial"/>
          <w:sz w:val="22"/>
          <w:szCs w:val="22"/>
          <w:color w:val="auto"/>
        </w:rPr>
        <w:t>Minneapolis, 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9"/>
          <w:szCs w:val="19"/>
          <w:color w:val="auto"/>
        </w:rPr>
        <w:t>55413</w:t>
      </w:r>
    </w:p>
    <w:p>
      <w:pPr>
        <w:spacing w:after="0" w:line="56" w:lineRule="exact"/>
        <w:rPr>
          <w:sz w:val="24"/>
          <w:szCs w:val="24"/>
          <w:color w:val="auto"/>
        </w:rPr>
      </w:pPr>
    </w:p>
    <w:p>
      <w:pPr>
        <w:sectPr>
          <w:pgSz w:w="11900" w:h="16838" w:orient="portrait"/>
          <w:cols w:equalWidth="0" w:num="2">
            <w:col w:w="8640" w:space="720"/>
            <w:col w:w="2060"/>
          </w:cols>
          <w:pgMar w:left="240" w:top="786" w:right="239" w:bottom="0" w:gutter="0" w:footer="0" w:header="0"/>
          <w:type w:val="continuous"/>
        </w:sectPr>
      </w:pPr>
    </w:p>
    <w:p>
      <w:pPr>
        <w:ind w:left="12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520" w:space="720"/>
            <w:col w:w="2180"/>
          </w:cols>
          <w:pgMar w:left="240" w:top="786" w:right="239" w:bottom="0" w:gutter="0" w:footer="0" w:header="0"/>
          <w:type w:val="continuous"/>
        </w:sect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Telephone Number: 612-331-6910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firstLine="456"/>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740" w:hanging="276"/>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740" w:hanging="276"/>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740" w:hanging="276"/>
        <w:spacing w:after="0"/>
        <w:tabs>
          <w:tab w:leader="none" w:pos="7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740" w:hanging="276"/>
        <w:spacing w:after="0"/>
        <w:tabs>
          <w:tab w:leader="none" w:pos="7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040" w:right="1220" w:hanging="1025"/>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82" w:lineRule="exact"/>
        <w:rPr>
          <w:sz w:val="24"/>
          <w:szCs w:val="24"/>
          <w:color w:val="auto"/>
        </w:rPr>
      </w:pPr>
    </w:p>
    <w:p>
      <w:pPr>
        <w:ind w:right="100" w:firstLine="571"/>
        <w:spacing w:after="0" w:line="259" w:lineRule="auto"/>
        <w:rPr>
          <w:sz w:val="20"/>
          <w:szCs w:val="20"/>
          <w:color w:val="auto"/>
        </w:rPr>
      </w:pPr>
      <w:r>
        <w:rPr>
          <w:rFonts w:ascii="Arial" w:cs="Arial" w:eastAsia="Arial" w:hAnsi="Arial"/>
          <w:sz w:val="18"/>
          <w:szCs w:val="18"/>
          <w:color w:val="auto"/>
        </w:rPr>
        <w:t>On May 13, 2008, the Compensation Committee (the “Committee”) of the Board of Directors of Hawkins, Inc. (the “Company”) approved a new performance-based equity compensation arrangement for the named executive officers (the “Officers”) of the Company. These arrangements are effective for the fiscal year ending March 29, 2009 (“Fiscal 2009”).</w:t>
      </w:r>
    </w:p>
    <w:p>
      <w:pPr>
        <w:spacing w:after="0" w:line="194" w:lineRule="exact"/>
        <w:rPr>
          <w:sz w:val="24"/>
          <w:szCs w:val="24"/>
          <w:color w:val="auto"/>
        </w:rPr>
      </w:pPr>
    </w:p>
    <w:p>
      <w:pPr>
        <w:ind w:right="120" w:firstLine="571"/>
        <w:spacing w:after="0" w:line="312" w:lineRule="auto"/>
        <w:rPr>
          <w:sz w:val="20"/>
          <w:szCs w:val="20"/>
          <w:color w:val="auto"/>
        </w:rPr>
      </w:pPr>
      <w:r>
        <w:rPr>
          <w:rFonts w:ascii="Arial" w:cs="Arial" w:eastAsia="Arial" w:hAnsi="Arial"/>
          <w:sz w:val="15"/>
          <w:szCs w:val="15"/>
          <w:color w:val="auto"/>
        </w:rPr>
        <w:t>Each Officer was granted a performance unit representing a future issuance of restricted shares of the Company’s common stock (“Restricted Shares”) based on a Company pre-tax net income growth target for the applicable fiscal year. The actual number of Restricted Shares to be issued to each Officer will be based on a sliding scale for pre-tax net income growth above or below the target and is subject to minimum and maximum thresholds. If the Company’s pre-tax net income grows less than 80% of the target in Fiscal 2009, then no Officer will receive Restricted Shares from the performance units. If the Company’s pre-tax net income grows between 80% and 100% of the target in Fiscal 2009, then the Officers will receive a number of Restricted Shares based on a sliding scale between 50% of the target Restricted Shares and 100% of the target Restricted Shares. If the Company’s pre-tax net income grows between 100% and 120% of the target in Fiscal 2009, then the Officers will receive a number of Restricted Shares based on a sliding scale between 100% of the target Restricted Shares and</w:t>
      </w:r>
    </w:p>
    <w:p>
      <w:pPr>
        <w:sectPr>
          <w:pgSz w:w="11900" w:h="16838" w:orient="portrait"/>
          <w:cols w:equalWidth="0" w:num="1">
            <w:col w:w="11420"/>
          </w:cols>
          <w:pgMar w:left="240" w:top="786" w:right="239" w:bottom="0" w:gutter="0" w:footer="0" w:header="0"/>
          <w:type w:val="continuous"/>
        </w:sectPr>
      </w:pPr>
    </w:p>
    <w:bookmarkStart w:id="1" w:name="page2"/>
    <w:bookmarkEnd w:id="1"/>
    <w:p>
      <w:pPr>
        <w:ind w:right="100"/>
        <w:spacing w:after="0" w:line="268" w:lineRule="auto"/>
        <w:rPr>
          <w:sz w:val="20"/>
          <w:szCs w:val="20"/>
          <w:color w:val="auto"/>
        </w:rPr>
      </w:pPr>
      <w:r>
        <w:rPr>
          <w:rFonts w:ascii="Arial" w:cs="Arial" w:eastAsia="Arial" w:hAnsi="Arial"/>
          <w:sz w:val="18"/>
          <w:szCs w:val="18"/>
          <w:color w:val="auto"/>
        </w:rPr>
        <w:t>150% of the target Restricted Shares. If the Company’s pre-tax net income grows by more than 120% of the target in Fiscal 2009, then the Officers will receive a maximum number of Restricted Shares based on 150% of the target Restricted Shares amount.</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Committee has established the following target Restricted Share amounts for the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Position</w:t>
            </w:r>
          </w:p>
        </w:tc>
        <w:tc>
          <w:tcPr>
            <w:tcW w:w="32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5"/>
              </w:rPr>
              <w:t>Minimum</w:t>
            </w: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Target</w:t>
            </w:r>
          </w:p>
        </w:tc>
        <w:tc>
          <w:tcPr>
            <w:tcW w:w="29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Maximum</w:t>
            </w:r>
          </w:p>
        </w:tc>
      </w:tr>
      <w:tr>
        <w:trPr>
          <w:trHeight w:val="202"/>
        </w:trPr>
        <w:tc>
          <w:tcPr>
            <w:tcW w:w="2540" w:type="dxa"/>
            <w:vAlign w:val="bottom"/>
          </w:tcPr>
          <w:p>
            <w:pPr>
              <w:ind w:left="100"/>
              <w:spacing w:after="0" w:line="202" w:lineRule="exact"/>
              <w:rPr>
                <w:sz w:val="20"/>
                <w:szCs w:val="20"/>
                <w:color w:val="auto"/>
              </w:rPr>
            </w:pPr>
            <w:r>
              <w:rPr>
                <w:rFonts w:ascii="Arial" w:cs="Arial" w:eastAsia="Arial" w:hAnsi="Arial"/>
                <w:sz w:val="18"/>
                <w:szCs w:val="18"/>
                <w:color w:val="auto"/>
              </w:rPr>
              <w:t>CEO</w:t>
            </w:r>
          </w:p>
        </w:tc>
        <w:tc>
          <w:tcPr>
            <w:tcW w:w="324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88"/>
              </w:rPr>
              <w:t>4,167</w:t>
            </w:r>
          </w:p>
        </w:tc>
        <w:tc>
          <w:tcPr>
            <w:tcW w:w="2720" w:type="dxa"/>
            <w:vAlign w:val="bottom"/>
          </w:tcPr>
          <w:p>
            <w:pPr>
              <w:ind w:left="1160"/>
              <w:spacing w:after="0" w:line="202" w:lineRule="exact"/>
              <w:rPr>
                <w:sz w:val="20"/>
                <w:szCs w:val="20"/>
                <w:color w:val="auto"/>
              </w:rPr>
            </w:pPr>
            <w:r>
              <w:rPr>
                <w:rFonts w:ascii="Arial" w:cs="Arial" w:eastAsia="Arial" w:hAnsi="Arial"/>
                <w:sz w:val="18"/>
                <w:szCs w:val="18"/>
                <w:color w:val="auto"/>
              </w:rPr>
              <w:t>8,333</w:t>
            </w:r>
          </w:p>
        </w:tc>
        <w:tc>
          <w:tcPr>
            <w:tcW w:w="2920" w:type="dxa"/>
            <w:vAlign w:val="bottom"/>
          </w:tcPr>
          <w:p>
            <w:pPr>
              <w:jc w:val="right"/>
              <w:ind w:right="1092"/>
              <w:spacing w:after="0" w:line="202" w:lineRule="exact"/>
              <w:rPr>
                <w:sz w:val="20"/>
                <w:szCs w:val="20"/>
                <w:color w:val="auto"/>
              </w:rPr>
            </w:pPr>
            <w:r>
              <w:rPr>
                <w:rFonts w:ascii="Arial" w:cs="Arial" w:eastAsia="Arial" w:hAnsi="Arial"/>
                <w:sz w:val="18"/>
                <w:szCs w:val="18"/>
                <w:color w:val="auto"/>
              </w:rPr>
              <w:t>12,500</w:t>
            </w:r>
          </w:p>
        </w:tc>
      </w:tr>
      <w:tr>
        <w:trPr>
          <w:trHeight w:val="222"/>
        </w:trPr>
        <w:tc>
          <w:tcPr>
            <w:tcW w:w="2540" w:type="dxa"/>
            <w:vAlign w:val="bottom"/>
          </w:tcPr>
          <w:p>
            <w:pPr>
              <w:ind w:left="100"/>
              <w:spacing w:after="0"/>
              <w:rPr>
                <w:sz w:val="20"/>
                <w:szCs w:val="20"/>
                <w:color w:val="auto"/>
              </w:rPr>
            </w:pPr>
            <w:r>
              <w:rPr>
                <w:rFonts w:ascii="Arial" w:cs="Arial" w:eastAsia="Arial" w:hAnsi="Arial"/>
                <w:sz w:val="18"/>
                <w:szCs w:val="18"/>
                <w:color w:val="auto"/>
              </w:rPr>
              <w:t>Other Officers</w:t>
            </w:r>
          </w:p>
        </w:tc>
        <w:tc>
          <w:tcPr>
            <w:tcW w:w="3240" w:type="dxa"/>
            <w:vAlign w:val="bottom"/>
          </w:tcPr>
          <w:p>
            <w:pPr>
              <w:jc w:val="center"/>
              <w:ind w:left="192"/>
              <w:spacing w:after="0"/>
              <w:rPr>
                <w:sz w:val="20"/>
                <w:szCs w:val="20"/>
                <w:color w:val="auto"/>
              </w:rPr>
            </w:pPr>
            <w:r>
              <w:rPr>
                <w:rFonts w:ascii="Arial" w:cs="Arial" w:eastAsia="Arial" w:hAnsi="Arial"/>
                <w:sz w:val="18"/>
                <w:szCs w:val="18"/>
                <w:color w:val="auto"/>
                <w:w w:val="88"/>
              </w:rPr>
              <w:t>1,167</w:t>
            </w:r>
          </w:p>
        </w:tc>
        <w:tc>
          <w:tcPr>
            <w:tcW w:w="2720" w:type="dxa"/>
            <w:vAlign w:val="bottom"/>
          </w:tcPr>
          <w:p>
            <w:pPr>
              <w:ind w:left="1160"/>
              <w:spacing w:after="0"/>
              <w:rPr>
                <w:sz w:val="20"/>
                <w:szCs w:val="20"/>
                <w:color w:val="auto"/>
              </w:rPr>
            </w:pPr>
            <w:r>
              <w:rPr>
                <w:rFonts w:ascii="Arial" w:cs="Arial" w:eastAsia="Arial" w:hAnsi="Arial"/>
                <w:sz w:val="18"/>
                <w:szCs w:val="18"/>
                <w:color w:val="auto"/>
              </w:rPr>
              <w:t>2,333</w:t>
            </w:r>
          </w:p>
        </w:tc>
        <w:tc>
          <w:tcPr>
            <w:tcW w:w="2920" w:type="dxa"/>
            <w:vAlign w:val="bottom"/>
          </w:tcPr>
          <w:p>
            <w:pPr>
              <w:jc w:val="right"/>
              <w:ind w:right="1132"/>
              <w:spacing w:after="0"/>
              <w:rPr>
                <w:sz w:val="20"/>
                <w:szCs w:val="20"/>
                <w:color w:val="auto"/>
              </w:rPr>
            </w:pPr>
            <w:r>
              <w:rPr>
                <w:rFonts w:ascii="Arial" w:cs="Arial" w:eastAsia="Arial" w:hAnsi="Arial"/>
                <w:sz w:val="18"/>
                <w:szCs w:val="18"/>
                <w:color w:val="auto"/>
              </w:rPr>
              <w:t>3,500</w:t>
            </w:r>
          </w:p>
        </w:tc>
      </w:tr>
    </w:tbl>
    <w:p>
      <w:pPr>
        <w:spacing w:after="0" w:line="21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actual number of Restricted Shares to be issued to each Officer will be determined after the Company’s final financial information becomes available for the applicable fiscal year. The Restricted Shares will vest 100% two years after the last day of the fiscal year on which the performance is based. The Restricted Shares will terminate in their entirety if an Officer departs the Company before the end of the vesting period. If an Officer retires during the vesting period, a pro-rated number of the Restricted Shares will vest and the remainder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SIGNATURES</w:t>
      </w:r>
    </w:p>
    <w:p>
      <w:pPr>
        <w:spacing w:after="0" w:line="11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4"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Date: May 19, 2008</w:t>
      </w:r>
      <w:r>
        <w:rPr>
          <w:sz w:val="20"/>
          <w:szCs w:val="20"/>
          <w:color w:val="auto"/>
        </w:rPr>
        <w:tab/>
      </w:r>
      <w:r>
        <w:rPr>
          <w:rFonts w:ascii="Arial" w:cs="Arial" w:eastAsia="Arial" w:hAnsi="Arial"/>
          <w:sz w:val="16"/>
          <w:szCs w:val="16"/>
          <w:color w:val="auto"/>
        </w:rPr>
        <w:t>HAWKINS, INC.</w:t>
      </w:r>
    </w:p>
    <w:p>
      <w:pPr>
        <w:spacing w:after="0" w:line="200" w:lineRule="exact"/>
        <w:rPr>
          <w:sz w:val="20"/>
          <w:szCs w:val="20"/>
          <w:color w:val="auto"/>
        </w:rPr>
      </w:pPr>
    </w:p>
    <w:p>
      <w:pPr>
        <w:spacing w:after="0" w:line="20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10795</wp:posOffset>
            </wp:positionV>
            <wp:extent cx="2933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Vice President, Chief Financial Officer,</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2019-12-11T12:52:07Z</dcterms:created>
  <dcterms:modified xsi:type="dcterms:W3CDTF">2019-12-11T12:52:07Z</dcterms:modified>
</cp:coreProperties>
</file>