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3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$.05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1660" w:type="dxa"/>
            <w:vAlign w:val="bottom"/>
            <w:gridSpan w:val="6"/>
          </w:tcPr>
          <w:p>
            <w:pPr>
              <w:spacing w:after="0"/>
              <w:rPr>
                <w:sz w:val="20"/>
                <w:szCs w:val="20"/>
                <w:color w:val="auto"/>
              </w:rPr>
            </w:pPr>
            <w:r>
              <w:rPr>
                <w:rFonts w:ascii="Arial" w:cs="Arial" w:eastAsia="Arial" w:hAnsi="Arial"/>
                <w:sz w:val="18"/>
                <w:szCs w:val="18"/>
                <w:color w:val="auto"/>
                <w:w w:val="89"/>
              </w:rPr>
              <w:t>CUSIP No. 420261109</w:t>
            </w:r>
          </w:p>
        </w:tc>
        <w:tc>
          <w:tcPr>
            <w:tcW w:w="7040" w:type="dxa"/>
            <w:vAlign w:val="bottom"/>
          </w:tcPr>
          <w:p>
            <w:pPr>
              <w:ind w:left="3980"/>
              <w:spacing w:after="0"/>
              <w:rPr>
                <w:sz w:val="20"/>
                <w:szCs w:val="20"/>
                <w:color w:val="auto"/>
              </w:rPr>
            </w:pPr>
            <w:r>
              <w:rPr>
                <w:rFonts w:ascii="Arial" w:cs="Arial" w:eastAsia="Arial" w:hAnsi="Arial"/>
                <w:sz w:val="18"/>
                <w:szCs w:val="18"/>
                <w:color w:val="auto"/>
              </w:rPr>
              <w:t>13G</w:t>
            </w:r>
          </w:p>
        </w:tc>
        <w:tc>
          <w:tcPr>
            <w:tcW w:w="2740" w:type="dxa"/>
            <w:vAlign w:val="bottom"/>
          </w:tcPr>
          <w:p>
            <w:pPr>
              <w:ind w:left="1480"/>
              <w:spacing w:after="0"/>
              <w:rPr>
                <w:sz w:val="20"/>
                <w:szCs w:val="20"/>
                <w:color w:val="auto"/>
              </w:rPr>
            </w:pPr>
            <w:r>
              <w:rPr>
                <w:rFonts w:ascii="Arial" w:cs="Arial" w:eastAsia="Arial" w:hAnsi="Arial"/>
                <w:sz w:val="18"/>
                <w:szCs w:val="18"/>
                <w:color w:val="auto"/>
                <w:w w:val="82"/>
              </w:rPr>
              <w:t>Page 2 of 5 Pages</w:t>
            </w:r>
          </w:p>
        </w:tc>
        <w:tc>
          <w:tcPr>
            <w:tcW w:w="0" w:type="dxa"/>
            <w:vAlign w:val="bottom"/>
          </w:tcPr>
          <w:p>
            <w:pPr>
              <w:spacing w:after="0"/>
              <w:rPr>
                <w:sz w:val="1"/>
                <w:szCs w:val="1"/>
                <w:color w:val="auto"/>
              </w:rPr>
            </w:pPr>
          </w:p>
        </w:tc>
      </w:tr>
      <w:tr>
        <w:trPr>
          <w:trHeight w:val="83"/>
        </w:trPr>
        <w:tc>
          <w:tcPr>
            <w:tcW w:w="3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60" w:type="dxa"/>
            <w:vAlign w:val="bottom"/>
            <w:tcBorders>
              <w:bottom w:val="single" w:sz="8" w:color="auto"/>
            </w:tcBorders>
            <w:gridSpan w:val="5"/>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7"/>
                <w:szCs w:val="17"/>
                <w:color w:val="auto"/>
              </w:rPr>
            </w:pPr>
          </w:p>
        </w:tc>
        <w:tc>
          <w:tcPr>
            <w:tcW w:w="8060" w:type="dxa"/>
            <w:vAlign w:val="bottom"/>
            <w:gridSpan w:val="5"/>
          </w:tcPr>
          <w:p>
            <w:pPr>
              <w:ind w:left="100"/>
              <w:spacing w:after="0" w:line="201" w:lineRule="exact"/>
              <w:rPr>
                <w:sz w:val="20"/>
                <w:szCs w:val="20"/>
                <w:color w:val="auto"/>
              </w:rPr>
            </w:pPr>
            <w:r>
              <w:rPr>
                <w:rFonts w:ascii="Arial" w:cs="Arial" w:eastAsia="Arial" w:hAnsi="Arial"/>
                <w:sz w:val="18"/>
                <w:szCs w:val="18"/>
                <w:color w:val="auto"/>
              </w:rPr>
              <w:t>NAMES OF REPORTING PERSONS</w:t>
            </w:r>
          </w:p>
        </w:tc>
        <w:tc>
          <w:tcPr>
            <w:tcW w:w="2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Hawkins, Inc. Employee Stock Ownership Plan and Trust (Tax ID: 41-0771293)</w:t>
            </w: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9"/>
                <w:szCs w:val="19"/>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(a)</w:t>
            </w:r>
          </w:p>
        </w:tc>
        <w:tc>
          <w:tcPr>
            <w:tcW w:w="66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04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04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8"/>
                <w:szCs w:val="18"/>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8060" w:type="dxa"/>
            <w:vAlign w:val="bottom"/>
            <w:tcBorders>
              <w:bottom w:val="single" w:sz="8" w:color="auto"/>
            </w:tcBorders>
            <w:gridSpan w:val="5"/>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8"/>
                <w:szCs w:val="18"/>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Minnesota</w:t>
            </w:r>
          </w:p>
        </w:tc>
        <w:tc>
          <w:tcPr>
            <w:tcW w:w="704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6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1000" w:type="dxa"/>
            <w:vAlign w:val="bottom"/>
            <w:tcBorders>
              <w:right w:val="single" w:sz="8" w:color="auto"/>
            </w:tcBorders>
            <w:gridSpan w:val="3"/>
          </w:tcPr>
          <w:p>
            <w:pPr>
              <w:jc w:val="center"/>
              <w:ind w:right="152"/>
              <w:spacing w:after="0" w:line="201" w:lineRule="exact"/>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7040" w:type="dxa"/>
            <w:vAlign w:val="bottom"/>
          </w:tcPr>
          <w:p>
            <w:pPr>
              <w:ind w:left="20"/>
              <w:spacing w:after="0" w:line="201" w:lineRule="exact"/>
              <w:rPr>
                <w:sz w:val="20"/>
                <w:szCs w:val="20"/>
                <w:color w:val="auto"/>
              </w:rPr>
            </w:pPr>
            <w:r>
              <w:rPr>
                <w:rFonts w:ascii="Arial" w:cs="Arial" w:eastAsia="Arial" w:hAnsi="Arial"/>
                <w:sz w:val="18"/>
                <w:szCs w:val="18"/>
                <w:color w:val="auto"/>
              </w:rPr>
              <w:t>SHARED VOTING POWER</w:t>
            </w:r>
          </w:p>
        </w:tc>
        <w:tc>
          <w:tcPr>
            <w:tcW w:w="2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5"/>
              </w:rPr>
              <w:t>BENEFICIALLY</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988,924</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5"/>
              </w:rPr>
              <w:t>OWNED BY</w:t>
            </w:r>
          </w:p>
        </w:tc>
        <w:tc>
          <w:tcPr>
            <w:tcW w:w="2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40" w:type="dxa"/>
            <w:vAlign w:val="bottom"/>
            <w:tcBorders>
              <w:bottom w:val="single" w:sz="8" w:color="auto"/>
            </w:tcBorders>
            <w:vMerge w:val="continue"/>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40" w:type="dxa"/>
            <w:vAlign w:val="bottom"/>
            <w:gridSpan w:val="2"/>
          </w:tcPr>
          <w:p>
            <w:pPr>
              <w:jc w:val="center"/>
              <w:ind w:left="32"/>
              <w:spacing w:after="0" w:line="190" w:lineRule="exact"/>
              <w:rPr>
                <w:sz w:val="20"/>
                <w:szCs w:val="20"/>
                <w:color w:val="auto"/>
              </w:rPr>
            </w:pPr>
            <w:r>
              <w:rPr>
                <w:rFonts w:ascii="Arial" w:cs="Arial" w:eastAsia="Arial" w:hAnsi="Arial"/>
                <w:sz w:val="18"/>
                <w:szCs w:val="18"/>
                <w:color w:val="auto"/>
                <w:w w:val="95"/>
              </w:rPr>
              <w:t>EACH</w:t>
            </w:r>
          </w:p>
        </w:tc>
        <w:tc>
          <w:tcPr>
            <w:tcW w:w="360" w:type="dxa"/>
            <w:vAlign w:val="bottom"/>
            <w:tcBorders>
              <w:right w:val="single" w:sz="8" w:color="auto"/>
            </w:tcBorders>
          </w:tcPr>
          <w:p>
            <w:pPr>
              <w:spacing w:after="0"/>
              <w:rPr>
                <w:sz w:val="16"/>
                <w:szCs w:val="16"/>
                <w:color w:val="auto"/>
              </w:rPr>
            </w:pPr>
          </w:p>
        </w:tc>
        <w:tc>
          <w:tcPr>
            <w:tcW w:w="24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704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2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9"/>
              </w:rPr>
              <w:t>REPORTING</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0</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40" w:type="dxa"/>
            <w:vAlign w:val="bottom"/>
            <w:gridSpan w:val="2"/>
            <w:vMerge w:val="restart"/>
          </w:tcPr>
          <w:p>
            <w:pPr>
              <w:jc w:val="center"/>
              <w:ind w:left="32"/>
              <w:spacing w:after="0"/>
              <w:rPr>
                <w:sz w:val="20"/>
                <w:szCs w:val="20"/>
                <w:color w:val="auto"/>
              </w:rPr>
            </w:pPr>
            <w:r>
              <w:rPr>
                <w:rFonts w:ascii="Arial" w:cs="Arial" w:eastAsia="Arial" w:hAnsi="Arial"/>
                <w:sz w:val="18"/>
                <w:szCs w:val="18"/>
                <w:color w:val="auto"/>
              </w:rPr>
              <w:t>WITH:</w:t>
            </w: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988,924</w:t>
            </w: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w w:val="71"/>
              </w:rPr>
              <w:t>AGGREGATE</w:t>
            </w:r>
          </w:p>
        </w:tc>
        <w:tc>
          <w:tcPr>
            <w:tcW w:w="7100" w:type="dxa"/>
            <w:vAlign w:val="bottom"/>
            <w:gridSpan w:val="2"/>
          </w:tcPr>
          <w:p>
            <w:pPr>
              <w:ind w:left="240"/>
              <w:spacing w:after="0"/>
              <w:rPr>
                <w:sz w:val="20"/>
                <w:szCs w:val="20"/>
                <w:color w:val="auto"/>
              </w:rPr>
            </w:pPr>
            <w:r>
              <w:rPr>
                <w:rFonts w:ascii="Arial" w:cs="Arial" w:eastAsia="Arial" w:hAnsi="Arial"/>
                <w:sz w:val="18"/>
                <w:szCs w:val="18"/>
                <w:color w:val="auto"/>
              </w:rPr>
              <w:t>AMOUNT BENEFICIALLY OWNED BY EACH REPORTING PERSON</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988,924</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9"/>
                <w:szCs w:val="19"/>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80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EP</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8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Issuer:</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w:t>
      </w:r>
    </w:p>
    <w:p>
      <w:pPr>
        <w:spacing w:after="0" w:line="90" w:lineRule="exact"/>
        <w:rPr>
          <w:sz w:val="20"/>
          <w:szCs w:val="20"/>
          <w:color w:val="auto"/>
        </w:rPr>
      </w:pPr>
    </w:p>
    <w:p>
      <w:pPr>
        <w:ind w:left="980" w:hanging="395"/>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3100 East Hennepin Avenue</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Minneapolis, MN 55413</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Name of Person Filing: </w:t>
      </w:r>
      <w:r>
        <w:rPr>
          <w:rFonts w:ascii="Arial" w:cs="Arial" w:eastAsia="Arial" w:hAnsi="Arial"/>
          <w:sz w:val="10"/>
          <w:szCs w:val="10"/>
          <w:color w:val="auto"/>
        </w:rPr>
        <w:t>1</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Hawkins, Inc. Employee Stock Ownership Plan and Trust</w:t>
      </w:r>
    </w:p>
    <w:p>
      <w:pPr>
        <w:spacing w:after="0" w:line="90" w:lineRule="exact"/>
        <w:rPr>
          <w:sz w:val="20"/>
          <w:szCs w:val="20"/>
          <w:color w:val="auto"/>
        </w:rPr>
      </w:pPr>
    </w:p>
    <w:p>
      <w:pPr>
        <w:ind w:left="980" w:hanging="395"/>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Residence</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Hawkins,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3100 East Hennepin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Minneapolis, MN 55413</w:t>
      </w:r>
    </w:p>
    <w:p>
      <w:pPr>
        <w:spacing w:after="0" w:line="84" w:lineRule="exact"/>
        <w:rPr>
          <w:sz w:val="20"/>
          <w:szCs w:val="20"/>
          <w:color w:val="auto"/>
        </w:rPr>
      </w:pPr>
    </w:p>
    <w:p>
      <w:pPr>
        <w:ind w:left="1500" w:right="9180" w:hanging="915"/>
        <w:spacing w:after="0" w:line="387" w:lineRule="auto"/>
        <w:tabs>
          <w:tab w:leader="none" w:pos="996"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Minnesota</w:t>
      </w:r>
    </w:p>
    <w:p>
      <w:pPr>
        <w:ind w:left="980" w:hanging="39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Common Stock, Par Value $.05 per share</w:t>
      </w:r>
    </w:p>
    <w:p>
      <w:pPr>
        <w:spacing w:after="0" w:line="90" w:lineRule="exact"/>
        <w:rPr>
          <w:sz w:val="20"/>
          <w:szCs w:val="20"/>
          <w:color w:val="auto"/>
        </w:rPr>
      </w:pPr>
    </w:p>
    <w:p>
      <w:pPr>
        <w:ind w:left="1500" w:right="9140" w:hanging="915"/>
        <w:spacing w:after="0" w:line="482" w:lineRule="auto"/>
        <w:tabs>
          <w:tab w:leader="none" w:pos="996"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CUSIP Number: 420261109</w:t>
      </w:r>
    </w:p>
    <w:p>
      <w:pPr>
        <w:spacing w:after="0" w:line="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64" w:lineRule="exact"/>
        <w:rPr>
          <w:sz w:val="20"/>
          <w:szCs w:val="20"/>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90" w:lineRule="exact"/>
        <w:rPr>
          <w:rFonts w:ascii="Arial" w:cs="Arial" w:eastAsia="Arial" w:hAnsi="Arial"/>
          <w:sz w:val="18"/>
          <w:szCs w:val="18"/>
          <w:color w:val="auto"/>
        </w:rPr>
      </w:pPr>
    </w:p>
    <w:p>
      <w:pPr>
        <w:ind w:left="1420" w:right="4200" w:hanging="835"/>
        <w:spacing w:after="0" w:line="236" w:lineRule="exact"/>
        <w:tabs>
          <w:tab w:leader="none" w:pos="995"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42"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90" w:lineRule="exact"/>
        <w:rPr>
          <w:rFonts w:ascii="Arial" w:cs="Arial" w:eastAsia="Arial" w:hAnsi="Arial"/>
          <w:sz w:val="18"/>
          <w:szCs w:val="18"/>
          <w:color w:val="auto"/>
        </w:rPr>
      </w:pPr>
    </w:p>
    <w:p>
      <w:pPr>
        <w:ind w:left="980" w:hanging="395"/>
        <w:spacing w:after="0" w:line="207" w:lineRule="exact"/>
        <w:tabs>
          <w:tab w:leader="none" w:pos="9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16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The Trustee of the Hawkins, Inc. Employee Stock Ownership Plan and Trust (the “ESOP”) is BMO Harris Bank N.A. The ESOP allows plan participants to</w:t>
      </w: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-1007110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988,924.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9.4%.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988,924.</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988,924.</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248" w:lineRule="exact"/>
        <w:rPr>
          <w:sz w:val="20"/>
          <w:szCs w:val="20"/>
          <w:color w:val="auto"/>
        </w:rPr>
      </w:pPr>
    </w:p>
    <w:p>
      <w:pPr>
        <w:ind w:left="1040" w:right="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274" w:right="4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Arial" w:cs="Arial" w:eastAsia="Arial" w:hAnsi="Arial"/>
                <w:sz w:val="18"/>
                <w:szCs w:val="18"/>
                <w:color w:val="auto"/>
              </w:rPr>
              <w:t>Date: February 14, 2013</w:t>
            </w:r>
          </w:p>
        </w:tc>
        <w:tc>
          <w:tcPr>
            <w:tcW w:w="7760" w:type="dxa"/>
            <w:vAlign w:val="bottom"/>
            <w:gridSpan w:val="2"/>
          </w:tcPr>
          <w:p>
            <w:pPr>
              <w:ind w:left="1940"/>
              <w:spacing w:after="0"/>
              <w:rPr>
                <w:sz w:val="20"/>
                <w:szCs w:val="20"/>
                <w:color w:val="auto"/>
              </w:rPr>
            </w:pPr>
            <w:r>
              <w:rPr>
                <w:rFonts w:ascii="Arial" w:cs="Arial" w:eastAsia="Arial" w:hAnsi="Arial"/>
                <w:sz w:val="18"/>
                <w:szCs w:val="18"/>
                <w:b w:val="1"/>
                <w:bCs w:val="1"/>
                <w:color w:val="auto"/>
              </w:rPr>
              <w:t>HAWKINS, INC. EMPLOYEE STOCK OWNERSHIP TRUST</w:t>
            </w:r>
          </w:p>
        </w:tc>
      </w:tr>
      <w:tr>
        <w:trPr>
          <w:trHeight w:val="432"/>
        </w:trPr>
        <w:tc>
          <w:tcPr>
            <w:tcW w:w="3660" w:type="dxa"/>
            <w:vAlign w:val="bottom"/>
          </w:tcPr>
          <w:p>
            <w:pPr>
              <w:spacing w:after="0"/>
              <w:rPr>
                <w:sz w:val="24"/>
                <w:szCs w:val="24"/>
                <w:color w:val="auto"/>
              </w:rPr>
            </w:pPr>
          </w:p>
        </w:tc>
        <w:tc>
          <w:tcPr>
            <w:tcW w:w="7760" w:type="dxa"/>
            <w:vAlign w:val="bottom"/>
            <w:gridSpan w:val="2"/>
          </w:tcPr>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tc>
      </w:tr>
      <w:tr>
        <w:trPr>
          <w:trHeight w:val="433"/>
        </w:trPr>
        <w:tc>
          <w:tcPr>
            <w:tcW w:w="3660" w:type="dxa"/>
            <w:vAlign w:val="bottom"/>
          </w:tcPr>
          <w:p>
            <w:pPr>
              <w:spacing w:after="0"/>
              <w:rPr>
                <w:sz w:val="24"/>
                <w:szCs w:val="24"/>
                <w:color w:val="auto"/>
              </w:rPr>
            </w:pPr>
          </w:p>
        </w:tc>
        <w:tc>
          <w:tcPr>
            <w:tcW w:w="7760" w:type="dxa"/>
            <w:vAlign w:val="bottom"/>
            <w:gridSpan w:val="2"/>
          </w:tcPr>
          <w:p>
            <w:pPr>
              <w:ind w:left="2300"/>
              <w:spacing w:after="0"/>
              <w:rPr>
                <w:sz w:val="20"/>
                <w:szCs w:val="20"/>
                <w:color w:val="auto"/>
              </w:rPr>
            </w:pPr>
            <w:r>
              <w:rPr>
                <w:rFonts w:ascii="Arial" w:cs="Arial" w:eastAsia="Arial" w:hAnsi="Arial"/>
                <w:sz w:val="18"/>
                <w:szCs w:val="18"/>
                <w:color w:val="auto"/>
              </w:rPr>
              <w:t>By   /s/ Kathleen P. Pepski</w:t>
            </w:r>
          </w:p>
        </w:tc>
      </w:tr>
      <w:tr>
        <w:trPr>
          <w:trHeight w:val="216"/>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Kathleen P. Pepski</w:t>
            </w:r>
          </w:p>
        </w:tc>
      </w:tr>
      <w:tr>
        <w:trPr>
          <w:trHeight w:val="222"/>
        </w:trPr>
        <w:tc>
          <w:tcPr>
            <w:tcW w:w="36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5"/>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2019-12-05T11:19:32Z</dcterms:created>
  <dcterms:modified xsi:type="dcterms:W3CDTF">2019-12-05T11:19:32Z</dcterms:modified>
</cp:coreProperties>
</file>