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 2022</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On February 2, 2022, Hawkins, Inc. issued a press release announcing financial results for its fiscal 2022 third quarter ended December 26, 2021. A copy of the press release issued by the Registrant is furnished herewith as Exhibit 99.1 hereto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4"/>
                <w:szCs w:val="14"/>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4"/>
                <w:szCs w:val="14"/>
                <w:color w:val="auto"/>
              </w:rPr>
            </w:pPr>
          </w:p>
        </w:tc>
      </w:tr>
      <w:tr>
        <w:trPr>
          <w:trHeight w:val="222"/>
        </w:trPr>
        <w:tc>
          <w:tcPr>
            <w:tcW w:w="1640" w:type="dxa"/>
            <w:vAlign w:val="bottom"/>
            <w:gridSpan w:val="2"/>
          </w:tcPr>
          <w:p>
            <w:pPr>
              <w:ind w:left="1280"/>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February 2, 2022,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2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for its fiscal 2022 third quarter ended December 26, 2021.</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22"/>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18"/>
                <w:szCs w:val="18"/>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Date: February 2, 2022</w:t>
            </w: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23"/>
        </w:trPr>
        <w:tc>
          <w:tcPr>
            <w:tcW w:w="3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0"/>
        </w:trPr>
        <w:tc>
          <w:tcPr>
            <w:tcW w:w="3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86"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 2022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Fiscal 2022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February 2, 2022 – Hawkins, Inc. (Nasdaq: HWKN) today announced results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its third quarter of fiscal 2022. Highlights include:</w:t>
      </w:r>
    </w:p>
    <w:p>
      <w:pPr>
        <w:spacing w:after="0" w:line="252" w:lineRule="exact"/>
        <w:rPr>
          <w:sz w:val="20"/>
          <w:szCs w:val="20"/>
          <w:color w:val="auto"/>
        </w:rPr>
      </w:pPr>
    </w:p>
    <w:p>
      <w:pPr>
        <w:ind w:left="660" w:right="2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sales of $187.1 million, a 31% year-over-year increase. Trailing 12-month revenue surpassed the $700 million mark, totaling $714.5 million.</w:t>
      </w:r>
    </w:p>
    <w:p>
      <w:pPr>
        <w:ind w:left="660" w:right="36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third quarter gross profit of $33.9 million, a 20% increase over the prior year, contributing to record third quarter operating income of $14.3 million, a 36% year-over-year increase.</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diluted earnings per share (EPS) of $0.48, which was $0.11, or 30%, higher than the same period last year.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third quarter earnings before interest, taxes, depreciation and amortization (adjusted EBITDA), a non-GAAP measure,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$21.7 million, a 22% increase over the prior year.</w:t>
      </w:r>
    </w:p>
    <w:p>
      <w:pPr>
        <w:spacing w:after="0" w:line="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Year-to-date operating income, net income and diluted EPS each increased 28-30% over the prior year.</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Year-to-date operating cash flow increased 45% as compared to the prior year period, with net debt (total debt outstanding less cash) of $92.6 million at quarter end and a leverage ratio of 1.05x.</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12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“We are pleased to once again report record results for the quarter. With record quarterly sales of $187 million in the third quarter, our trailing 12-month revenue surpassed $700 million for the first time. This was a total team effort and I am very proud of our entire employee base who have worked tremendously hard to make this possible. In spite of significant supply challenges, we grew our top line primarily from volume growth within the Industrial and Water Treatment segments across most end-markets as we were able to leverage our diverse customer base and breadth of product offerings. Our Industrial sales benefited from significant growth in our agricultural, pharmaceutical and food ingredient product lines. Health and Nutrition third quarter revenue decreased from the prior year; however, demand remained strong and we expect that revenue would have increased had it not been for supply challenges in the quarter.”</w:t>
      </w:r>
    </w:p>
    <w:p>
      <w:pPr>
        <w:spacing w:after="0" w:line="8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Mr. Hawkins continued, “In addition to our strong revenue performance, we delivered record gross profit in the quarter, highlighting our ability to manage supply chain headwinds and rising raw material costs. It is important to note that our gross profit performance was negatively impacted by significant LIFO expense of nearly $3 million in the quarter and over $7.5 million in the first nine months of fiscal 2022. We do not anticipate the current supply challenges or rising raw material prices to let up any time soon, and we will continue to manage as we have done in the past through the outstanding effort of employees, relationships with our vendors and investments in the business.”</w:t>
      </w:r>
    </w:p>
    <w:p>
      <w:pPr>
        <w:spacing w:after="0" w:line="84"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Mr. Hawkins continued, “Lastly, I want to reiterate our commitment to continue to grow Hawkins prudently, with a focus on profitability. We have grown sales 26% and diluted earnings per share 38% on a trailing 12-month basis. We will continue to allocate capital through reinvestments in the business, pay out a dividend, and look for opportunistic acquisitions to expand our geographical and product portfolios, as evidenced by completion of six acquisitions over the last 18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Highlights: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Sales were $187.1 million for the third quarter of fiscal 2022, an increase of 31%, from sales of $142.9 million for the same period a year ago. Industrial segment sales increased $36.2 million, or 56%, to $100.6 million for the current quarter, from $64.4 million for the same period a year ago. The increase in Industrial segment sales was driven primarily by increased sales volumes of both our bulk and our manufactured, blended and repackaged products. The increase included sales of certain of our agricultural products lines due in large part due to both favorable crop prices and early purchases as customers anticipated additional price increases later in the season. Industrial segment sales also increased due to increased selling prices driven by higher costs on many of our raw materials. Water Treatment segment sales increased $10.5 million, or 27%, to $49.8 million for the current quarter, from $39.3 million for the same period a year ago. Water Treatment sales increased as a result of increased demand for many of our products, as well as $3.1 million in added sales from acquired businesses. Sales for our Health and Nutrition segment decreased $2.6 million, or 7%, to $36.7 million for the current quarter, from $39.3 million for the same period a year ago. The decrease in Health and Nutrition sales was primarily driven by decreased sales of our manufactured products when compared to the strong demand for those products in the prior year, partially offset by an increase in sales of our specialty distributed products.</w:t>
      </w:r>
    </w:p>
    <w:p>
      <w:pPr>
        <w:sectPr>
          <w:pgSz w:w="11900" w:h="16838" w:orient="portrait"/>
          <w:cols w:equalWidth="0" w:num="1">
            <w:col w:w="11240"/>
          </w:cols>
          <w:pgMar w:left="320" w:top="625" w:right="33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8"/>
          <w:szCs w:val="18"/>
          <w:color w:val="auto"/>
        </w:rPr>
        <w:t>Gross profit increased $5.7 million, or 20%, to $33.9 million, or 18% of sales, for the current quarter, from $28.2 million, or 20% of sales, for the same period a year ago. During the current quarter, the LIFO reserve increased, and gross profit decreased, by $2.9 million, primarily due to rising raw material prices. In the same quarter a year ago, the LIFO reserve increased, and gross profit decreased, by $0.1 million. Gross profit for the Industrial segment increased $6.1 million, or 66%, to $15.3 million, or 15% of sales, for the current quarter, from $9.2 million, or 14% of sales, for the same period a year ago. Total Industrial segment gross profit increased as a result of the increase in sales, partially offset by the negative $2.2 million year-over-year impact of the increase in the LIFO reserve. Gross profit for the Water Treatment segment increased $1.1 million, or 11%, to $11.1 million, or 22% of sales, for the current quarter, from $10.0 million, or 26% of sales, for the same period a year ago. Gross profit in our Water Treatment segment increased as a result of increased sales, including the added sales from the acquired businesses, partially offset by the negative $0.6 million year-over-year impact of the increase in the LIFO reserve. Gross profit as a percentage of sales declined in this segment in part due to rising raw material costs and our inability in some cases to pass cost increases on to customers with contracts in place. Gross profit for our Health and Nutrition segment decreased $1.5 million, or 16%, to $7.5 million, or 21% of sales, for the current quarter, from $9.0 million, or 23% of sales, for the same period a year ago. The decrease in gross profit in our Health and Nutrition segment was a result of the year-over-year decline in sales.</w:t>
      </w:r>
    </w:p>
    <w:p>
      <w:pPr>
        <w:spacing w:after="0" w:line="23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Company-wide selling, general and administrative expenses increased $1.9 million to $19.7 million, or 11% of sales, for the current quarter, compared to $17.8 million, or 12% of sales, for the same period a year ago. Expenses increased in part due to the added costs from the acquired businesses in our Water Treatment segment, including $0.1 million of expense for amortization of intangibles, as well as increased variable pay expense and increased travel expense. Increased expenses were partially offset by a year-over-year decrease of $0.3 million due to lower compensation expense relating to the non-qualified deferred compensation plan liability which is offset in other income.</w:t>
      </w:r>
    </w:p>
    <w:p>
      <w:pPr>
        <w:spacing w:after="0" w:line="21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effective income tax rate was 27% for the current quarter, compared to 25% in the same period a year ago. The effective tax rate is impacted by projected levels of annual taxable income, permanent items, and state taxes. Our effective tax rate for the full year is currently expected to be approximately 26-27%.</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December 26, 2021 was $21.7 million, an increase of $3.9 million, or 22%, from EBITDA of $17.8 million for the same period a year ago. The increase was primarily due to improved gross profit.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ind w:right="320"/>
        <w:spacing w:after="0" w:line="225" w:lineRule="auto"/>
        <w:rPr>
          <w:sz w:val="20"/>
          <w:szCs w:val="20"/>
          <w:color w:val="auto"/>
        </w:rPr>
      </w:pPr>
      <w:r>
        <w:rPr>
          <w:rFonts w:ascii="Arial" w:cs="Arial" w:eastAsia="Arial" w:hAnsi="Arial"/>
          <w:sz w:val="18"/>
          <w:szCs w:val="18"/>
          <w:color w:val="auto"/>
        </w:rPr>
        <w:t>Hawkins, Inc. was founded in 1938 and is a leading specialty chemical and ingredients company that formulates, distributes, blends, and manufactures products for its Industrial, Water Treatment, and Health &amp; Nutrition customers. Headquartered in Roseville, Minnesota, and with 49 facilities in 24 states, the Company creates value for its customers through superb customer service and support, quality products and personalized applications. Hawkins, Inc. generated $597 million of revenue in fiscal 2021 and has approximately 750 employees. For more information, including registering to receive email alerts, please visit www.hawkinsinc.com/investors.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ectPr>
          <w:pgSz w:w="11900" w:h="16838" w:orient="portrait"/>
          <w:cols w:equalWidth="0" w:num="1">
            <w:col w:w="11240"/>
          </w:cols>
          <w:pgMar w:left="320"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Borders>
              <w:bottom w:val="single" w:sz="8" w:color="auto"/>
            </w:tcBorders>
          </w:tcPr>
          <w:p>
            <w:pPr>
              <w:spacing w:after="0"/>
              <w:rPr>
                <w:sz w:val="20"/>
                <w:szCs w:val="20"/>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26, 2021</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 2020</w:t>
            </w:r>
          </w:p>
        </w:tc>
        <w:tc>
          <w:tcPr>
            <w:tcW w:w="140" w:type="dxa"/>
            <w:vAlign w:val="bottom"/>
          </w:tcPr>
          <w:p>
            <w:pPr>
              <w:spacing w:after="0"/>
              <w:rPr>
                <w:sz w:val="19"/>
                <w:szCs w:val="19"/>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26, 2021</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 2020</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40,965</w:t>
            </w: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31,899</w:t>
            </w: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w:t>
            </w: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2,707</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21,692</w:t>
            </w:r>
          </w:p>
        </w:tc>
        <w:tc>
          <w:tcPr>
            <w:tcW w:w="120" w:type="dxa"/>
            <w:vAlign w:val="bottom"/>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17,797</w:t>
            </w:r>
          </w:p>
        </w:tc>
        <w:tc>
          <w:tcPr>
            <w:tcW w:w="14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77,395</w:t>
            </w:r>
          </w:p>
        </w:tc>
        <w:tc>
          <w:tcPr>
            <w:tcW w:w="140" w:type="dxa"/>
            <w:vAlign w:val="bottom"/>
          </w:tcPr>
          <w:p>
            <w:pPr>
              <w:spacing w:after="0"/>
              <w:rPr>
                <w:sz w:val="19"/>
                <w:szCs w:val="19"/>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63,831</w:t>
            </w:r>
          </w:p>
        </w:tc>
      </w:tr>
      <w:tr>
        <w:trPr>
          <w:trHeight w:val="20"/>
        </w:trPr>
        <w:tc>
          <w:tcPr>
            <w:tcW w:w="3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40"/>
          </w:cols>
          <w:pgMar w:left="320" w:top="603" w:right="8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7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December 26,</w:t>
            </w: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December 27,</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December 26,</w:t>
            </w:r>
          </w:p>
        </w:tc>
        <w:tc>
          <w:tcPr>
            <w:tcW w:w="1360" w:type="dxa"/>
            <w:vAlign w:val="bottom"/>
            <w:tcBorders>
              <w:top w:val="single" w:sz="8" w:color="auto"/>
            </w:tcBorders>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December 27,</w:t>
            </w:r>
          </w:p>
        </w:tc>
      </w:tr>
      <w:tr>
        <w:trPr>
          <w:trHeight w:val="229"/>
        </w:trPr>
        <w:tc>
          <w:tcPr>
            <w:tcW w:w="5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433,900</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(341,888)</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43,184</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20,885,232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21,013,836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20,968,692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21,043,042</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21,054,603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21,223,310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21,278,744</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0.13000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0.11625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0.38250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0.34875</w:t>
            </w:r>
          </w:p>
        </w:tc>
      </w:tr>
    </w:tbl>
    <w:p>
      <w:pPr>
        <w:sectPr>
          <w:pgSz w:w="11900" w:h="16838" w:orient="portrait"/>
          <w:cols w:equalWidth="0" w:num="1">
            <w:col w:w="11240"/>
          </w:cols>
          <w:pgMar w:left="320" w:top="10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26,</w:t>
            </w:r>
          </w:p>
        </w:tc>
        <w:tc>
          <w:tcPr>
            <w:tcW w:w="2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28,</w:t>
            </w:r>
          </w:p>
        </w:tc>
      </w:tr>
      <w:tr>
        <w:trPr>
          <w:trHeight w:val="215"/>
        </w:trPr>
        <w:tc>
          <w:tcPr>
            <w:tcW w:w="8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Trade accounts receivables,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7"/>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209,478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163,007</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property, plant, and equipment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70,720</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9"/>
        </w:trPr>
        <w:tc>
          <w:tcPr>
            <w:tcW w:w="820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 trade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Accrued payroll and employee benefits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Short-term lease liability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Container deposits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105,915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88,845</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4,631</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24,445</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DEFERRED COMPENSATION LIABILITY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7,322</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06"/>
        </w:trPr>
        <w:tc>
          <w:tcPr>
            <w:tcW w:w="820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229,450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207,304</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0"/>
        </w:trPr>
        <w:tc>
          <w:tcPr>
            <w:tcW w:w="820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Common stock; authorized: 60,000,000 shares of $0.01 par value; 20,858,385 and 20,969,746 shares</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issued and outstanding as of December 26, 2021 and March 28, 2021, respectively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44,723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51,138</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213,898</w:t>
            </w:r>
          </w:p>
        </w:tc>
      </w:tr>
      <w:tr>
        <w:trPr>
          <w:trHeight w:val="207"/>
        </w:trPr>
        <w:tc>
          <w:tcPr>
            <w:tcW w:w="82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265,246</w:t>
            </w:r>
          </w:p>
        </w:tc>
      </w:tr>
      <w:tr>
        <w:trPr>
          <w:trHeight w:val="234"/>
        </w:trPr>
        <w:tc>
          <w:tcPr>
            <w:tcW w:w="8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04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December 26,</w:t>
            </w:r>
          </w:p>
        </w:tc>
        <w:tc>
          <w:tcPr>
            <w:tcW w:w="160" w:type="dxa"/>
            <w:vAlign w:val="bottom"/>
          </w:tcPr>
          <w:p>
            <w:pPr>
              <w:spacing w:after="0"/>
              <w:rPr>
                <w:sz w:val="13"/>
                <w:szCs w:val="13"/>
                <w:color w:val="auto"/>
              </w:rPr>
            </w:pPr>
          </w:p>
        </w:tc>
        <w:tc>
          <w:tcPr>
            <w:tcW w:w="132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December 27,</w:t>
            </w: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40,965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31,899</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16,735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(8,121)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(3,569)</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(1,363)</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26,606</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(35,017)</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7"/>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(48,063)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(7,430)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Payments on revolving loan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r>
      <w:tr>
        <w:trPr>
          <w:trHeight w:val="206"/>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25,149</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15,208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12,345</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790</w:t>
            </w:r>
          </w:p>
        </w:tc>
      </w:tr>
    </w:tbl>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26, 2021:</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100,554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49,756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36,740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187,050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Three months ended December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December 26, 2021: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269,572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168,105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113,891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551,568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110,201</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54,216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Nine months ended December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433,900</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92,012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6" w:right="359" w:bottom="1440" w:gutter="0" w:footer="0" w:header="0"/>
        </w:sectPr>
      </w:pPr>
    </w:p>
    <w:bookmarkStart w:id="10" w:name="page11"/>
    <w:bookmarkEnd w:id="10"/>
    <w:p>
      <w:pPr>
        <w:spacing w:after="0" w:line="251" w:lineRule="auto"/>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11">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1300"/>
        <w:spacing w:after="0" w:line="235" w:lineRule="auto"/>
        <w:rPr>
          <w:sz w:val="20"/>
          <w:szCs w:val="20"/>
          <w:color w:val="auto"/>
        </w:rPr>
      </w:pPr>
      <w:r>
        <w:rPr>
          <w:rFonts w:ascii="Arial" w:cs="Arial" w:eastAsia="Arial" w:hAnsi="Arial"/>
          <w:sz w:val="18"/>
          <w:szCs w:val="18"/>
          <w:color w:val="auto"/>
        </w:rPr>
        <w:t>612/331-6910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ix?doc=/Archives/edgar/data/46250/000004625021000019/hwkn-2021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2022-02-02T15:19:32Z</dcterms:created>
  <dcterms:modified xsi:type="dcterms:W3CDTF">2022-02-02T15:19:32Z</dcterms:modified>
</cp:coreProperties>
</file>