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1,998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36.11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25,418.395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911.5332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190 shares acquired in July 2015 and 213 shares acquired in January 2016 pursuant to the Issuer's employee stock purchase plan; and 10.546 shares acquired in October 2015 pursuant to the Issuer's dividend reinvestment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2019-12-23T22:18:59Z</dcterms:created>
  <dcterms:modified xsi:type="dcterms:W3CDTF">2019-12-23T22:18:59Z</dcterms:modified>
</cp:coreProperties>
</file>