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619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3150235</wp:posOffset>
            </wp:positionH>
            <wp:positionV relativeFrom="paragraph">
              <wp:posOffset>225425</wp:posOffset>
            </wp:positionV>
            <wp:extent cx="95631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6310" cy="215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line="414" w:lineRule="exact"/>
        <w:rPr>
          <w:sz w:val="20"/>
          <w:szCs w:val="20"/>
          <w:color w:val="auto"/>
        </w:rPr>
      </w:pPr>
      <w:r>
        <w:rPr>
          <w:rFonts w:ascii="Arial" w:cs="Arial" w:eastAsia="Arial" w:hAnsi="Arial"/>
          <w:sz w:val="36"/>
          <w:szCs w:val="36"/>
          <w:b w:val="1"/>
          <w:bCs w:val="1"/>
          <w:color w:val="auto"/>
        </w:rPr>
        <w:t>FORM 8</w:t>
      </w:r>
      <w:r>
        <w:rPr>
          <w:rFonts w:ascii="MS PGothic" w:cs="MS PGothic" w:eastAsia="MS PGothic" w:hAnsi="MS PGothic"/>
          <w:sz w:val="36"/>
          <w:szCs w:val="36"/>
          <w:b w:val="1"/>
          <w:bCs w:val="1"/>
          <w:color w:val="auto"/>
        </w:rPr>
        <w:t>‑</w:t>
      </w:r>
      <w:r>
        <w:rPr>
          <w:rFonts w:ascii="Arial" w:cs="Arial" w:eastAsia="Arial" w:hAnsi="Arial"/>
          <w:sz w:val="36"/>
          <w:szCs w:val="36"/>
          <w:b w:val="1"/>
          <w:bCs w:val="1"/>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3150235</wp:posOffset>
            </wp:positionH>
            <wp:positionV relativeFrom="paragraph">
              <wp:posOffset>93980</wp:posOffset>
            </wp:positionV>
            <wp:extent cx="9563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6310" cy="215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spacing w:after="0"/>
        <w:tabs>
          <w:tab w:leader="none" w:pos="4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b w:val="1"/>
          <w:bCs w:val="1"/>
          <w:color w:val="auto"/>
        </w:rPr>
        <w:t>January 26,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3150235</wp:posOffset>
            </wp:positionH>
            <wp:positionV relativeFrom="paragraph">
              <wp:posOffset>231775</wp:posOffset>
            </wp:positionV>
            <wp:extent cx="95631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6310" cy="215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Hawkins,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420" w:type="dxa"/>
        <w:tblCellMar>
          <w:top w:w="0" w:type="dxa"/>
          <w:left w:w="0" w:type="dxa"/>
          <w:bottom w:w="0" w:type="dxa"/>
          <w:right w:w="0" w:type="dxa"/>
        </w:tblCellMar>
      </w:tblPr>
      <w:tr>
        <w:trPr>
          <w:trHeight w:val="256"/>
        </w:trPr>
        <w:tc>
          <w:tcPr>
            <w:tcW w:w="3600" w:type="dxa"/>
            <w:vAlign w:val="bottom"/>
          </w:tcPr>
          <w:p>
            <w:pPr>
              <w:jc w:val="center"/>
              <w:ind w:right="558"/>
              <w:spacing w:after="0"/>
              <w:rPr>
                <w:sz w:val="20"/>
                <w:szCs w:val="20"/>
                <w:color w:val="auto"/>
              </w:rPr>
            </w:pPr>
            <w:r>
              <w:rPr>
                <w:rFonts w:ascii="Arial" w:cs="Arial" w:eastAsia="Arial" w:hAnsi="Arial"/>
                <w:sz w:val="22"/>
                <w:szCs w:val="22"/>
                <w:b w:val="1"/>
                <w:bCs w:val="1"/>
                <w:color w:val="auto"/>
                <w:w w:val="90"/>
              </w:rPr>
              <w:t>Minnesota</w:t>
            </w:r>
          </w:p>
        </w:tc>
        <w:tc>
          <w:tcPr>
            <w:tcW w:w="3340" w:type="dxa"/>
            <w:vAlign w:val="bottom"/>
          </w:tcPr>
          <w:p>
            <w:pPr>
              <w:jc w:val="right"/>
              <w:ind w:right="1301"/>
              <w:spacing w:after="0"/>
              <w:rPr>
                <w:sz w:val="20"/>
                <w:szCs w:val="20"/>
                <w:color w:val="auto"/>
              </w:rPr>
            </w:pPr>
            <w:r>
              <w:rPr>
                <w:rFonts w:ascii="Arial" w:cs="Arial" w:eastAsia="Arial" w:hAnsi="Arial"/>
                <w:sz w:val="22"/>
                <w:szCs w:val="22"/>
                <w:b w:val="1"/>
                <w:bCs w:val="1"/>
                <w:color w:val="auto"/>
              </w:rPr>
              <w:t>0-7647</w:t>
            </w:r>
          </w:p>
        </w:tc>
        <w:tc>
          <w:tcPr>
            <w:tcW w:w="3360" w:type="dxa"/>
            <w:vAlign w:val="bottom"/>
          </w:tcPr>
          <w:p>
            <w:pPr>
              <w:jc w:val="right"/>
              <w:ind w:right="619"/>
              <w:spacing w:after="0"/>
              <w:rPr>
                <w:sz w:val="20"/>
                <w:szCs w:val="20"/>
                <w:color w:val="auto"/>
              </w:rPr>
            </w:pPr>
            <w:r>
              <w:rPr>
                <w:rFonts w:ascii="Arial" w:cs="Arial" w:eastAsia="Arial" w:hAnsi="Arial"/>
                <w:sz w:val="22"/>
                <w:szCs w:val="22"/>
                <w:b w:val="1"/>
                <w:bCs w:val="1"/>
                <w:color w:val="auto"/>
              </w:rPr>
              <w:t>41-0771293</w:t>
            </w:r>
          </w:p>
        </w:tc>
      </w:tr>
      <w:tr>
        <w:trPr>
          <w:trHeight w:val="230"/>
        </w:trPr>
        <w:tc>
          <w:tcPr>
            <w:tcW w:w="3600" w:type="dxa"/>
            <w:vAlign w:val="bottom"/>
          </w:tcPr>
          <w:p>
            <w:pPr>
              <w:jc w:val="center"/>
              <w:ind w:right="558"/>
              <w:spacing w:after="0"/>
              <w:rPr>
                <w:sz w:val="20"/>
                <w:szCs w:val="20"/>
                <w:color w:val="auto"/>
              </w:rPr>
            </w:pPr>
            <w:r>
              <w:rPr>
                <w:rFonts w:ascii="Arial" w:cs="Arial" w:eastAsia="Arial" w:hAnsi="Arial"/>
                <w:sz w:val="18"/>
                <w:szCs w:val="18"/>
                <w:color w:val="auto"/>
                <w:w w:val="92"/>
              </w:rPr>
              <w:t>(State of Incorporation)</w:t>
            </w: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tcPr>
          <w:p>
            <w:pPr>
              <w:jc w:val="center"/>
              <w:ind w:left="779"/>
              <w:spacing w:after="0"/>
              <w:rPr>
                <w:sz w:val="20"/>
                <w:szCs w:val="20"/>
                <w:color w:val="auto"/>
              </w:rPr>
            </w:pPr>
            <w:r>
              <w:rPr>
                <w:rFonts w:ascii="Arial" w:cs="Arial" w:eastAsia="Arial" w:hAnsi="Arial"/>
                <w:sz w:val="18"/>
                <w:szCs w:val="18"/>
                <w:color w:val="auto"/>
                <w:w w:val="94"/>
              </w:rPr>
              <w:t>(IRS Employer Identification No.)</w:t>
            </w:r>
          </w:p>
        </w:tc>
      </w:tr>
      <w:tr>
        <w:trPr>
          <w:trHeight w:val="459"/>
        </w:trPr>
        <w:tc>
          <w:tcPr>
            <w:tcW w:w="3600" w:type="dxa"/>
            <w:vAlign w:val="bottom"/>
          </w:tcPr>
          <w:p>
            <w:pPr>
              <w:jc w:val="center"/>
              <w:ind w:right="558"/>
              <w:spacing w:after="0"/>
              <w:rPr>
                <w:sz w:val="20"/>
                <w:szCs w:val="20"/>
                <w:color w:val="auto"/>
              </w:rPr>
            </w:pPr>
            <w:r>
              <w:rPr>
                <w:rFonts w:ascii="Arial" w:cs="Arial" w:eastAsia="Arial" w:hAnsi="Arial"/>
                <w:sz w:val="22"/>
                <w:szCs w:val="22"/>
                <w:b w:val="1"/>
                <w:bCs w:val="1"/>
                <w:color w:val="auto"/>
                <w:w w:val="87"/>
              </w:rPr>
              <w:t>3100 East Hennepin Avenue</w:t>
            </w:r>
          </w:p>
        </w:tc>
        <w:tc>
          <w:tcPr>
            <w:tcW w:w="33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56"/>
        </w:trPr>
        <w:tc>
          <w:tcPr>
            <w:tcW w:w="3600" w:type="dxa"/>
            <w:vAlign w:val="bottom"/>
          </w:tcPr>
          <w:p>
            <w:pPr>
              <w:jc w:val="center"/>
              <w:ind w:right="558"/>
              <w:spacing w:after="0"/>
              <w:rPr>
                <w:sz w:val="20"/>
                <w:szCs w:val="20"/>
                <w:color w:val="auto"/>
              </w:rPr>
            </w:pPr>
            <w:r>
              <w:rPr>
                <w:rFonts w:ascii="Arial" w:cs="Arial" w:eastAsia="Arial" w:hAnsi="Arial"/>
                <w:sz w:val="22"/>
                <w:szCs w:val="22"/>
                <w:b w:val="1"/>
                <w:bCs w:val="1"/>
                <w:color w:val="auto"/>
                <w:w w:val="93"/>
              </w:rPr>
              <w:t>Minneapolis, MN</w:t>
            </w:r>
          </w:p>
        </w:tc>
        <w:tc>
          <w:tcPr>
            <w:tcW w:w="3340" w:type="dxa"/>
            <w:vAlign w:val="bottom"/>
          </w:tcPr>
          <w:p>
            <w:pPr>
              <w:spacing w:after="0"/>
              <w:rPr>
                <w:sz w:val="22"/>
                <w:szCs w:val="22"/>
                <w:color w:val="auto"/>
              </w:rPr>
            </w:pPr>
          </w:p>
        </w:tc>
        <w:tc>
          <w:tcPr>
            <w:tcW w:w="3360" w:type="dxa"/>
            <w:vAlign w:val="bottom"/>
          </w:tcPr>
          <w:p>
            <w:pPr>
              <w:jc w:val="right"/>
              <w:ind w:right="859"/>
              <w:spacing w:after="0"/>
              <w:rPr>
                <w:sz w:val="20"/>
                <w:szCs w:val="20"/>
                <w:color w:val="auto"/>
              </w:rPr>
            </w:pPr>
            <w:r>
              <w:rPr>
                <w:rFonts w:ascii="Arial" w:cs="Arial" w:eastAsia="Arial" w:hAnsi="Arial"/>
                <w:sz w:val="22"/>
                <w:szCs w:val="22"/>
                <w:b w:val="1"/>
                <w:bCs w:val="1"/>
                <w:color w:val="auto"/>
              </w:rPr>
              <w:t>55413</w:t>
            </w:r>
          </w:p>
        </w:tc>
      </w:tr>
      <w:tr>
        <w:trPr>
          <w:trHeight w:val="230"/>
        </w:trPr>
        <w:tc>
          <w:tcPr>
            <w:tcW w:w="3600" w:type="dxa"/>
            <w:vAlign w:val="bottom"/>
          </w:tcPr>
          <w:p>
            <w:pPr>
              <w:jc w:val="center"/>
              <w:ind w:right="558"/>
              <w:spacing w:after="0"/>
              <w:rPr>
                <w:sz w:val="20"/>
                <w:szCs w:val="20"/>
                <w:color w:val="auto"/>
              </w:rPr>
            </w:pPr>
            <w:r>
              <w:rPr>
                <w:rFonts w:ascii="Arial" w:cs="Arial" w:eastAsia="Arial" w:hAnsi="Arial"/>
                <w:sz w:val="18"/>
                <w:szCs w:val="18"/>
                <w:color w:val="auto"/>
                <w:w w:val="92"/>
              </w:rPr>
              <w:t>(Address of Principal Executive Offices)</w:t>
            </w:r>
          </w:p>
        </w:tc>
        <w:tc>
          <w:tcPr>
            <w:tcW w:w="3340" w:type="dxa"/>
            <w:vAlign w:val="bottom"/>
          </w:tcPr>
          <w:p>
            <w:pPr>
              <w:spacing w:after="0"/>
              <w:rPr>
                <w:sz w:val="20"/>
                <w:szCs w:val="20"/>
                <w:color w:val="auto"/>
              </w:rPr>
            </w:pPr>
          </w:p>
        </w:tc>
        <w:tc>
          <w:tcPr>
            <w:tcW w:w="3360" w:type="dxa"/>
            <w:vAlign w:val="bottom"/>
          </w:tcPr>
          <w:p>
            <w:pPr>
              <w:jc w:val="center"/>
              <w:ind w:left="779"/>
              <w:spacing w:after="0"/>
              <w:rPr>
                <w:sz w:val="20"/>
                <w:szCs w:val="20"/>
                <w:color w:val="auto"/>
              </w:rPr>
            </w:pPr>
            <w:r>
              <w:rPr>
                <w:rFonts w:ascii="Arial" w:cs="Arial" w:eastAsia="Arial" w:hAnsi="Arial"/>
                <w:sz w:val="18"/>
                <w:szCs w:val="18"/>
                <w:color w:val="auto"/>
                <w:w w:val="94"/>
              </w:rPr>
              <w:t>(Zip Code)</w:t>
            </w:r>
          </w:p>
        </w:tc>
      </w:tr>
      <w:tr>
        <w:trPr>
          <w:trHeight w:val="523"/>
        </w:trPr>
        <w:tc>
          <w:tcPr>
            <w:tcW w:w="6940" w:type="dxa"/>
            <w:vAlign w:val="bottom"/>
            <w:gridSpan w:val="2"/>
          </w:tcPr>
          <w:p>
            <w:pPr>
              <w:ind w:left="2120"/>
              <w:spacing w:after="0"/>
              <w:rPr>
                <w:sz w:val="20"/>
                <w:szCs w:val="20"/>
                <w:color w:val="auto"/>
              </w:rPr>
            </w:pPr>
            <w:r>
              <w:rPr>
                <w:rFonts w:ascii="Arial" w:cs="Arial" w:eastAsia="Arial" w:hAnsi="Arial"/>
                <w:sz w:val="22"/>
                <w:szCs w:val="22"/>
                <w:color w:val="auto"/>
                <w:w w:val="91"/>
              </w:rPr>
              <w:t>Registrant’s Telephone Number, Including Area Code</w:t>
            </w:r>
          </w:p>
        </w:tc>
        <w:tc>
          <w:tcPr>
            <w:tcW w:w="3360" w:type="dxa"/>
            <w:vAlign w:val="bottom"/>
          </w:tcPr>
          <w:p>
            <w:pPr>
              <w:jc w:val="right"/>
              <w:ind w:right="1739"/>
              <w:spacing w:after="0"/>
              <w:rPr>
                <w:sz w:val="20"/>
                <w:szCs w:val="20"/>
                <w:color w:val="auto"/>
              </w:rPr>
            </w:pPr>
            <w:r>
              <w:rPr>
                <w:rFonts w:ascii="Arial" w:cs="Arial" w:eastAsia="Arial" w:hAnsi="Arial"/>
                <w:sz w:val="22"/>
                <w:szCs w:val="22"/>
                <w:b w:val="1"/>
                <w:bCs w:val="1"/>
                <w:color w:val="auto"/>
                <w:w w:val="99"/>
              </w:rPr>
              <w:t>(612) 331-6910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3150235</wp:posOffset>
            </wp:positionH>
            <wp:positionV relativeFrom="paragraph">
              <wp:posOffset>214630</wp:posOffset>
            </wp:positionV>
            <wp:extent cx="9563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631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firstLine="324"/>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840" w:hanging="508"/>
        <w:spacing w:after="0"/>
        <w:tabs>
          <w:tab w:leader="none" w:pos="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840" w:hanging="508"/>
        <w:spacing w:after="0"/>
        <w:tabs>
          <w:tab w:leader="none" w:pos="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840" w:hanging="508"/>
        <w:spacing w:after="0"/>
        <w:tabs>
          <w:tab w:leader="none" w:pos="84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880" w:hanging="548"/>
        <w:spacing w:after="0"/>
        <w:tabs>
          <w:tab w:leader="none" w:pos="8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347345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January 26, 2010, Hawkins, Inc. issued a press release announcing financial results for its fiscal third quarter ended December 31, 2009. A copy of the press release issued by the Registrant is furnished herewith as Exhibit 99 hereto and is incorporated herein by reference.</w:t>
      </w:r>
    </w:p>
    <w:p>
      <w:pPr>
        <w:spacing w:after="0" w:line="15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46" w:lineRule="exact"/>
        <w:rPr>
          <w:sz w:val="20"/>
          <w:szCs w:val="20"/>
          <w:color w:val="auto"/>
        </w:rPr>
      </w:pPr>
    </w:p>
    <w:p>
      <w:pPr>
        <w:ind w:left="580" w:hanging="386"/>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80" w:right="360"/>
        <w:spacing w:after="0" w:line="277" w:lineRule="auto"/>
        <w:rPr>
          <w:rFonts w:ascii="Arial" w:cs="Arial" w:eastAsia="Arial" w:hAnsi="Arial"/>
          <w:sz w:val="18"/>
          <w:szCs w:val="18"/>
          <w:color w:val="auto"/>
        </w:rPr>
      </w:pPr>
      <w:r>
        <w:rPr>
          <w:rFonts w:ascii="Arial" w:cs="Arial" w:eastAsia="Arial" w:hAnsi="Arial"/>
          <w:sz w:val="18"/>
          <w:szCs w:val="18"/>
          <w:color w:val="auto"/>
        </w:rPr>
        <w:t>Exhibit 99 - Press Release, dated January 26, 2010, announcing financial results of Hawkins, Inc. for its fiscal third quarter ended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1033145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328"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5"/>
          <w:szCs w:val="25"/>
          <w:b w:val="1"/>
          <w:bCs w:val="1"/>
          <w:color w:val="auto"/>
        </w:rPr>
        <w:t>SIGNATURES</w:t>
      </w:r>
    </w:p>
    <w:p>
      <w:pPr>
        <w:spacing w:after="0" w:line="23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HAWKINS,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4140" w:val="left"/>
          <w:tab w:leader="none" w:pos="5480" w:val="left"/>
        </w:tabs>
        <w:rPr>
          <w:sz w:val="20"/>
          <w:szCs w:val="20"/>
          <w:color w:val="auto"/>
        </w:rPr>
      </w:pPr>
      <w:r>
        <w:rPr>
          <w:rFonts w:ascii="Arial" w:cs="Arial" w:eastAsia="Arial" w:hAnsi="Arial"/>
          <w:sz w:val="18"/>
          <w:szCs w:val="18"/>
          <w:color w:val="auto"/>
        </w:rPr>
        <w:t>Date: January 26,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14605</wp:posOffset>
            </wp:positionV>
            <wp:extent cx="2178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1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Kathleen P. Pepski</w:t>
      </w:r>
    </w:p>
    <w:p>
      <w:pPr>
        <w:spacing w:after="0" w:line="3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Vice President, Chief Financial Officer, and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912495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Index to Exhibits</w:t>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No.</w:t>
      </w:r>
    </w:p>
    <w:p>
      <w:pPr>
        <w:spacing w:after="0" w:line="374"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26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Method of Filing</w:t>
            </w:r>
          </w:p>
        </w:tc>
      </w:tr>
      <w:tr>
        <w:trPr>
          <w:trHeight w:val="507"/>
        </w:trPr>
        <w:tc>
          <w:tcPr>
            <w:tcW w:w="5300" w:type="dxa"/>
            <w:vAlign w:val="bottom"/>
          </w:tcPr>
          <w:p>
            <w:pPr>
              <w:spacing w:after="0"/>
              <w:rPr>
                <w:sz w:val="20"/>
                <w:szCs w:val="20"/>
                <w:color w:val="auto"/>
              </w:rPr>
            </w:pPr>
            <w:r>
              <w:rPr>
                <w:rFonts w:ascii="Arial" w:cs="Arial" w:eastAsia="Arial" w:hAnsi="Arial"/>
                <w:sz w:val="18"/>
                <w:szCs w:val="18"/>
                <w:color w:val="auto"/>
                <w:w w:val="92"/>
              </w:rPr>
              <w:t>Press Release, dated January 26, 2010, announcing financial results of</w:t>
            </w:r>
          </w:p>
        </w:tc>
        <w:tc>
          <w:tcPr>
            <w:tcW w:w="26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2"/>
              </w:rPr>
              <w:t>Electronic Transmission</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Hawkins, Inc. for its fiscal third quarter ended December 31, 2009.</w:t>
            </w:r>
          </w:p>
        </w:tc>
        <w:tc>
          <w:tcPr>
            <w:tcW w:w="26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1755775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2020" w:space="340"/>
            <w:col w:w="7920"/>
          </w:cols>
          <w:pgMar w:left="240" w:top="334" w:right="1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5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560" w:type="dxa"/>
            <w:vAlign w:val="bottom"/>
            <w:gridSpan w:val="2"/>
          </w:tcPr>
          <w:p>
            <w:pPr>
              <w:ind w:left="1600"/>
              <w:spacing w:after="0"/>
              <w:rPr>
                <w:sz w:val="20"/>
                <w:szCs w:val="20"/>
                <w:color w:val="auto"/>
              </w:rPr>
            </w:pPr>
            <w:r>
              <w:rPr>
                <w:rFonts w:ascii="Arial" w:cs="Arial" w:eastAsia="Arial" w:hAnsi="Arial"/>
                <w:sz w:val="22"/>
                <w:szCs w:val="22"/>
                <w:b w:val="1"/>
                <w:bCs w:val="1"/>
                <w:color w:val="auto"/>
                <w:w w:val="90"/>
              </w:rPr>
              <w:t>Exhibit 99</w:t>
            </w:r>
          </w:p>
        </w:tc>
        <w:tc>
          <w:tcPr>
            <w:tcW w:w="0" w:type="dxa"/>
            <w:vAlign w:val="bottom"/>
          </w:tcPr>
          <w:p>
            <w:pPr>
              <w:spacing w:after="0"/>
              <w:rPr>
                <w:sz w:val="1"/>
                <w:szCs w:val="1"/>
                <w:color w:val="auto"/>
              </w:rPr>
            </w:pPr>
          </w:p>
        </w:tc>
      </w:tr>
      <w:tr>
        <w:trPr>
          <w:trHeight w:val="435"/>
        </w:trPr>
        <w:tc>
          <w:tcPr>
            <w:tcW w:w="518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6240" w:type="dxa"/>
            <w:vAlign w:val="bottom"/>
            <w:gridSpan w:val="3"/>
          </w:tcPr>
          <w:p>
            <w:pPr>
              <w:ind w:left="2760"/>
              <w:spacing w:after="0"/>
              <w:rPr>
                <w:sz w:val="20"/>
                <w:szCs w:val="20"/>
                <w:color w:val="auto"/>
              </w:rPr>
            </w:pPr>
            <w:r>
              <w:rPr>
                <w:rFonts w:ascii="Arial" w:cs="Arial" w:eastAsia="Arial" w:hAnsi="Arial"/>
                <w:sz w:val="18"/>
                <w:szCs w:val="18"/>
                <w:color w:val="auto"/>
              </w:rPr>
              <w:t>Contacts:   John R. Hawkins</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6080" w:type="dxa"/>
            <w:vAlign w:val="bottom"/>
            <w:gridSpan w:val="2"/>
          </w:tcPr>
          <w:p>
            <w:pPr>
              <w:ind w:left="3680"/>
              <w:spacing w:after="0"/>
              <w:rPr>
                <w:sz w:val="20"/>
                <w:szCs w:val="20"/>
                <w:color w:val="auto"/>
              </w:rPr>
            </w:pPr>
            <w:r>
              <w:rPr>
                <w:rFonts w:ascii="Arial" w:cs="Arial" w:eastAsia="Arial" w:hAnsi="Arial"/>
                <w:sz w:val="18"/>
                <w:szCs w:val="18"/>
                <w:color w:val="auto"/>
              </w:rPr>
              <w:t>612/617-8532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180" w:type="dxa"/>
            <w:vAlign w:val="bottom"/>
            <w:vMerge w:val="restart"/>
          </w:tcPr>
          <w:p>
            <w:pPr>
              <w:spacing w:after="0"/>
              <w:rPr>
                <w:sz w:val="20"/>
                <w:szCs w:val="20"/>
                <w:color w:val="auto"/>
              </w:rPr>
            </w:pPr>
            <w:r>
              <w:rPr>
                <w:rFonts w:ascii="Arial" w:cs="Arial" w:eastAsia="Arial" w:hAnsi="Arial"/>
                <w:sz w:val="18"/>
                <w:szCs w:val="18"/>
                <w:color w:val="auto"/>
              </w:rPr>
              <w:t>Hawkins, Inc.</w:t>
            </w:r>
          </w:p>
        </w:tc>
        <w:tc>
          <w:tcPr>
            <w:tcW w:w="3680" w:type="dxa"/>
            <w:vAlign w:val="bottom"/>
          </w:tcPr>
          <w:p>
            <w:pPr>
              <w:spacing w:after="0"/>
              <w:rPr>
                <w:sz w:val="16"/>
                <w:szCs w:val="16"/>
                <w:color w:val="auto"/>
              </w:rPr>
            </w:pPr>
          </w:p>
        </w:tc>
        <w:tc>
          <w:tcPr>
            <w:tcW w:w="24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91"/>
              </w:rPr>
              <w:t>John.Hawkins@HawkinsInc.com</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180" w:type="dxa"/>
            <w:vAlign w:val="bottom"/>
            <w:vMerge w:val="continue"/>
          </w:tcPr>
          <w:p>
            <w:pPr>
              <w:spacing w:after="0"/>
              <w:rPr>
                <w:sz w:val="5"/>
                <w:szCs w:val="5"/>
                <w:color w:val="auto"/>
              </w:rPr>
            </w:pPr>
          </w:p>
        </w:tc>
        <w:tc>
          <w:tcPr>
            <w:tcW w:w="36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3100 East Hennepin Avenue</w:t>
            </w:r>
          </w:p>
        </w:tc>
        <w:tc>
          <w:tcPr>
            <w:tcW w:w="3680" w:type="dxa"/>
            <w:vAlign w:val="bottom"/>
          </w:tcPr>
          <w:p>
            <w:pPr>
              <w:spacing w:after="0"/>
              <w:rPr>
                <w:sz w:val="18"/>
                <w:szCs w:val="18"/>
                <w:color w:val="auto"/>
              </w:rPr>
            </w:pPr>
          </w:p>
        </w:tc>
        <w:tc>
          <w:tcPr>
            <w:tcW w:w="2560" w:type="dxa"/>
            <w:vAlign w:val="bottom"/>
            <w:gridSpan w:val="2"/>
            <w:vMerge w:val="restart"/>
          </w:tcPr>
          <w:p>
            <w:pPr>
              <w:spacing w:after="0"/>
              <w:rPr>
                <w:sz w:val="20"/>
                <w:szCs w:val="20"/>
                <w:color w:val="auto"/>
              </w:rPr>
            </w:pPr>
            <w:r>
              <w:rPr>
                <w:rFonts w:ascii="Arial" w:cs="Arial" w:eastAsia="Arial" w:hAnsi="Arial"/>
                <w:sz w:val="18"/>
                <w:szCs w:val="18"/>
                <w:color w:val="auto"/>
              </w:rPr>
              <w:t>Kathleen P. Pepski</w:t>
            </w:r>
          </w:p>
        </w:tc>
        <w:tc>
          <w:tcPr>
            <w:tcW w:w="0" w:type="dxa"/>
            <w:vAlign w:val="bottom"/>
          </w:tcPr>
          <w:p>
            <w:pPr>
              <w:spacing w:after="0"/>
              <w:rPr>
                <w:sz w:val="1"/>
                <w:szCs w:val="1"/>
                <w:color w:val="auto"/>
              </w:rPr>
            </w:pPr>
          </w:p>
        </w:tc>
      </w:tr>
      <w:tr>
        <w:trPr>
          <w:trHeight w:val="189"/>
        </w:trPr>
        <w:tc>
          <w:tcPr>
            <w:tcW w:w="5180" w:type="dxa"/>
            <w:vAlign w:val="bottom"/>
          </w:tcPr>
          <w:p>
            <w:pPr>
              <w:spacing w:after="0" w:line="189" w:lineRule="exact"/>
              <w:rPr>
                <w:sz w:val="20"/>
                <w:szCs w:val="20"/>
                <w:color w:val="auto"/>
              </w:rPr>
            </w:pPr>
            <w:r>
              <w:rPr>
                <w:rFonts w:ascii="Arial" w:cs="Arial" w:eastAsia="Arial" w:hAnsi="Arial"/>
                <w:sz w:val="18"/>
                <w:szCs w:val="18"/>
                <w:color w:val="auto"/>
              </w:rPr>
              <w:t>Minneapolis, MN 55413</w:t>
            </w:r>
          </w:p>
        </w:tc>
        <w:tc>
          <w:tcPr>
            <w:tcW w:w="3680" w:type="dxa"/>
            <w:vAlign w:val="bottom"/>
          </w:tcPr>
          <w:p>
            <w:pPr>
              <w:spacing w:after="0"/>
              <w:rPr>
                <w:sz w:val="16"/>
                <w:szCs w:val="16"/>
                <w:color w:val="auto"/>
              </w:rPr>
            </w:pPr>
          </w:p>
        </w:tc>
        <w:tc>
          <w:tcPr>
            <w:tcW w:w="2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6080" w:type="dxa"/>
            <w:vAlign w:val="bottom"/>
            <w:gridSpan w:val="2"/>
          </w:tcPr>
          <w:p>
            <w:pPr>
              <w:ind w:left="3680"/>
              <w:spacing w:after="0"/>
              <w:rPr>
                <w:sz w:val="20"/>
                <w:szCs w:val="20"/>
                <w:color w:val="auto"/>
              </w:rPr>
            </w:pPr>
            <w:r>
              <w:rPr>
                <w:rFonts w:ascii="Arial" w:cs="Arial" w:eastAsia="Arial" w:hAnsi="Arial"/>
                <w:sz w:val="18"/>
                <w:szCs w:val="18"/>
                <w:color w:val="auto"/>
              </w:rPr>
              <w:t>612/617-8571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56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0"/>
              </w:rPr>
              <w:t>Kathleen.Pepski@HawkinsInc.com</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HAWKINS, INC. REPORTS</w:t>
      </w:r>
    </w:p>
    <w:p>
      <w:pPr>
        <w:spacing w:after="0" w:line="38"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THIRD QUARTER, NINE MONTHS FISCAL 2010 RESULTS</w:t>
      </w:r>
    </w:p>
    <w:p>
      <w:pPr>
        <w:spacing w:after="0" w:line="2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Minneapolis, MN, January 26, 2010 – Hawkins, Inc. (Nasdaq: HWKN) today announced third quarter and nine month results for fiscal 2010. Sales of $60.6 million for the quarter ended December 31, 2009 represented a 19.8% decrease from $75.6 million in sales for the same period in the prior fiscal year. Net income for the third quarter of fiscal 2010 was $5.6 million, or $0.54 per share, fully diluted, down 1.98% as compared to $7.0 million, or $0.68 per share, fully diluted for the same period of fiscal 2009.</w:t>
      </w:r>
    </w:p>
    <w:p>
      <w:pPr>
        <w:spacing w:after="0" w:line="21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Income from operations for the quarter was increased by LIFO inventory adjustments of $2.1 million (approximately $1.2 million, or $0.12 per share, after tax) primarily resulting from decreased inventory costs. In the same period of the prior year, income from operations was decreased by LIFO inventory adjustments of $1.7 million (approximately $1.1 million, or $0.10 per share, after tax) resulting from increased inventory costs.</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nine months ended December 31, 2009, Hawkins reported sales of $199.2 million, net income of $18.3 million and diluted earnings per share of $1.78 as compared to sales of $216.6 million, net income of $18.7 million and diluted earnings per share of $1.82 for the same period a year ago. LIFO inventory adjustments increased income from operations for the nine months by approximately $9.1 million (approximately $5.5 million, or $0.54 per share, after tax), whereas LIFO adjustments decreased results for the nine months ended December 31, 2008 by approximately $7.0 million (approximately $4.3 million, or $0.42 per share, after tax).</w:t>
      </w:r>
    </w:p>
    <w:p>
      <w:pPr>
        <w:spacing w:after="0" w:line="215" w:lineRule="exact"/>
        <w:rPr>
          <w:sz w:val="20"/>
          <w:szCs w:val="20"/>
          <w:color w:val="auto"/>
        </w:rPr>
      </w:pPr>
    </w:p>
    <w:p>
      <w:pPr>
        <w:ind w:right="420"/>
        <w:spacing w:after="0" w:line="297" w:lineRule="auto"/>
        <w:rPr>
          <w:sz w:val="20"/>
          <w:szCs w:val="20"/>
          <w:color w:val="auto"/>
        </w:rPr>
      </w:pPr>
      <w:r>
        <w:rPr>
          <w:rFonts w:ascii="Arial" w:cs="Arial" w:eastAsia="Arial" w:hAnsi="Arial"/>
          <w:sz w:val="16"/>
          <w:szCs w:val="16"/>
          <w:color w:val="auto"/>
        </w:rPr>
        <w:t>Chief Executive Officer John R. Hawkins, commented, “We have seen commodity chemical prices begin to stabilize and with that our Industrial group profitability has been reduced from the record high earnings level we realized in the third quarter of last fiscal year. Last year at this time, we were in an environment of rapidly rising commodities costs and constrained supply, the combination of which generated significantly higher margins than we had historically achieved. TheWater Treatment group profits have continued to grow as this group executes our market penetration and geographic growth strategy, while vigilantly working to provide the most effective water treatment solutions and value-added services to&amp;nb sp;our customers.”</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Hawkins added, “Our earnings comparisons continue to be impacted by fluctuations in LIFO inventory adjustments due to the significantly lower raw material costs from fiscal 2009. These lower material costs negatively impact our sales results as we adjust our selling prices to reflect the lower commodity raw material costs.” Hawkins continued, “The Company has performed extremely well over the last several quarters during very turbulent times. Our employees continue to work very closely with our customers and suppliers, always looking for opportunities to create value through quality products, service and support in sourcing and supplying the chemical needs of our customers.”</w:t>
      </w:r>
    </w:p>
    <w:p>
      <w:pPr>
        <w:spacing w:after="0" w:line="21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For the quarter ended December 31, 2009, Industrial segment sales were $42.3 million, a decrease of 24.7% from last years’ third quarter sales of $56.2 million. Water Treatment segment sales for the quarter ended were $18.3 million, a decrease of 5.3% from last year’s third quarter sales of $19.3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auto"/>
        </w:rPr>
        <w:t>HAWKINS, INC. REPORTS</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RESULTS FOR FISCAL 2010</w:t>
      </w:r>
    </w:p>
    <w:p>
      <w:pPr>
        <w:spacing w:after="0" w:line="231" w:lineRule="auto"/>
        <w:rPr>
          <w:sz w:val="20"/>
          <w:szCs w:val="20"/>
          <w:color w:val="auto"/>
        </w:rPr>
      </w:pPr>
      <w:r>
        <w:rPr>
          <w:rFonts w:ascii="Arial" w:cs="Arial" w:eastAsia="Arial" w:hAnsi="Arial"/>
          <w:sz w:val="22"/>
          <w:szCs w:val="22"/>
          <w:color w:val="auto"/>
        </w:rPr>
        <w:t>January 26, 2010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Two.</w:t>
      </w:r>
    </w:p>
    <w:p>
      <w:pPr>
        <w:spacing w:after="0" w:line="2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Company-wide gross profit for the quarter was $15.8 million, or 26.2% of sales, as compared to $18.1 million, or 24.0% of sales, for the same period in the prior fiscal year. Gross profit for the Industrial segment was $10.1 million, or 23.9% of sales, for the quarter, as compared to $13.4 million, or 23.9% of sales, for the same period in the prior fiscal year. In the third quarter of fiscal 2009 gross profit dollars in the Industrial segment were significantly higher than historical levels due to the sale of lower-cost inventory on hand during that period of rapidly escalating market prices as well as an increase in profits realized on certain products where we had inventory available to meet escalated demand during a period of constrained supply. By contrast, in the three months ended December 31, 2009, the market conditions returned to levels more in line with our historical experience and, as a result the Industrial segment’s gross profit dollars were lower for that period. Gross profit for the Water Treatment segment was $5.7 million, or 31.3% of sales, for the quarter, as compared to $4.7 million, or 24.3% of sales, for the same period in the prior fiscal year. The increase in gross profit in the Water Treatment segment was primarily driven by increased sales of higher-margin manufactured and specialty chemical products and sales from our new branches.</w:t>
      </w:r>
    </w:p>
    <w:p>
      <w:pPr>
        <w:spacing w:after="0" w:line="1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Company-wide gross profit for the nine months ended December 31, 2009 was $49.1 million, or 24.7% of sales, as compared to $48.9 million, or 22.6% of sales for the same period in the prior fiscal year. Gross profit for the Industrial segment was $27.4 million, or 20.5% of sales, for the nine months, compared to $31.4 million or 20.8% of sales in the same period a year ago. The reduction in gross profit in the first three quarters of fiscal 2010 compared to the same period of fiscal 2009 for the Industrial segment primarily occurred in the third quarter as a result of the unusual market conditions experienced in the prior year’s third quarter, as outlined above. Gross profit for the Water Treatment segment was $21.7 million, or 33.1% of sales, for the nine months compared to $17.5 million, or 26.7% of sales, in the same period a year ago. The Water Treatment segment’s gross profit i ncrease was primarily driven by increased sales of higher-margin manufactured and specialty chemical products and favorable weather conditions in the first quarter of fiscal 2010 as compared to the first quarter of fiscal 2009.</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Selling, general and administrative expenses decreased $459,000, or 6.6%, for the quarter and increased $365,000, or 1.9%, for the nine months, as compared to the same periods in the prior fiscal year. The decrease in the current quarter was primarily the result of lower bad debt expense in fiscal 2010, partially offset by higher employee benefit costs. The increase for the first nine months of fiscal 2010 compared to fiscal 2009 is primarily the result of higher employee benefit and variable pay plan costs, partially offset by lower bad debt expense.</w:t>
      </w: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19 facilities in 10 states, the Company creates value for its customers through superb customer service and support, quality products and personalized applications.</w:t>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13"/>
          <w:szCs w:val="13"/>
          <w:color w:val="auto"/>
        </w:rPr>
        <w:t>The discussion above contains forward-looking statements within the meaning of the Private Securities Litigation Reform Act of 1995. These statements by their nature involve substantial risks and uncertainties. Actual results may differ materially depending on a variety of factors, including, but not limited to, the following: our ability to pass through cost increases in raw materials and energy, the inability of our suppliers to provide us with sufficient quantities of key raw materials at contracted prices and delivery dates, cyclical downturns in our customers’ industries, competition from other chemical companies, seasonality and weather conditions that may affect customer demand and river and rail transportation, the hazards of chemical manufacturing, natural disasters, actual growth in our products’ markets, changes in our customers’ products, compliance with applicable laws a nd regulations, our ability to meet quality specifications, the adequacy of our insurance coverage, our ability to attract and retain key personnel, our ability to complete and integrate future acquisitions, and future terrorist attacks or natural disasters. Additional information with respect to the risks and uncertainties faced by Hawkins may be found in, and the prior discussion is qualified in its entirety by, the Risk Factors contained in Part I, Item 1A of our Annual Report on Form 10-K for the fiscal year ended March 29, 2009, as updated by subsequent SEC filings.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HAWKINS, INC. REPORTS</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RESULTS FOR FISCAL 2010</w:t>
      </w:r>
    </w:p>
    <w:p>
      <w:pPr>
        <w:spacing w:after="0" w:line="231" w:lineRule="auto"/>
        <w:rPr>
          <w:sz w:val="20"/>
          <w:szCs w:val="20"/>
          <w:color w:val="auto"/>
        </w:rPr>
      </w:pPr>
      <w:r>
        <w:rPr>
          <w:rFonts w:ascii="Arial" w:cs="Arial" w:eastAsia="Arial" w:hAnsi="Arial"/>
          <w:sz w:val="22"/>
          <w:szCs w:val="22"/>
          <w:color w:val="auto"/>
        </w:rPr>
        <w:t>January 26, 2010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Three.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STATEMENTS OF INCOME</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 thousands, except share and per-share data</w:t>
      </w:r>
    </w:p>
    <w:p>
      <w:pPr>
        <w:spacing w:after="0"/>
        <w:rPr>
          <w:sz w:val="20"/>
          <w:szCs w:val="20"/>
          <w:color w:val="auto"/>
        </w:rPr>
      </w:pPr>
      <w:r>
        <w:rPr>
          <w:rFonts w:ascii="Arial" w:cs="Arial" w:eastAsia="Arial" w:hAnsi="Arial"/>
          <w:sz w:val="14"/>
          <w:szCs w:val="14"/>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6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6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r>
      <w:tr>
        <w:trPr>
          <w:trHeight w:val="171"/>
        </w:trPr>
        <w:tc>
          <w:tcPr>
            <w:tcW w:w="4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540" w:type="dxa"/>
            <w:vAlign w:val="bottom"/>
          </w:tcPr>
          <w:p>
            <w:pPr>
              <w:spacing w:after="0"/>
              <w:rPr>
                <w:sz w:val="12"/>
                <w:szCs w:val="12"/>
                <w:color w:val="auto"/>
              </w:rPr>
            </w:pPr>
          </w:p>
        </w:tc>
        <w:tc>
          <w:tcPr>
            <w:tcW w:w="88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9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43"/>
        </w:trPr>
        <w:tc>
          <w:tcPr>
            <w:tcW w:w="454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880" w:type="dxa"/>
            <w:vAlign w:val="bottom"/>
            <w:gridSpan w:val="2"/>
            <w:shd w:val="clear" w:color="auto" w:fill="D6F3E8"/>
          </w:tcPr>
          <w:p>
            <w:pPr>
              <w:jc w:val="right"/>
              <w:ind w:right="314"/>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60,627</w:t>
            </w:r>
          </w:p>
        </w:tc>
        <w:tc>
          <w:tcPr>
            <w:tcW w:w="340" w:type="dxa"/>
            <w:vAlign w:val="bottom"/>
            <w:shd w:val="clear" w:color="auto" w:fill="D6F3E8"/>
          </w:tcPr>
          <w:p>
            <w:pPr>
              <w:spacing w:after="0"/>
              <w:rPr>
                <w:sz w:val="21"/>
                <w:szCs w:val="21"/>
                <w:color w:val="auto"/>
              </w:rPr>
            </w:pPr>
          </w:p>
        </w:tc>
        <w:tc>
          <w:tcPr>
            <w:tcW w:w="380" w:type="dxa"/>
            <w:vAlign w:val="bottom"/>
            <w:shd w:val="clear" w:color="auto" w:fill="D6F3E8"/>
          </w:tcPr>
          <w:p>
            <w:pPr>
              <w:jc w:val="right"/>
              <w:ind w:right="2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75,555</w:t>
            </w:r>
          </w:p>
        </w:tc>
        <w:tc>
          <w:tcPr>
            <w:tcW w:w="28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199,189</w:t>
            </w:r>
          </w:p>
        </w:tc>
        <w:tc>
          <w:tcPr>
            <w:tcW w:w="200" w:type="dxa"/>
            <w:vAlign w:val="bottom"/>
            <w:shd w:val="clear" w:color="auto" w:fill="D6F3E8"/>
          </w:tcPr>
          <w:p>
            <w:pPr>
              <w:spacing w:after="0"/>
              <w:rPr>
                <w:sz w:val="21"/>
                <w:szCs w:val="21"/>
                <w:color w:val="auto"/>
              </w:rPr>
            </w:pPr>
          </w:p>
        </w:tc>
        <w:tc>
          <w:tcPr>
            <w:tcW w:w="500" w:type="dxa"/>
            <w:vAlign w:val="bottom"/>
            <w:gridSpan w:val="2"/>
            <w:shd w:val="clear" w:color="auto" w:fill="D6F3E8"/>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216,572</w:t>
            </w:r>
          </w:p>
        </w:tc>
        <w:tc>
          <w:tcPr>
            <w:tcW w:w="20" w:type="dxa"/>
            <w:vAlign w:val="bottom"/>
          </w:tcPr>
          <w:p>
            <w:pPr>
              <w:spacing w:after="0"/>
              <w:rPr>
                <w:sz w:val="21"/>
                <w:szCs w:val="2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Cost of sales</w:t>
            </w: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(44,772)</w:t>
            </w:r>
          </w:p>
        </w:tc>
        <w:tc>
          <w:tcPr>
            <w:tcW w:w="380" w:type="dxa"/>
            <w:vAlign w:val="bottom"/>
          </w:tcPr>
          <w:p>
            <w:pPr>
              <w:spacing w:after="0"/>
              <w:rPr>
                <w:sz w:val="21"/>
                <w:szCs w:val="21"/>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(57,453)</w:t>
            </w: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(150,062)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(167,709)</w:t>
            </w:r>
          </w:p>
        </w:tc>
        <w:tc>
          <w:tcPr>
            <w:tcW w:w="20" w:type="dxa"/>
            <w:vAlign w:val="bottom"/>
          </w:tcPr>
          <w:p>
            <w:pPr>
              <w:spacing w:after="0"/>
              <w:rPr>
                <w:sz w:val="21"/>
                <w:szCs w:val="21"/>
                <w:color w:val="auto"/>
              </w:rPr>
            </w:pPr>
          </w:p>
        </w:tc>
      </w:tr>
      <w:tr>
        <w:trPr>
          <w:trHeight w:val="20"/>
        </w:trPr>
        <w:tc>
          <w:tcPr>
            <w:tcW w:w="4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54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D6F3E8"/>
          </w:tcPr>
          <w:p>
            <w:pPr>
              <w:spacing w:after="0"/>
              <w:rPr>
                <w:sz w:val="20"/>
                <w:szCs w:val="20"/>
                <w:color w:val="auto"/>
              </w:rPr>
            </w:pPr>
          </w:p>
        </w:tc>
        <w:tc>
          <w:tcPr>
            <w:tcW w:w="480" w:type="dxa"/>
            <w:vAlign w:val="bottom"/>
            <w:shd w:val="clear" w:color="auto" w:fill="D6F3E8"/>
          </w:tcPr>
          <w:p>
            <w:pPr>
              <w:spacing w:after="0"/>
              <w:rPr>
                <w:sz w:val="20"/>
                <w:szCs w:val="20"/>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15,855</w:t>
            </w:r>
          </w:p>
        </w:tc>
        <w:tc>
          <w:tcPr>
            <w:tcW w:w="340" w:type="dxa"/>
            <w:vAlign w:val="bottom"/>
            <w:shd w:val="clear" w:color="auto" w:fill="D6F3E8"/>
          </w:tcPr>
          <w:p>
            <w:pPr>
              <w:spacing w:after="0"/>
              <w:rPr>
                <w:sz w:val="20"/>
                <w:szCs w:val="20"/>
                <w:color w:val="auto"/>
              </w:rPr>
            </w:pPr>
          </w:p>
        </w:tc>
        <w:tc>
          <w:tcPr>
            <w:tcW w:w="380" w:type="dxa"/>
            <w:vAlign w:val="bottom"/>
            <w:shd w:val="clear" w:color="auto" w:fill="D6F3E8"/>
          </w:tcPr>
          <w:p>
            <w:pPr>
              <w:spacing w:after="0"/>
              <w:rPr>
                <w:sz w:val="20"/>
                <w:szCs w:val="20"/>
                <w:color w:val="auto"/>
              </w:rPr>
            </w:pPr>
          </w:p>
        </w:tc>
        <w:tc>
          <w:tcPr>
            <w:tcW w:w="140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18,102</w:t>
            </w:r>
          </w:p>
        </w:tc>
        <w:tc>
          <w:tcPr>
            <w:tcW w:w="280" w:type="dxa"/>
            <w:vAlign w:val="bottom"/>
            <w:shd w:val="clear" w:color="auto" w:fill="D6F3E8"/>
          </w:tcPr>
          <w:p>
            <w:pPr>
              <w:spacing w:after="0"/>
              <w:rPr>
                <w:sz w:val="20"/>
                <w:szCs w:val="20"/>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49,127</w:t>
            </w:r>
          </w:p>
        </w:tc>
        <w:tc>
          <w:tcPr>
            <w:tcW w:w="120" w:type="dxa"/>
            <w:vAlign w:val="bottom"/>
            <w:shd w:val="clear" w:color="auto" w:fill="D6F3E8"/>
          </w:tcPr>
          <w:p>
            <w:pPr>
              <w:spacing w:after="0"/>
              <w:rPr>
                <w:sz w:val="20"/>
                <w:szCs w:val="20"/>
                <w:color w:val="auto"/>
              </w:rPr>
            </w:pPr>
          </w:p>
        </w:tc>
        <w:tc>
          <w:tcPr>
            <w:tcW w:w="380" w:type="dxa"/>
            <w:vAlign w:val="bottom"/>
            <w:shd w:val="clear" w:color="auto" w:fill="D6F3E8"/>
          </w:tcPr>
          <w:p>
            <w:pPr>
              <w:spacing w:after="0"/>
              <w:rPr>
                <w:sz w:val="20"/>
                <w:szCs w:val="20"/>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48,863</w:t>
            </w:r>
          </w:p>
        </w:tc>
        <w:tc>
          <w:tcPr>
            <w:tcW w:w="20" w:type="dxa"/>
            <w:vAlign w:val="bottom"/>
          </w:tcPr>
          <w:p>
            <w:pPr>
              <w:spacing w:after="0"/>
              <w:rPr>
                <w:sz w:val="20"/>
                <w:szCs w:val="20"/>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(6,447)</w:t>
            </w:r>
          </w:p>
        </w:tc>
        <w:tc>
          <w:tcPr>
            <w:tcW w:w="380" w:type="dxa"/>
            <w:vAlign w:val="bottom"/>
          </w:tcPr>
          <w:p>
            <w:pPr>
              <w:spacing w:after="0"/>
              <w:rPr>
                <w:sz w:val="21"/>
                <w:szCs w:val="21"/>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(6,906)</w:t>
            </w: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(19,370)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(19,005)</w:t>
            </w:r>
          </w:p>
        </w:tc>
        <w:tc>
          <w:tcPr>
            <w:tcW w:w="20" w:type="dxa"/>
            <w:vAlign w:val="bottom"/>
          </w:tcPr>
          <w:p>
            <w:pPr>
              <w:spacing w:after="0"/>
              <w:rPr>
                <w:sz w:val="21"/>
                <w:szCs w:val="21"/>
                <w:color w:val="auto"/>
              </w:rPr>
            </w:pPr>
          </w:p>
        </w:tc>
      </w:tr>
      <w:tr>
        <w:trPr>
          <w:trHeight w:val="237"/>
        </w:trPr>
        <w:tc>
          <w:tcPr>
            <w:tcW w:w="454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D6F3E8"/>
          </w:tcPr>
          <w:p>
            <w:pPr>
              <w:spacing w:after="0"/>
              <w:rPr>
                <w:sz w:val="20"/>
                <w:szCs w:val="20"/>
                <w:color w:val="auto"/>
              </w:rPr>
            </w:pPr>
          </w:p>
        </w:tc>
        <w:tc>
          <w:tcPr>
            <w:tcW w:w="480" w:type="dxa"/>
            <w:vAlign w:val="bottom"/>
            <w:tcBorders>
              <w:top w:val="single" w:sz="8" w:color="auto"/>
            </w:tcBorders>
            <w:shd w:val="clear" w:color="auto" w:fill="D6F3E8"/>
          </w:tcPr>
          <w:p>
            <w:pPr>
              <w:spacing w:after="0"/>
              <w:rPr>
                <w:sz w:val="20"/>
                <w:szCs w:val="20"/>
                <w:color w:val="auto"/>
              </w:rPr>
            </w:pPr>
          </w:p>
        </w:tc>
        <w:tc>
          <w:tcPr>
            <w:tcW w:w="9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9,408</w:t>
            </w:r>
          </w:p>
        </w:tc>
        <w:tc>
          <w:tcPr>
            <w:tcW w:w="340" w:type="dxa"/>
            <w:vAlign w:val="bottom"/>
            <w:shd w:val="clear" w:color="auto" w:fill="D6F3E8"/>
          </w:tcPr>
          <w:p>
            <w:pPr>
              <w:spacing w:after="0"/>
              <w:rPr>
                <w:sz w:val="20"/>
                <w:szCs w:val="20"/>
                <w:color w:val="auto"/>
              </w:rPr>
            </w:pPr>
          </w:p>
        </w:tc>
        <w:tc>
          <w:tcPr>
            <w:tcW w:w="380" w:type="dxa"/>
            <w:vAlign w:val="bottom"/>
            <w:tcBorders>
              <w:top w:val="single" w:sz="8" w:color="auto"/>
            </w:tcBorders>
            <w:shd w:val="clear" w:color="auto" w:fill="D6F3E8"/>
          </w:tcPr>
          <w:p>
            <w:pPr>
              <w:spacing w:after="0"/>
              <w:rPr>
                <w:sz w:val="20"/>
                <w:szCs w:val="20"/>
                <w:color w:val="auto"/>
              </w:rPr>
            </w:pPr>
          </w:p>
        </w:tc>
        <w:tc>
          <w:tcPr>
            <w:tcW w:w="9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11,196</w:t>
            </w:r>
          </w:p>
        </w:tc>
        <w:tc>
          <w:tcPr>
            <w:tcW w:w="440" w:type="dxa"/>
            <w:vAlign w:val="bottom"/>
            <w:shd w:val="clear" w:color="auto" w:fill="D6F3E8"/>
          </w:tcPr>
          <w:p>
            <w:pPr>
              <w:spacing w:after="0"/>
              <w:rPr>
                <w:sz w:val="20"/>
                <w:szCs w:val="20"/>
                <w:color w:val="auto"/>
              </w:rPr>
            </w:pPr>
          </w:p>
        </w:tc>
        <w:tc>
          <w:tcPr>
            <w:tcW w:w="280" w:type="dxa"/>
            <w:vAlign w:val="bottom"/>
            <w:tcBorders>
              <w:top w:val="single" w:sz="8" w:color="auto"/>
            </w:tcBorders>
            <w:shd w:val="clear" w:color="auto" w:fill="D6F3E8"/>
          </w:tcPr>
          <w:p>
            <w:pPr>
              <w:spacing w:after="0"/>
              <w:rPr>
                <w:sz w:val="20"/>
                <w:szCs w:val="20"/>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29,757</w:t>
            </w:r>
          </w:p>
        </w:tc>
        <w:tc>
          <w:tcPr>
            <w:tcW w:w="20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380" w:type="dxa"/>
            <w:vAlign w:val="bottom"/>
            <w:tcBorders>
              <w:top w:val="single" w:sz="8" w:color="auto"/>
            </w:tcBorders>
            <w:shd w:val="clear" w:color="auto" w:fill="D6F3E8"/>
          </w:tcPr>
          <w:p>
            <w:pPr>
              <w:spacing w:after="0"/>
              <w:rPr>
                <w:sz w:val="20"/>
                <w:szCs w:val="20"/>
                <w:color w:val="auto"/>
              </w:rPr>
            </w:pPr>
          </w:p>
        </w:tc>
        <w:tc>
          <w:tcPr>
            <w:tcW w:w="8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29,858</w:t>
            </w:r>
          </w:p>
        </w:tc>
        <w:tc>
          <w:tcPr>
            <w:tcW w:w="100" w:type="dxa"/>
            <w:vAlign w:val="bottom"/>
            <w:shd w:val="clear" w:color="auto" w:fill="D6F3E8"/>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Investment income</w:t>
            </w:r>
          </w:p>
        </w:tc>
        <w:tc>
          <w:tcPr>
            <w:tcW w:w="4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54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00" w:type="dxa"/>
            <w:vAlign w:val="bottom"/>
            <w:shd w:val="clear" w:color="auto" w:fill="D6F3E8"/>
          </w:tcPr>
          <w:p>
            <w:pPr>
              <w:spacing w:after="0"/>
              <w:rPr>
                <w:sz w:val="20"/>
                <w:szCs w:val="20"/>
                <w:color w:val="auto"/>
              </w:rPr>
            </w:pPr>
          </w:p>
        </w:tc>
        <w:tc>
          <w:tcPr>
            <w:tcW w:w="480" w:type="dxa"/>
            <w:vAlign w:val="bottom"/>
            <w:shd w:val="clear" w:color="auto" w:fill="D6F3E8"/>
          </w:tcPr>
          <w:p>
            <w:pPr>
              <w:spacing w:after="0"/>
              <w:rPr>
                <w:sz w:val="20"/>
                <w:szCs w:val="20"/>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9,507</w:t>
            </w:r>
          </w:p>
        </w:tc>
        <w:tc>
          <w:tcPr>
            <w:tcW w:w="340" w:type="dxa"/>
            <w:vAlign w:val="bottom"/>
            <w:shd w:val="clear" w:color="auto" w:fill="D6F3E8"/>
          </w:tcPr>
          <w:p>
            <w:pPr>
              <w:spacing w:after="0"/>
              <w:rPr>
                <w:sz w:val="20"/>
                <w:szCs w:val="20"/>
                <w:color w:val="auto"/>
              </w:rPr>
            </w:pPr>
          </w:p>
        </w:tc>
        <w:tc>
          <w:tcPr>
            <w:tcW w:w="380" w:type="dxa"/>
            <w:vAlign w:val="bottom"/>
            <w:shd w:val="clear" w:color="auto" w:fill="D6F3E8"/>
          </w:tcPr>
          <w:p>
            <w:pPr>
              <w:spacing w:after="0"/>
              <w:rPr>
                <w:sz w:val="20"/>
                <w:szCs w:val="20"/>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11,277</w:t>
            </w:r>
          </w:p>
        </w:tc>
        <w:tc>
          <w:tcPr>
            <w:tcW w:w="440" w:type="dxa"/>
            <w:vAlign w:val="bottom"/>
            <w:shd w:val="clear" w:color="auto" w:fill="D6F3E8"/>
          </w:tcPr>
          <w:p>
            <w:pPr>
              <w:spacing w:after="0"/>
              <w:rPr>
                <w:sz w:val="20"/>
                <w:szCs w:val="20"/>
                <w:color w:val="auto"/>
              </w:rPr>
            </w:pPr>
          </w:p>
        </w:tc>
        <w:tc>
          <w:tcPr>
            <w:tcW w:w="280" w:type="dxa"/>
            <w:vAlign w:val="bottom"/>
            <w:shd w:val="clear" w:color="auto" w:fill="D6F3E8"/>
          </w:tcPr>
          <w:p>
            <w:pPr>
              <w:spacing w:after="0"/>
              <w:rPr>
                <w:sz w:val="20"/>
                <w:szCs w:val="20"/>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29,945</w:t>
            </w:r>
          </w:p>
        </w:tc>
        <w:tc>
          <w:tcPr>
            <w:tcW w:w="120" w:type="dxa"/>
            <w:vAlign w:val="bottom"/>
            <w:shd w:val="clear" w:color="auto" w:fill="D6F3E8"/>
          </w:tcPr>
          <w:p>
            <w:pPr>
              <w:spacing w:after="0"/>
              <w:rPr>
                <w:sz w:val="20"/>
                <w:szCs w:val="20"/>
                <w:color w:val="auto"/>
              </w:rPr>
            </w:pPr>
          </w:p>
        </w:tc>
        <w:tc>
          <w:tcPr>
            <w:tcW w:w="380" w:type="dxa"/>
            <w:vAlign w:val="bottom"/>
            <w:shd w:val="clear" w:color="auto" w:fill="D6F3E8"/>
          </w:tcPr>
          <w:p>
            <w:pPr>
              <w:spacing w:after="0"/>
              <w:rPr>
                <w:sz w:val="20"/>
                <w:szCs w:val="20"/>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30,195</w:t>
            </w:r>
          </w:p>
        </w:tc>
        <w:tc>
          <w:tcPr>
            <w:tcW w:w="20" w:type="dxa"/>
            <w:vAlign w:val="bottom"/>
          </w:tcPr>
          <w:p>
            <w:pPr>
              <w:spacing w:after="0"/>
              <w:rPr>
                <w:sz w:val="20"/>
                <w:szCs w:val="20"/>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(3,912)</w:t>
            </w:r>
          </w:p>
        </w:tc>
        <w:tc>
          <w:tcPr>
            <w:tcW w:w="380" w:type="dxa"/>
            <w:vAlign w:val="bottom"/>
          </w:tcPr>
          <w:p>
            <w:pPr>
              <w:spacing w:after="0"/>
              <w:rPr>
                <w:sz w:val="21"/>
                <w:szCs w:val="21"/>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(4,354)</w:t>
            </w: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(11,741)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(11,656)</w:t>
            </w:r>
          </w:p>
        </w:tc>
        <w:tc>
          <w:tcPr>
            <w:tcW w:w="20" w:type="dxa"/>
            <w:vAlign w:val="bottom"/>
          </w:tcPr>
          <w:p>
            <w:pPr>
              <w:spacing w:after="0"/>
              <w:rPr>
                <w:sz w:val="21"/>
                <w:szCs w:val="21"/>
                <w:color w:val="auto"/>
              </w:rPr>
            </w:pPr>
          </w:p>
        </w:tc>
      </w:tr>
      <w:tr>
        <w:trPr>
          <w:trHeight w:val="20"/>
        </w:trPr>
        <w:tc>
          <w:tcPr>
            <w:tcW w:w="4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54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shd w:val="clear" w:color="auto" w:fill="D6F3E8"/>
          </w:tcPr>
          <w:p>
            <w:pPr>
              <w:spacing w:after="0"/>
              <w:rPr>
                <w:sz w:val="20"/>
                <w:szCs w:val="20"/>
                <w:color w:val="auto"/>
              </w:rPr>
            </w:pPr>
          </w:p>
        </w:tc>
        <w:tc>
          <w:tcPr>
            <w:tcW w:w="480" w:type="dxa"/>
            <w:vAlign w:val="bottom"/>
            <w:shd w:val="clear" w:color="auto" w:fill="D6F3E8"/>
          </w:tcPr>
          <w:p>
            <w:pPr>
              <w:spacing w:after="0"/>
              <w:rPr>
                <w:sz w:val="20"/>
                <w:szCs w:val="20"/>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5,595</w:t>
            </w:r>
          </w:p>
        </w:tc>
        <w:tc>
          <w:tcPr>
            <w:tcW w:w="340" w:type="dxa"/>
            <w:vAlign w:val="bottom"/>
            <w:shd w:val="clear" w:color="auto" w:fill="D6F3E8"/>
          </w:tcPr>
          <w:p>
            <w:pPr>
              <w:spacing w:after="0"/>
              <w:rPr>
                <w:sz w:val="20"/>
                <w:szCs w:val="20"/>
                <w:color w:val="auto"/>
              </w:rPr>
            </w:pPr>
          </w:p>
        </w:tc>
        <w:tc>
          <w:tcPr>
            <w:tcW w:w="380" w:type="dxa"/>
            <w:vAlign w:val="bottom"/>
            <w:shd w:val="clear" w:color="auto" w:fill="D6F3E8"/>
          </w:tcPr>
          <w:p>
            <w:pPr>
              <w:spacing w:after="0"/>
              <w:rPr>
                <w:sz w:val="20"/>
                <w:szCs w:val="20"/>
                <w:color w:val="auto"/>
              </w:rPr>
            </w:pPr>
          </w:p>
        </w:tc>
        <w:tc>
          <w:tcPr>
            <w:tcW w:w="140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6,923</w:t>
            </w:r>
          </w:p>
        </w:tc>
        <w:tc>
          <w:tcPr>
            <w:tcW w:w="280" w:type="dxa"/>
            <w:vAlign w:val="bottom"/>
            <w:shd w:val="clear" w:color="auto" w:fill="D6F3E8"/>
          </w:tcPr>
          <w:p>
            <w:pPr>
              <w:spacing w:after="0"/>
              <w:rPr>
                <w:sz w:val="20"/>
                <w:szCs w:val="20"/>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18,204</w:t>
            </w:r>
          </w:p>
        </w:tc>
        <w:tc>
          <w:tcPr>
            <w:tcW w:w="120" w:type="dxa"/>
            <w:vAlign w:val="bottom"/>
            <w:shd w:val="clear" w:color="auto" w:fill="D6F3E8"/>
          </w:tcPr>
          <w:p>
            <w:pPr>
              <w:spacing w:after="0"/>
              <w:rPr>
                <w:sz w:val="20"/>
                <w:szCs w:val="20"/>
                <w:color w:val="auto"/>
              </w:rPr>
            </w:pPr>
          </w:p>
        </w:tc>
        <w:tc>
          <w:tcPr>
            <w:tcW w:w="380" w:type="dxa"/>
            <w:vAlign w:val="bottom"/>
            <w:shd w:val="clear" w:color="auto" w:fill="D6F3E8"/>
          </w:tcPr>
          <w:p>
            <w:pPr>
              <w:spacing w:after="0"/>
              <w:rPr>
                <w:sz w:val="20"/>
                <w:szCs w:val="20"/>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18,539</w:t>
            </w:r>
          </w:p>
        </w:tc>
        <w:tc>
          <w:tcPr>
            <w:tcW w:w="20" w:type="dxa"/>
            <w:vAlign w:val="bottom"/>
          </w:tcPr>
          <w:p>
            <w:pPr>
              <w:spacing w:after="0"/>
              <w:rPr>
                <w:sz w:val="20"/>
                <w:szCs w:val="20"/>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1"/>
                <w:szCs w:val="21"/>
                <w:color w:val="auto"/>
              </w:rPr>
            </w:pPr>
          </w:p>
        </w:tc>
      </w:tr>
      <w:tr>
        <w:trPr>
          <w:trHeight w:val="230"/>
        </w:trPr>
        <w:tc>
          <w:tcPr>
            <w:tcW w:w="45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D6F3E8"/>
            </w:tcBorders>
            <w:shd w:val="clear" w:color="auto" w:fill="D6F3E8"/>
          </w:tcPr>
          <w:p>
            <w:pPr>
              <w:spacing w:after="0"/>
              <w:rPr>
                <w:sz w:val="20"/>
                <w:szCs w:val="20"/>
                <w:color w:val="auto"/>
              </w:rPr>
            </w:pPr>
          </w:p>
        </w:tc>
        <w:tc>
          <w:tcPr>
            <w:tcW w:w="480" w:type="dxa"/>
            <w:vAlign w:val="bottom"/>
            <w:tcBorders>
              <w:top w:val="single" w:sz="8" w:color="auto"/>
              <w:bottom w:val="single" w:sz="8" w:color="auto"/>
            </w:tcBorders>
            <w:shd w:val="clear" w:color="auto" w:fill="D6F3E8"/>
          </w:tcPr>
          <w:p>
            <w:pPr>
              <w:jc w:val="right"/>
              <w:ind w:right="31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5,595</w:t>
            </w:r>
          </w:p>
        </w:tc>
        <w:tc>
          <w:tcPr>
            <w:tcW w:w="340" w:type="dxa"/>
            <w:vAlign w:val="bottom"/>
            <w:tcBorders>
              <w:bottom w:val="single" w:sz="8" w:color="D6F3E8"/>
            </w:tcBorders>
            <w:shd w:val="clear" w:color="auto" w:fill="D6F3E8"/>
          </w:tcPr>
          <w:p>
            <w:pPr>
              <w:spacing w:after="0"/>
              <w:rPr>
                <w:sz w:val="20"/>
                <w:szCs w:val="20"/>
                <w:color w:val="auto"/>
              </w:rPr>
            </w:pPr>
          </w:p>
        </w:tc>
        <w:tc>
          <w:tcPr>
            <w:tcW w:w="380" w:type="dxa"/>
            <w:vAlign w:val="bottom"/>
            <w:tcBorders>
              <w:top w:val="single" w:sz="8" w:color="auto"/>
              <w:bottom w:val="single" w:sz="8" w:color="auto"/>
            </w:tcBorders>
            <w:shd w:val="clear" w:color="auto" w:fill="D6F3E8"/>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6,973</w:t>
            </w:r>
          </w:p>
        </w:tc>
        <w:tc>
          <w:tcPr>
            <w:tcW w:w="440" w:type="dxa"/>
            <w:vAlign w:val="bottom"/>
            <w:tcBorders>
              <w:bottom w:val="single" w:sz="8" w:color="D6F3E8"/>
            </w:tcBorders>
            <w:shd w:val="clear" w:color="auto" w:fill="D6F3E8"/>
          </w:tcPr>
          <w:p>
            <w:pPr>
              <w:spacing w:after="0"/>
              <w:rPr>
                <w:sz w:val="20"/>
                <w:szCs w:val="20"/>
                <w:color w:val="auto"/>
              </w:rPr>
            </w:pPr>
          </w:p>
        </w:tc>
        <w:tc>
          <w:tcPr>
            <w:tcW w:w="280" w:type="dxa"/>
            <w:vAlign w:val="bottom"/>
            <w:tcBorders>
              <w:top w:val="single" w:sz="8" w:color="auto"/>
              <w:bottom w:val="single" w:sz="8" w:color="auto"/>
            </w:tcBorders>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18,313</w:t>
            </w:r>
          </w:p>
        </w:tc>
        <w:tc>
          <w:tcPr>
            <w:tcW w:w="200" w:type="dxa"/>
            <w:vAlign w:val="bottom"/>
            <w:tcBorders>
              <w:bottom w:val="single" w:sz="8" w:color="D6F3E8"/>
            </w:tcBorders>
            <w:shd w:val="clear" w:color="auto" w:fill="D6F3E8"/>
          </w:tcPr>
          <w:p>
            <w:pPr>
              <w:spacing w:after="0"/>
              <w:rPr>
                <w:sz w:val="20"/>
                <w:szCs w:val="20"/>
                <w:color w:val="auto"/>
              </w:rPr>
            </w:pPr>
          </w:p>
        </w:tc>
        <w:tc>
          <w:tcPr>
            <w:tcW w:w="120" w:type="dxa"/>
            <w:vAlign w:val="bottom"/>
            <w:tcBorders>
              <w:bottom w:val="single" w:sz="8" w:color="D6F3E8"/>
            </w:tcBorders>
            <w:shd w:val="clear" w:color="auto" w:fill="D6F3E8"/>
          </w:tcPr>
          <w:p>
            <w:pPr>
              <w:spacing w:after="0"/>
              <w:rPr>
                <w:sz w:val="20"/>
                <w:szCs w:val="20"/>
                <w:color w:val="auto"/>
              </w:rPr>
            </w:pPr>
          </w:p>
        </w:tc>
        <w:tc>
          <w:tcPr>
            <w:tcW w:w="380" w:type="dxa"/>
            <w:vAlign w:val="bottom"/>
            <w:tcBorders>
              <w:top w:val="single" w:sz="8" w:color="auto"/>
              <w:bottom w:val="single" w:sz="8" w:color="auto"/>
            </w:tcBorders>
            <w:shd w:val="clear" w:color="auto" w:fill="D6F3E8"/>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18,672</w:t>
            </w:r>
          </w:p>
        </w:tc>
        <w:tc>
          <w:tcPr>
            <w:tcW w:w="100" w:type="dxa"/>
            <w:vAlign w:val="bottom"/>
            <w:tcBorders>
              <w:bottom w:val="single" w:sz="8" w:color="D6F3E8"/>
            </w:tcBorders>
            <w:shd w:val="clear" w:color="auto" w:fill="D6F3E8"/>
          </w:tcPr>
          <w:p>
            <w:pPr>
              <w:spacing w:after="0"/>
              <w:rPr>
                <w:sz w:val="20"/>
                <w:szCs w:val="20"/>
                <w:color w:val="auto"/>
              </w:rPr>
            </w:pPr>
          </w:p>
        </w:tc>
        <w:tc>
          <w:tcPr>
            <w:tcW w:w="20" w:type="dxa"/>
            <w:vAlign w:val="bottom"/>
          </w:tcPr>
          <w:p>
            <w:pPr>
              <w:spacing w:after="0"/>
              <w:rPr>
                <w:sz w:val="20"/>
                <w:szCs w:val="20"/>
                <w:color w:val="auto"/>
              </w:rPr>
            </w:pPr>
          </w:p>
        </w:tc>
      </w:tr>
      <w:tr>
        <w:trPr>
          <w:trHeight w:val="507"/>
        </w:trPr>
        <w:tc>
          <w:tcPr>
            <w:tcW w:w="4540" w:type="dxa"/>
            <w:vAlign w:val="bottom"/>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10,253,458</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10,246,458</w:t>
            </w:r>
          </w:p>
        </w:tc>
        <w:tc>
          <w:tcPr>
            <w:tcW w:w="28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10,250,198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10,243,174</w:t>
            </w:r>
          </w:p>
        </w:tc>
        <w:tc>
          <w:tcPr>
            <w:tcW w:w="20" w:type="dxa"/>
            <w:vAlign w:val="bottom"/>
          </w:tcPr>
          <w:p>
            <w:pPr>
              <w:spacing w:after="0"/>
              <w:rPr>
                <w:sz w:val="24"/>
                <w:szCs w:val="24"/>
                <w:color w:val="auto"/>
              </w:rPr>
            </w:pPr>
          </w:p>
        </w:tc>
      </w:tr>
      <w:tr>
        <w:trPr>
          <w:trHeight w:val="243"/>
        </w:trPr>
        <w:tc>
          <w:tcPr>
            <w:tcW w:w="4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4"/>
        </w:trPr>
        <w:tc>
          <w:tcPr>
            <w:tcW w:w="4540" w:type="dxa"/>
            <w:vAlign w:val="bottom"/>
            <w:shd w:val="clear" w:color="auto" w:fill="D6F3E8"/>
          </w:tcPr>
          <w:p>
            <w:pPr>
              <w:spacing w:after="0"/>
              <w:rPr>
                <w:sz w:val="20"/>
                <w:szCs w:val="20"/>
                <w:color w:val="auto"/>
              </w:rPr>
            </w:pPr>
            <w:r>
              <w:rPr>
                <w:rFonts w:ascii="Arial" w:cs="Arial" w:eastAsia="Arial" w:hAnsi="Arial"/>
                <w:sz w:val="18"/>
                <w:szCs w:val="18"/>
                <w:color w:val="auto"/>
                <w:w w:val="97"/>
              </w:rPr>
              <w:t>Weighted average number of shares outstanding – diluted</w:t>
            </w:r>
          </w:p>
        </w:tc>
        <w:tc>
          <w:tcPr>
            <w:tcW w:w="400" w:type="dxa"/>
            <w:vAlign w:val="bottom"/>
            <w:shd w:val="clear" w:color="auto" w:fill="D6F3E8"/>
          </w:tcPr>
          <w:p>
            <w:pPr>
              <w:spacing w:after="0"/>
              <w:rPr>
                <w:sz w:val="22"/>
                <w:szCs w:val="22"/>
                <w:color w:val="auto"/>
              </w:rPr>
            </w:pPr>
          </w:p>
        </w:tc>
        <w:tc>
          <w:tcPr>
            <w:tcW w:w="480" w:type="dxa"/>
            <w:vAlign w:val="bottom"/>
            <w:shd w:val="clear" w:color="auto" w:fill="D6F3E8"/>
          </w:tcPr>
          <w:p>
            <w:pPr>
              <w:spacing w:after="0"/>
              <w:rPr>
                <w:sz w:val="22"/>
                <w:szCs w:val="22"/>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10,283,206</w:t>
            </w:r>
          </w:p>
        </w:tc>
        <w:tc>
          <w:tcPr>
            <w:tcW w:w="340" w:type="dxa"/>
            <w:vAlign w:val="bottom"/>
            <w:shd w:val="clear" w:color="auto" w:fill="D6F3E8"/>
          </w:tcPr>
          <w:p>
            <w:pPr>
              <w:spacing w:after="0"/>
              <w:rPr>
                <w:sz w:val="22"/>
                <w:szCs w:val="22"/>
                <w:color w:val="auto"/>
              </w:rPr>
            </w:pPr>
          </w:p>
        </w:tc>
        <w:tc>
          <w:tcPr>
            <w:tcW w:w="38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10,250,774</w:t>
            </w:r>
          </w:p>
        </w:tc>
        <w:tc>
          <w:tcPr>
            <w:tcW w:w="280" w:type="dxa"/>
            <w:vAlign w:val="bottom"/>
            <w:shd w:val="clear" w:color="auto" w:fill="D6F3E8"/>
          </w:tcPr>
          <w:p>
            <w:pPr>
              <w:spacing w:after="0"/>
              <w:rPr>
                <w:sz w:val="22"/>
                <w:szCs w:val="22"/>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10,279,417</w:t>
            </w:r>
          </w:p>
        </w:tc>
        <w:tc>
          <w:tcPr>
            <w:tcW w:w="120" w:type="dxa"/>
            <w:vAlign w:val="bottom"/>
            <w:shd w:val="clear" w:color="auto" w:fill="D6F3E8"/>
          </w:tcPr>
          <w:p>
            <w:pPr>
              <w:spacing w:after="0"/>
              <w:rPr>
                <w:sz w:val="22"/>
                <w:szCs w:val="22"/>
                <w:color w:val="auto"/>
              </w:rPr>
            </w:pPr>
          </w:p>
        </w:tc>
        <w:tc>
          <w:tcPr>
            <w:tcW w:w="380" w:type="dxa"/>
            <w:vAlign w:val="bottom"/>
            <w:shd w:val="clear" w:color="auto" w:fill="D6F3E8"/>
          </w:tcPr>
          <w:p>
            <w:pPr>
              <w:spacing w:after="0"/>
              <w:rPr>
                <w:sz w:val="22"/>
                <w:szCs w:val="22"/>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5"/>
              </w:rPr>
              <w:t>10,256,540</w:t>
            </w:r>
          </w:p>
        </w:tc>
        <w:tc>
          <w:tcPr>
            <w:tcW w:w="20" w:type="dxa"/>
            <w:vAlign w:val="bottom"/>
          </w:tcPr>
          <w:p>
            <w:pPr>
              <w:spacing w:after="0"/>
              <w:rPr>
                <w:sz w:val="22"/>
                <w:szCs w:val="22"/>
                <w:color w:val="auto"/>
              </w:rPr>
            </w:pPr>
          </w:p>
        </w:tc>
      </w:tr>
      <w:tr>
        <w:trPr>
          <w:trHeight w:val="486"/>
        </w:trPr>
        <w:tc>
          <w:tcPr>
            <w:tcW w:w="4540" w:type="dxa"/>
            <w:vAlign w:val="bottom"/>
            <w:tcBorders>
              <w:top w:val="single" w:sz="8" w:color="D6F3E8"/>
            </w:tcBorders>
          </w:tcPr>
          <w:p>
            <w:pPr>
              <w:spacing w:after="0"/>
              <w:rPr>
                <w:sz w:val="20"/>
                <w:szCs w:val="20"/>
                <w:color w:val="auto"/>
              </w:rPr>
            </w:pPr>
            <w:r>
              <w:rPr>
                <w:rFonts w:ascii="Arial" w:cs="Arial" w:eastAsia="Arial" w:hAnsi="Arial"/>
                <w:sz w:val="18"/>
                <w:szCs w:val="18"/>
                <w:color w:val="auto"/>
              </w:rPr>
              <w:t>Basic earnings per share:</w:t>
            </w:r>
          </w:p>
        </w:tc>
        <w:tc>
          <w:tcPr>
            <w:tcW w:w="400" w:type="dxa"/>
            <w:vAlign w:val="bottom"/>
            <w:tcBorders>
              <w:top w:val="single" w:sz="8" w:color="D6F3E8"/>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40" w:type="dxa"/>
            <w:vAlign w:val="bottom"/>
            <w:tcBorders>
              <w:top w:val="single" w:sz="8" w:color="D6F3E8"/>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40" w:type="dxa"/>
            <w:vAlign w:val="bottom"/>
            <w:tcBorders>
              <w:top w:val="single" w:sz="8" w:color="D6F3E8"/>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D6F3E8"/>
            </w:tcBorders>
          </w:tcPr>
          <w:p>
            <w:pPr>
              <w:spacing w:after="0"/>
              <w:rPr>
                <w:sz w:val="24"/>
                <w:szCs w:val="24"/>
                <w:color w:val="auto"/>
              </w:rPr>
            </w:pPr>
          </w:p>
        </w:tc>
        <w:tc>
          <w:tcPr>
            <w:tcW w:w="120" w:type="dxa"/>
            <w:vAlign w:val="bottom"/>
            <w:tcBorders>
              <w:top w:val="single" w:sz="8" w:color="D6F3E8"/>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D6F3E8"/>
            </w:tcBorders>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540" w:type="dxa"/>
            <w:vAlign w:val="bottom"/>
          </w:tcPr>
          <w:p>
            <w:pPr>
              <w:ind w:left="260"/>
              <w:spacing w:after="0"/>
              <w:rPr>
                <w:sz w:val="20"/>
                <w:szCs w:val="20"/>
                <w:color w:val="auto"/>
              </w:rPr>
            </w:pPr>
            <w:r>
              <w:rPr>
                <w:rFonts w:ascii="Arial" w:cs="Arial" w:eastAsia="Arial" w:hAnsi="Arial"/>
                <w:sz w:val="18"/>
                <w:szCs w:val="18"/>
                <w:color w:val="auto"/>
              </w:rPr>
              <w:t>Earnings per share from continuing operations</w:t>
            </w:r>
          </w:p>
        </w:tc>
        <w:tc>
          <w:tcPr>
            <w:tcW w:w="880" w:type="dxa"/>
            <w:vAlign w:val="bottom"/>
            <w:gridSpan w:val="2"/>
          </w:tcPr>
          <w:p>
            <w:pPr>
              <w:jc w:val="right"/>
              <w:ind w:right="31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0.55</w:t>
            </w:r>
          </w:p>
        </w:tc>
        <w:tc>
          <w:tcPr>
            <w:tcW w:w="340" w:type="dxa"/>
            <w:vAlign w:val="bottom"/>
          </w:tcPr>
          <w:p>
            <w:pPr>
              <w:spacing w:after="0"/>
              <w:rPr>
                <w:sz w:val="21"/>
                <w:szCs w:val="21"/>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0.68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21"/>
                <w:szCs w:val="21"/>
                <w:color w:val="auto"/>
              </w:rPr>
            </w:pPr>
          </w:p>
        </w:tc>
      </w:tr>
      <w:tr>
        <w:trPr>
          <w:trHeight w:val="243"/>
        </w:trPr>
        <w:tc>
          <w:tcPr>
            <w:tcW w:w="4540" w:type="dxa"/>
            <w:vAlign w:val="bottom"/>
            <w:shd w:val="clear" w:color="auto" w:fill="D6F3E8"/>
          </w:tcPr>
          <w:p>
            <w:pPr>
              <w:ind w:left="260"/>
              <w:spacing w:after="0"/>
              <w:rPr>
                <w:sz w:val="20"/>
                <w:szCs w:val="20"/>
                <w:color w:val="auto"/>
              </w:rPr>
            </w:pPr>
            <w:r>
              <w:rPr>
                <w:rFonts w:ascii="Arial" w:cs="Arial" w:eastAsia="Arial" w:hAnsi="Arial"/>
                <w:sz w:val="18"/>
                <w:szCs w:val="18"/>
                <w:color w:val="auto"/>
              </w:rPr>
              <w:t>Earnings per share from discontinued operations</w:t>
            </w:r>
          </w:p>
        </w:tc>
        <w:tc>
          <w:tcPr>
            <w:tcW w:w="400" w:type="dxa"/>
            <w:vAlign w:val="bottom"/>
            <w:shd w:val="clear" w:color="auto" w:fill="D6F3E8"/>
          </w:tcPr>
          <w:p>
            <w:pPr>
              <w:spacing w:after="0"/>
              <w:rPr>
                <w:sz w:val="21"/>
                <w:szCs w:val="21"/>
                <w:color w:val="auto"/>
              </w:rPr>
            </w:pPr>
          </w:p>
        </w:tc>
        <w:tc>
          <w:tcPr>
            <w:tcW w:w="480" w:type="dxa"/>
            <w:vAlign w:val="bottom"/>
            <w:shd w:val="clear" w:color="auto" w:fill="D6F3E8"/>
          </w:tcPr>
          <w:p>
            <w:pPr>
              <w:spacing w:after="0"/>
              <w:rPr>
                <w:sz w:val="21"/>
                <w:szCs w:val="21"/>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21"/>
                <w:szCs w:val="21"/>
                <w:color w:val="auto"/>
              </w:rPr>
            </w:pPr>
          </w:p>
        </w:tc>
        <w:tc>
          <w:tcPr>
            <w:tcW w:w="380" w:type="dxa"/>
            <w:vAlign w:val="bottom"/>
            <w:shd w:val="clear" w:color="auto" w:fill="D6F3E8"/>
          </w:tcPr>
          <w:p>
            <w:pPr>
              <w:spacing w:after="0"/>
              <w:rPr>
                <w:sz w:val="21"/>
                <w:szCs w:val="21"/>
                <w:color w:val="auto"/>
              </w:rPr>
            </w:pPr>
          </w:p>
        </w:tc>
        <w:tc>
          <w:tcPr>
            <w:tcW w:w="140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D6F3E8"/>
          </w:tcPr>
          <w:p>
            <w:pPr>
              <w:spacing w:after="0"/>
              <w:rPr>
                <w:sz w:val="21"/>
                <w:szCs w:val="21"/>
                <w:color w:val="auto"/>
              </w:rPr>
            </w:pPr>
          </w:p>
        </w:tc>
        <w:tc>
          <w:tcPr>
            <w:tcW w:w="380" w:type="dxa"/>
            <w:vAlign w:val="bottom"/>
            <w:shd w:val="clear" w:color="auto" w:fill="D6F3E8"/>
          </w:tcPr>
          <w:p>
            <w:pPr>
              <w:spacing w:after="0"/>
              <w:rPr>
                <w:sz w:val="21"/>
                <w:szCs w:val="21"/>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1"/>
                <w:szCs w:val="21"/>
                <w:color w:val="auto"/>
              </w:rPr>
            </w:pPr>
          </w:p>
        </w:tc>
      </w:tr>
      <w:tr>
        <w:trPr>
          <w:trHeight w:val="20"/>
        </w:trPr>
        <w:tc>
          <w:tcPr>
            <w:tcW w:w="4540" w:type="dxa"/>
            <w:vAlign w:val="bottom"/>
            <w:shd w:val="clear" w:color="auto" w:fill="D6F3E8"/>
          </w:tcPr>
          <w:p>
            <w:pPr>
              <w:spacing w:after="0" w:line="20" w:lineRule="exact"/>
              <w:rPr>
                <w:sz w:val="1"/>
                <w:szCs w:val="1"/>
                <w:color w:val="auto"/>
              </w:rPr>
            </w:pPr>
          </w:p>
        </w:tc>
        <w:tc>
          <w:tcPr>
            <w:tcW w:w="400" w:type="dxa"/>
            <w:vAlign w:val="bottom"/>
            <w:shd w:val="clear" w:color="auto" w:fill="D6F3E8"/>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Earnings per share</w:t>
            </w:r>
          </w:p>
        </w:tc>
        <w:tc>
          <w:tcPr>
            <w:tcW w:w="880" w:type="dxa"/>
            <w:vAlign w:val="bottom"/>
            <w:gridSpan w:val="2"/>
          </w:tcPr>
          <w:p>
            <w:pPr>
              <w:jc w:val="right"/>
              <w:ind w:right="31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0.55</w:t>
            </w:r>
          </w:p>
        </w:tc>
        <w:tc>
          <w:tcPr>
            <w:tcW w:w="340" w:type="dxa"/>
            <w:vAlign w:val="bottom"/>
          </w:tcPr>
          <w:p>
            <w:pPr>
              <w:spacing w:after="0"/>
              <w:rPr>
                <w:sz w:val="20"/>
                <w:szCs w:val="20"/>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0.68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20"/>
                <w:szCs w:val="20"/>
                <w:color w:val="auto"/>
              </w:rPr>
            </w:pPr>
          </w:p>
        </w:tc>
      </w:tr>
      <w:tr>
        <w:trPr>
          <w:trHeight w:val="486"/>
        </w:trPr>
        <w:tc>
          <w:tcPr>
            <w:tcW w:w="45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4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540" w:type="dxa"/>
            <w:vAlign w:val="bottom"/>
            <w:shd w:val="clear" w:color="auto" w:fill="D6F3E8"/>
          </w:tcPr>
          <w:p>
            <w:pPr>
              <w:ind w:left="260"/>
              <w:spacing w:after="0"/>
              <w:rPr>
                <w:sz w:val="20"/>
                <w:szCs w:val="20"/>
                <w:color w:val="auto"/>
              </w:rPr>
            </w:pPr>
            <w:r>
              <w:rPr>
                <w:rFonts w:ascii="Arial" w:cs="Arial" w:eastAsia="Arial" w:hAnsi="Arial"/>
                <w:sz w:val="18"/>
                <w:szCs w:val="18"/>
                <w:color w:val="auto"/>
              </w:rPr>
              <w:t>Earnings per share from continuing operations</w:t>
            </w:r>
          </w:p>
        </w:tc>
        <w:tc>
          <w:tcPr>
            <w:tcW w:w="880" w:type="dxa"/>
            <w:vAlign w:val="bottom"/>
            <w:gridSpan w:val="2"/>
            <w:shd w:val="clear" w:color="auto" w:fill="D6F3E8"/>
          </w:tcPr>
          <w:p>
            <w:pPr>
              <w:jc w:val="right"/>
              <w:ind w:right="314"/>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0.54</w:t>
            </w:r>
          </w:p>
        </w:tc>
        <w:tc>
          <w:tcPr>
            <w:tcW w:w="340" w:type="dxa"/>
            <w:vAlign w:val="bottom"/>
            <w:shd w:val="clear" w:color="auto" w:fill="D6F3E8"/>
          </w:tcPr>
          <w:p>
            <w:pPr>
              <w:spacing w:after="0"/>
              <w:rPr>
                <w:sz w:val="21"/>
                <w:szCs w:val="21"/>
                <w:color w:val="auto"/>
              </w:rPr>
            </w:pPr>
          </w:p>
        </w:tc>
        <w:tc>
          <w:tcPr>
            <w:tcW w:w="380" w:type="dxa"/>
            <w:vAlign w:val="bottom"/>
            <w:shd w:val="clear" w:color="auto" w:fill="D6F3E8"/>
          </w:tcPr>
          <w:p>
            <w:pPr>
              <w:jc w:val="right"/>
              <w:ind w:right="2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0.68</w:t>
            </w:r>
          </w:p>
        </w:tc>
        <w:tc>
          <w:tcPr>
            <w:tcW w:w="28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1.77</w:t>
            </w:r>
          </w:p>
        </w:tc>
        <w:tc>
          <w:tcPr>
            <w:tcW w:w="500" w:type="dxa"/>
            <w:vAlign w:val="bottom"/>
            <w:gridSpan w:val="2"/>
            <w:shd w:val="clear" w:color="auto" w:fill="D6F3E8"/>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21"/>
                <w:szCs w:val="21"/>
                <w:color w:val="auto"/>
              </w:rPr>
            </w:pPr>
          </w:p>
        </w:tc>
      </w:tr>
      <w:tr>
        <w:trPr>
          <w:trHeight w:val="243"/>
        </w:trPr>
        <w:tc>
          <w:tcPr>
            <w:tcW w:w="4540" w:type="dxa"/>
            <w:vAlign w:val="bottom"/>
          </w:tcPr>
          <w:p>
            <w:pPr>
              <w:ind w:left="260"/>
              <w:spacing w:after="0"/>
              <w:rPr>
                <w:sz w:val="20"/>
                <w:szCs w:val="20"/>
                <w:color w:val="auto"/>
              </w:rPr>
            </w:pPr>
            <w:r>
              <w:rPr>
                <w:rFonts w:ascii="Arial" w:cs="Arial" w:eastAsia="Arial" w:hAnsi="Arial"/>
                <w:sz w:val="18"/>
                <w:szCs w:val="18"/>
                <w:color w:val="auto"/>
              </w:rPr>
              <w:t>Earnings per share from discontinued operations</w:t>
            </w: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1"/>
                <w:szCs w:val="21"/>
                <w:color w:val="auto"/>
              </w:rPr>
            </w:pPr>
          </w:p>
        </w:tc>
      </w:tr>
      <w:tr>
        <w:trPr>
          <w:trHeight w:val="230"/>
        </w:trPr>
        <w:tc>
          <w:tcPr>
            <w:tcW w:w="4540" w:type="dxa"/>
            <w:vAlign w:val="bottom"/>
            <w:tcBorders>
              <w:bottom w:val="single" w:sz="8" w:color="D6F3E8"/>
            </w:tcBorders>
            <w:shd w:val="clear" w:color="auto" w:fill="D6F3E8"/>
          </w:tcPr>
          <w:p>
            <w:pPr>
              <w:ind w:left="260"/>
              <w:spacing w:after="0"/>
              <w:rPr>
                <w:sz w:val="20"/>
                <w:szCs w:val="20"/>
                <w:color w:val="auto"/>
              </w:rPr>
            </w:pPr>
            <w:r>
              <w:rPr>
                <w:rFonts w:ascii="Arial" w:cs="Arial" w:eastAsia="Arial" w:hAnsi="Arial"/>
                <w:sz w:val="18"/>
                <w:szCs w:val="18"/>
                <w:color w:val="auto"/>
              </w:rPr>
              <w:t>Earnings per share</w:t>
            </w:r>
          </w:p>
        </w:tc>
        <w:tc>
          <w:tcPr>
            <w:tcW w:w="400" w:type="dxa"/>
            <w:vAlign w:val="bottom"/>
            <w:tcBorders>
              <w:bottom w:val="single" w:sz="8" w:color="D6F3E8"/>
            </w:tcBorders>
            <w:shd w:val="clear" w:color="auto" w:fill="D6F3E8"/>
          </w:tcPr>
          <w:p>
            <w:pPr>
              <w:spacing w:after="0"/>
              <w:rPr>
                <w:sz w:val="20"/>
                <w:szCs w:val="20"/>
                <w:color w:val="auto"/>
              </w:rPr>
            </w:pPr>
          </w:p>
        </w:tc>
        <w:tc>
          <w:tcPr>
            <w:tcW w:w="480" w:type="dxa"/>
            <w:vAlign w:val="bottom"/>
            <w:tcBorders>
              <w:top w:val="single" w:sz="8" w:color="auto"/>
              <w:bottom w:val="single" w:sz="8" w:color="auto"/>
            </w:tcBorders>
            <w:shd w:val="clear" w:color="auto" w:fill="D6F3E8"/>
          </w:tcPr>
          <w:p>
            <w:pPr>
              <w:jc w:val="right"/>
              <w:ind w:right="31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0.54</w:t>
            </w:r>
          </w:p>
        </w:tc>
        <w:tc>
          <w:tcPr>
            <w:tcW w:w="340" w:type="dxa"/>
            <w:vAlign w:val="bottom"/>
            <w:tcBorders>
              <w:bottom w:val="single" w:sz="8" w:color="D6F3E8"/>
            </w:tcBorders>
            <w:shd w:val="clear" w:color="auto" w:fill="D6F3E8"/>
          </w:tcPr>
          <w:p>
            <w:pPr>
              <w:spacing w:after="0"/>
              <w:rPr>
                <w:sz w:val="20"/>
                <w:szCs w:val="20"/>
                <w:color w:val="auto"/>
              </w:rPr>
            </w:pPr>
          </w:p>
        </w:tc>
        <w:tc>
          <w:tcPr>
            <w:tcW w:w="380" w:type="dxa"/>
            <w:vAlign w:val="bottom"/>
            <w:tcBorders>
              <w:top w:val="single" w:sz="8" w:color="auto"/>
              <w:bottom w:val="single" w:sz="8" w:color="auto"/>
            </w:tcBorders>
            <w:shd w:val="clear" w:color="auto" w:fill="D6F3E8"/>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0.68</w:t>
            </w:r>
          </w:p>
        </w:tc>
        <w:tc>
          <w:tcPr>
            <w:tcW w:w="440" w:type="dxa"/>
            <w:vAlign w:val="bottom"/>
            <w:tcBorders>
              <w:bottom w:val="single" w:sz="8" w:color="D6F3E8"/>
            </w:tcBorders>
            <w:shd w:val="clear" w:color="auto" w:fill="D6F3E8"/>
          </w:tcPr>
          <w:p>
            <w:pPr>
              <w:spacing w:after="0"/>
              <w:rPr>
                <w:sz w:val="20"/>
                <w:szCs w:val="20"/>
                <w:color w:val="auto"/>
              </w:rPr>
            </w:pPr>
          </w:p>
        </w:tc>
        <w:tc>
          <w:tcPr>
            <w:tcW w:w="280" w:type="dxa"/>
            <w:vAlign w:val="bottom"/>
            <w:tcBorders>
              <w:top w:val="single" w:sz="8" w:color="auto"/>
              <w:bottom w:val="single" w:sz="8" w:color="auto"/>
            </w:tcBorders>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Borders>
              <w:bottom w:val="single" w:sz="8" w:color="D6F3E8"/>
            </w:tcBorders>
            <w:shd w:val="clear" w:color="auto" w:fill="D6F3E8"/>
          </w:tcPr>
          <w:p>
            <w:pPr>
              <w:spacing w:after="0"/>
              <w:rPr>
                <w:sz w:val="20"/>
                <w:szCs w:val="20"/>
                <w:color w:val="auto"/>
              </w:rPr>
            </w:pPr>
          </w:p>
        </w:tc>
        <w:tc>
          <w:tcPr>
            <w:tcW w:w="120" w:type="dxa"/>
            <w:vAlign w:val="bottom"/>
            <w:tcBorders>
              <w:bottom w:val="single" w:sz="8" w:color="D6F3E8"/>
            </w:tcBorders>
            <w:shd w:val="clear" w:color="auto" w:fill="D6F3E8"/>
          </w:tcPr>
          <w:p>
            <w:pPr>
              <w:spacing w:after="0"/>
              <w:rPr>
                <w:sz w:val="20"/>
                <w:szCs w:val="20"/>
                <w:color w:val="auto"/>
              </w:rPr>
            </w:pPr>
          </w:p>
        </w:tc>
        <w:tc>
          <w:tcPr>
            <w:tcW w:w="380" w:type="dxa"/>
            <w:vAlign w:val="bottom"/>
            <w:tcBorders>
              <w:top w:val="single" w:sz="8" w:color="auto"/>
              <w:bottom w:val="single" w:sz="8" w:color="auto"/>
            </w:tcBorders>
            <w:shd w:val="clear" w:color="auto" w:fill="D6F3E8"/>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D6F3E8"/>
            </w:tcBorders>
            <w:shd w:val="clear" w:color="auto" w:fill="D6F3E8"/>
          </w:tcPr>
          <w:p>
            <w:pPr>
              <w:spacing w:after="0"/>
              <w:rPr>
                <w:sz w:val="20"/>
                <w:szCs w:val="20"/>
                <w:color w:val="auto"/>
              </w:rPr>
            </w:pPr>
          </w:p>
        </w:tc>
        <w:tc>
          <w:tcPr>
            <w:tcW w:w="20" w:type="dxa"/>
            <w:vAlign w:val="bottom"/>
          </w:tcPr>
          <w:p>
            <w:pPr>
              <w:spacing w:after="0"/>
              <w:rPr>
                <w:sz w:val="20"/>
                <w:szCs w:val="20"/>
                <w:color w:val="auto"/>
              </w:rPr>
            </w:pPr>
          </w:p>
        </w:tc>
      </w:tr>
      <w:tr>
        <w:trPr>
          <w:trHeight w:val="480"/>
        </w:trPr>
        <w:tc>
          <w:tcPr>
            <w:tcW w:w="454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880" w:type="dxa"/>
            <w:vAlign w:val="bottom"/>
            <w:gridSpan w:val="2"/>
          </w:tcPr>
          <w:p>
            <w:pPr>
              <w:jc w:val="right"/>
              <w:ind w:right="314"/>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0.38</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39"/>
        </w:trPr>
        <w:tc>
          <w:tcPr>
            <w:tcW w:w="4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22"/>
                <w:szCs w:val="22"/>
                <w:color w:val="auto"/>
              </w:rPr>
              <w:t>#  #  #</w:t>
            </w:r>
          </w:p>
        </w:tc>
        <w:tc>
          <w:tcPr>
            <w:tcW w:w="3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45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6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2019-12-10T00:59:23Z</dcterms:created>
  <dcterms:modified xsi:type="dcterms:W3CDTF">2019-12-10T00:59:23Z</dcterms:modified>
</cp:coreProperties>
</file>