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217805</wp:posOffset>
            </wp:positionH>
            <wp:positionV relativeFrom="page">
              <wp:posOffset>620395</wp:posOffset>
            </wp:positionV>
            <wp:extent cx="71266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17145"/>
                    </a:xfrm>
                    <a:prstGeom prst="rect">
                      <a:avLst/>
                    </a:prstGeom>
                    <a:noFill/>
                  </pic:spPr>
                </pic:pic>
              </a:graphicData>
            </a:graphic>
          </wp:anchor>
        </w:drawing>
        <w:drawing>
          <wp:anchor simplePos="0" relativeHeight="251657728" behindDoc="1" locked="0" layoutInCell="0" allowOverlap="1">
            <wp:simplePos x="0" y="0"/>
            <wp:positionH relativeFrom="page">
              <wp:posOffset>217805</wp:posOffset>
            </wp:positionH>
            <wp:positionV relativeFrom="page">
              <wp:posOffset>534670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-311785</wp:posOffset>
            </wp:positionV>
            <wp:extent cx="28555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QUARTERLY REPORT PURSUANT TO SECTION 13 OR 15(d) OF THE</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EXCHANGE ACT OF 1934</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29, 2014</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0-7647</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48260</wp:posOffset>
            </wp:positionV>
            <wp:extent cx="58572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7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960" w:type="dxa"/>
            <w:vAlign w:val="bottom"/>
            <w:gridSpan w:val="2"/>
          </w:tcPr>
          <w:p>
            <w:pPr>
              <w:jc w:val="center"/>
              <w:ind w:right="2262"/>
              <w:spacing w:after="0"/>
              <w:rPr>
                <w:sz w:val="20"/>
                <w:szCs w:val="20"/>
                <w:color w:val="auto"/>
              </w:rPr>
            </w:pPr>
            <w:r>
              <w:rPr>
                <w:rFonts w:ascii="Arial" w:cs="Arial" w:eastAsia="Arial" w:hAnsi="Arial"/>
                <w:sz w:val="18"/>
                <w:szCs w:val="18"/>
                <w:b w:val="1"/>
                <w:bCs w:val="1"/>
                <w:color w:val="auto"/>
              </w:rPr>
              <w:t>MINNESOTA</w:t>
            </w:r>
          </w:p>
        </w:tc>
        <w:tc>
          <w:tcPr>
            <w:tcW w:w="3460" w:type="dxa"/>
            <w:vAlign w:val="bottom"/>
          </w:tcPr>
          <w:p>
            <w:pPr>
              <w:jc w:val="center"/>
              <w:ind w:right="1922"/>
              <w:spacing w:after="0"/>
              <w:rPr>
                <w:sz w:val="20"/>
                <w:szCs w:val="20"/>
                <w:color w:val="auto"/>
              </w:rPr>
            </w:pPr>
            <w:r>
              <w:rPr>
                <w:rFonts w:ascii="Arial" w:cs="Arial" w:eastAsia="Arial" w:hAnsi="Arial"/>
                <w:sz w:val="18"/>
                <w:szCs w:val="18"/>
                <w:b w:val="1"/>
                <w:bCs w:val="1"/>
                <w:color w:val="auto"/>
                <w:w w:val="89"/>
              </w:rPr>
              <w:t>41-0771293</w:t>
            </w:r>
          </w:p>
        </w:tc>
      </w:tr>
      <w:tr>
        <w:trPr>
          <w:trHeight w:val="27"/>
        </w:trPr>
        <w:tc>
          <w:tcPr>
            <w:tcW w:w="346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146"/>
        </w:trPr>
        <w:tc>
          <w:tcPr>
            <w:tcW w:w="7960" w:type="dxa"/>
            <w:vAlign w:val="bottom"/>
            <w:gridSpan w:val="2"/>
          </w:tcPr>
          <w:p>
            <w:pPr>
              <w:jc w:val="center"/>
              <w:ind w:right="2262"/>
              <w:spacing w:after="0" w:line="147" w:lineRule="exact"/>
              <w:rPr>
                <w:sz w:val="20"/>
                <w:szCs w:val="20"/>
                <w:color w:val="auto"/>
              </w:rPr>
            </w:pPr>
            <w:r>
              <w:rPr>
                <w:rFonts w:ascii="Arial" w:cs="Arial" w:eastAsia="Arial" w:hAnsi="Arial"/>
                <w:sz w:val="14"/>
                <w:szCs w:val="14"/>
                <w:b w:val="1"/>
                <w:bCs w:val="1"/>
                <w:color w:val="auto"/>
                <w:w w:val="92"/>
              </w:rPr>
              <w:t>(State or other jurisdiction of</w:t>
            </w:r>
          </w:p>
        </w:tc>
        <w:tc>
          <w:tcPr>
            <w:tcW w:w="3460" w:type="dxa"/>
            <w:vAlign w:val="bottom"/>
          </w:tcPr>
          <w:p>
            <w:pPr>
              <w:jc w:val="center"/>
              <w:ind w:right="1942"/>
              <w:spacing w:after="0" w:line="147"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960" w:type="dxa"/>
            <w:vAlign w:val="bottom"/>
            <w:gridSpan w:val="2"/>
          </w:tcPr>
          <w:p>
            <w:pPr>
              <w:jc w:val="center"/>
              <w:ind w:right="2262"/>
              <w:spacing w:after="0"/>
              <w:rPr>
                <w:sz w:val="20"/>
                <w:szCs w:val="20"/>
                <w:color w:val="auto"/>
              </w:rPr>
            </w:pPr>
            <w:r>
              <w:rPr>
                <w:rFonts w:ascii="Arial" w:cs="Arial" w:eastAsia="Arial" w:hAnsi="Arial"/>
                <w:sz w:val="14"/>
                <w:szCs w:val="14"/>
                <w:b w:val="1"/>
                <w:bCs w:val="1"/>
                <w:color w:val="auto"/>
                <w:w w:val="93"/>
              </w:rPr>
              <w:t>incorporation or organization)</w:t>
            </w:r>
          </w:p>
        </w:tc>
        <w:tc>
          <w:tcPr>
            <w:tcW w:w="346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Identification No.)</w:t>
            </w:r>
          </w:p>
        </w:tc>
      </w:tr>
      <w:tr>
        <w:trPr>
          <w:trHeight w:val="367"/>
        </w:trPr>
        <w:tc>
          <w:tcPr>
            <w:tcW w:w="346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97"/>
              </w:rPr>
              <w:t>2381 ROSEGATE, ROSEVILLE, MINNESOTA 55113</w:t>
            </w:r>
          </w:p>
        </w:tc>
        <w:tc>
          <w:tcPr>
            <w:tcW w:w="3460" w:type="dxa"/>
            <w:vAlign w:val="bottom"/>
          </w:tcPr>
          <w:p>
            <w:pPr>
              <w:spacing w:after="0"/>
              <w:rPr>
                <w:sz w:val="24"/>
                <w:szCs w:val="24"/>
                <w:color w:val="auto"/>
              </w:rPr>
            </w:pPr>
          </w:p>
        </w:tc>
      </w:tr>
      <w:tr>
        <w:trPr>
          <w:trHeight w:val="186"/>
        </w:trPr>
        <w:tc>
          <w:tcPr>
            <w:tcW w:w="3460" w:type="dxa"/>
            <w:vAlign w:val="bottom"/>
          </w:tcPr>
          <w:p>
            <w:pPr>
              <w:spacing w:after="0"/>
              <w:rPr>
                <w:sz w:val="16"/>
                <w:szCs w:val="16"/>
                <w:color w:val="auto"/>
              </w:rPr>
            </w:pP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3460" w:type="dxa"/>
            <w:vAlign w:val="bottom"/>
          </w:tcPr>
          <w:p>
            <w:pPr>
              <w:spacing w:after="0"/>
              <w:rPr>
                <w:sz w:val="16"/>
                <w:szCs w:val="16"/>
                <w:color w:val="auto"/>
              </w:rPr>
            </w:pPr>
          </w:p>
        </w:tc>
      </w:tr>
      <w:tr>
        <w:trPr>
          <w:trHeight w:val="512"/>
        </w:trPr>
        <w:tc>
          <w:tcPr>
            <w:tcW w:w="7960" w:type="dxa"/>
            <w:vAlign w:val="bottom"/>
            <w:gridSpan w:val="2"/>
          </w:tcPr>
          <w:p>
            <w:pPr>
              <w:jc w:val="center"/>
              <w:ind w:left="3399"/>
              <w:spacing w:after="0"/>
              <w:rPr>
                <w:sz w:val="20"/>
                <w:szCs w:val="20"/>
                <w:color w:val="auto"/>
              </w:rPr>
            </w:pPr>
            <w:r>
              <w:rPr>
                <w:rFonts w:ascii="Arial" w:cs="Arial" w:eastAsia="Arial" w:hAnsi="Arial"/>
                <w:sz w:val="18"/>
                <w:szCs w:val="18"/>
                <w:b w:val="1"/>
                <w:bCs w:val="1"/>
                <w:color w:val="auto"/>
                <w:w w:val="90"/>
              </w:rPr>
              <w:t>(612) 331-6910</w:t>
            </w:r>
          </w:p>
        </w:tc>
        <w:tc>
          <w:tcPr>
            <w:tcW w:w="3460" w:type="dxa"/>
            <w:vAlign w:val="bottom"/>
          </w:tcPr>
          <w:p>
            <w:pPr>
              <w:spacing w:after="0"/>
              <w:rPr>
                <w:sz w:val="24"/>
                <w:szCs w:val="24"/>
                <w:color w:val="auto"/>
              </w:rPr>
            </w:pPr>
          </w:p>
        </w:tc>
      </w:tr>
      <w:tr>
        <w:trPr>
          <w:trHeight w:val="224"/>
        </w:trPr>
        <w:tc>
          <w:tcPr>
            <w:tcW w:w="3460" w:type="dxa"/>
            <w:vAlign w:val="bottom"/>
          </w:tcPr>
          <w:p>
            <w:pPr>
              <w:spacing w:after="0"/>
              <w:rPr>
                <w:sz w:val="19"/>
                <w:szCs w:val="19"/>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460" w:type="dxa"/>
            <w:vAlign w:val="bottom"/>
          </w:tcPr>
          <w:p>
            <w:pPr>
              <w:spacing w:after="0"/>
              <w:rPr>
                <w:sz w:val="19"/>
                <w:szCs w:val="19"/>
                <w:color w:val="auto"/>
              </w:rPr>
            </w:pPr>
          </w:p>
        </w:tc>
      </w:tr>
    </w:tbl>
    <w:p>
      <w:pPr>
        <w:spacing w:after="0" w:line="283"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(as defined in Rule 12b-2 of the Exchange Act).</w:t>
      </w:r>
    </w:p>
    <w:p>
      <w:pPr>
        <w:sectPr>
          <w:pgSz w:w="11900" w:h="16838" w:orient="portrait"/>
          <w:cols w:equalWidth="0" w:num="1">
            <w:col w:w="11420"/>
          </w:cols>
          <w:pgMar w:left="240" w:top="1030" w:right="239" w:bottom="1440" w:gutter="0" w:footer="0" w:header="0"/>
        </w:sectPr>
      </w:pPr>
    </w:p>
    <w:p>
      <w:pPr>
        <w:spacing w:after="0" w:line="306"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740" w:space="540"/>
            <w:col w:w="4620" w:space="720"/>
            <w:col w:w="2060" w:space="720"/>
            <w:col w:w="1020"/>
          </w:cols>
          <w:pgMar w:left="240" w:top="1030"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640" w:space="640"/>
            <w:col w:w="160" w:space="80"/>
            <w:col w:w="4380" w:space="720"/>
            <w:col w:w="2080" w:space="700"/>
            <w:col w:w="1020"/>
          </w:cols>
          <w:pgMar w:left="240" w:top="1030" w:right="239" w:bottom="1440" w:gutter="0" w:footer="0" w:header="0"/>
          <w:type w:val="continuous"/>
        </w:sectPr>
      </w:pP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660"/>
        <w:spacing w:after="0" w:line="207" w:lineRule="exact"/>
        <w:tabs>
          <w:tab w:leader="none" w:pos="14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356" w:lineRule="exact"/>
        <w:rPr>
          <w:sz w:val="24"/>
          <w:szCs w:val="24"/>
          <w:color w:val="auto"/>
        </w:rPr>
      </w:pPr>
    </w:p>
    <w:tbl>
      <w:tblPr>
        <w:tblLayout w:type="fixed"/>
        <w:tblInd w:w="100" w:type="dxa"/>
        <w:tblCellMar>
          <w:top w:w="0" w:type="dxa"/>
          <w:left w:w="0" w:type="dxa"/>
          <w:bottom w:w="0" w:type="dxa"/>
          <w:right w:w="0" w:type="dxa"/>
        </w:tblCellMar>
      </w:tblPr>
      <w:tr>
        <w:trPr>
          <w:trHeight w:val="188"/>
        </w:trPr>
        <w:tc>
          <w:tcPr>
            <w:tcW w:w="560" w:type="dxa"/>
            <w:vAlign w:val="bottom"/>
          </w:tcPr>
          <w:p>
            <w:pPr>
              <w:spacing w:after="0"/>
              <w:rPr>
                <w:sz w:val="16"/>
                <w:szCs w:val="16"/>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CLASS</w:t>
            </w:r>
          </w:p>
        </w:tc>
        <w:tc>
          <w:tcPr>
            <w:tcW w:w="300" w:type="dxa"/>
            <w:vAlign w:val="bottom"/>
          </w:tcPr>
          <w:p>
            <w:pPr>
              <w:spacing w:after="0"/>
              <w:rPr>
                <w:sz w:val="16"/>
                <w:szCs w:val="16"/>
                <w:color w:val="auto"/>
              </w:rPr>
            </w:pP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Shares Outstanding at August 1, 2014</w:t>
            </w:r>
          </w:p>
        </w:tc>
        <w:tc>
          <w:tcPr>
            <w:tcW w:w="540" w:type="dxa"/>
            <w:vAlign w:val="bottom"/>
          </w:tcPr>
          <w:p>
            <w:pPr>
              <w:spacing w:after="0"/>
              <w:rPr>
                <w:sz w:val="16"/>
                <w:szCs w:val="16"/>
                <w:color w:val="auto"/>
              </w:rPr>
            </w:pPr>
          </w:p>
        </w:tc>
      </w:tr>
      <w:tr>
        <w:trPr>
          <w:trHeight w:val="243"/>
        </w:trPr>
        <w:tc>
          <w:tcPr>
            <w:tcW w:w="560" w:type="dxa"/>
            <w:vAlign w:val="bottom"/>
          </w:tcPr>
          <w:p>
            <w:pPr>
              <w:spacing w:after="0"/>
              <w:rPr>
                <w:sz w:val="21"/>
                <w:szCs w:val="21"/>
                <w:color w:val="auto"/>
              </w:rPr>
            </w:pPr>
          </w:p>
        </w:tc>
        <w:tc>
          <w:tcPr>
            <w:tcW w:w="52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Common Stock, par value $.05 per share</w:t>
            </w:r>
          </w:p>
        </w:tc>
        <w:tc>
          <w:tcPr>
            <w:tcW w:w="4860" w:type="dxa"/>
            <w:vAlign w:val="bottom"/>
          </w:tcPr>
          <w:p>
            <w:pPr>
              <w:jc w:val="right"/>
              <w:ind w:right="1939"/>
              <w:spacing w:after="0"/>
              <w:rPr>
                <w:sz w:val="20"/>
                <w:szCs w:val="20"/>
                <w:color w:val="auto"/>
              </w:rPr>
            </w:pPr>
            <w:r>
              <w:rPr>
                <w:rFonts w:ascii="Arial" w:cs="Arial" w:eastAsia="Arial" w:hAnsi="Arial"/>
                <w:sz w:val="18"/>
                <w:szCs w:val="18"/>
                <w:color w:val="auto"/>
              </w:rPr>
              <w:t>10,614,124</w:t>
            </w:r>
          </w:p>
        </w:tc>
        <w:tc>
          <w:tcPr>
            <w:tcW w:w="540" w:type="dxa"/>
            <w:vAlign w:val="bottom"/>
          </w:tcPr>
          <w:p>
            <w:pPr>
              <w:spacing w:after="0"/>
              <w:rPr>
                <w:sz w:val="21"/>
                <w:szCs w:val="21"/>
                <w:color w:val="auto"/>
              </w:rPr>
            </w:pPr>
          </w:p>
        </w:tc>
      </w:tr>
      <w:tr>
        <w:trPr>
          <w:trHeight w:val="432"/>
        </w:trPr>
        <w:tc>
          <w:tcPr>
            <w:tcW w:w="5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122"/>
        </w:trPr>
        <w:tc>
          <w:tcPr>
            <w:tcW w:w="560" w:type="dxa"/>
            <w:vAlign w:val="bottom"/>
            <w:tcBorders>
              <w:bottom w:val="single" w:sz="8" w:color="auto"/>
            </w:tcBorders>
          </w:tcPr>
          <w:p>
            <w:pPr>
              <w:spacing w:after="0"/>
              <w:rPr>
                <w:sz w:val="10"/>
                <w:szCs w:val="10"/>
                <w:color w:val="auto"/>
              </w:rPr>
            </w:pPr>
          </w:p>
        </w:tc>
        <w:tc>
          <w:tcPr>
            <w:tcW w:w="49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8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030" w:right="239" w:bottom="1440" w:gutter="0" w:footer="0" w:header="0"/>
          <w:type w:val="continuous"/>
        </w:sectPr>
      </w:pPr>
    </w:p>
    <w:bookmarkStart w:id="1" w:name="page2"/>
    <w:bookmarkEnd w:id="1"/>
    <w:p>
      <w:pPr>
        <w:jc w:val="center"/>
        <w:ind w:right="-116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INDEX TO FORM 10-Q</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336"/>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5220" w:type="dxa"/>
            <w:vAlign w:val="bottom"/>
            <w:gridSpan w:val="10"/>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24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5180" w:type="dxa"/>
            <w:vAlign w:val="bottom"/>
            <w:gridSpan w:val="9"/>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2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 June 29, 2014 and March 30, 2014</w:t>
              </w:r>
            </w:hyperlink>
          </w:p>
        </w:tc>
        <w:tc>
          <w:tcPr>
            <w:tcW w:w="2000" w:type="dxa"/>
            <w:vAlign w:val="bottom"/>
            <w:gridSpan w:val="5"/>
          </w:tcPr>
          <w:p>
            <w:pPr>
              <w:spacing w:after="0"/>
              <w:rPr>
                <w:sz w:val="24"/>
                <w:szCs w:val="24"/>
                <w:color w:val="auto"/>
              </w:rPr>
            </w:pPr>
          </w:p>
        </w:tc>
        <w:tc>
          <w:tcPr>
            <w:tcW w:w="9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20" w:type="dxa"/>
            <w:vAlign w:val="bottom"/>
            <w:gridSpan w:val="19"/>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Condensed Consolidated Statements of Income – Three Months Ended June 29, 2014 and June</w:t>
              </w:r>
            </w:hyperlink>
          </w:p>
        </w:tc>
        <w:tc>
          <w:tcPr>
            <w:tcW w:w="100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4</w:t>
              </w:r>
            </w:hyperlink>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30, 2013</w:t>
              </w:r>
            </w:hyperlink>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4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Comprehensive Income – Three Months Ended June 29,</w:t>
              </w:r>
            </w:hyperlink>
          </w:p>
        </w:tc>
        <w:tc>
          <w:tcPr>
            <w:tcW w:w="680" w:type="dxa"/>
            <w:vAlign w:val="bottom"/>
          </w:tcPr>
          <w:p>
            <w:pPr>
              <w:spacing w:after="0"/>
              <w:rPr>
                <w:sz w:val="24"/>
                <w:szCs w:val="24"/>
                <w:color w:val="auto"/>
              </w:rPr>
            </w:pPr>
          </w:p>
        </w:tc>
        <w:tc>
          <w:tcPr>
            <w:tcW w:w="9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5</w:t>
              </w:r>
            </w:hyperlink>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2014 and June 30, 2013</w:t>
              </w:r>
            </w:hyperlink>
          </w:p>
        </w:tc>
        <w:tc>
          <w:tcPr>
            <w:tcW w:w="5900" w:type="dxa"/>
            <w:vAlign w:val="bottom"/>
            <w:gridSpan w:val="13"/>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 Three Months Ended June 29, 2014 and</w:t>
              </w:r>
            </w:hyperlink>
          </w:p>
        </w:tc>
        <w:tc>
          <w:tcPr>
            <w:tcW w:w="840" w:type="dxa"/>
            <w:vAlign w:val="bottom"/>
            <w:gridSpan w:val="3"/>
          </w:tcPr>
          <w:p>
            <w:pPr>
              <w:spacing w:after="0"/>
              <w:rPr>
                <w:sz w:val="24"/>
                <w:szCs w:val="24"/>
                <w:color w:val="auto"/>
              </w:rPr>
            </w:pPr>
          </w:p>
        </w:tc>
        <w:tc>
          <w:tcPr>
            <w:tcW w:w="9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6</w:t>
              </w:r>
            </w:hyperlink>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20" w:type="dxa"/>
            <w:vAlign w:val="bottom"/>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June 30, 2013</w:t>
              </w:r>
            </w:hyperlink>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3620" w:type="dxa"/>
            <w:vAlign w:val="bottom"/>
            <w:gridSpan w:val="8"/>
          </w:tcPr>
          <w:p>
            <w:pPr>
              <w:spacing w:after="0"/>
              <w:rPr>
                <w:sz w:val="24"/>
                <w:szCs w:val="24"/>
                <w:color w:val="auto"/>
              </w:rPr>
            </w:pPr>
          </w:p>
        </w:tc>
        <w:tc>
          <w:tcPr>
            <w:tcW w:w="9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7</w:t>
              </w:r>
            </w:hyperlink>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620" w:type="dxa"/>
            <w:vAlign w:val="bottom"/>
            <w:gridSpan w:val="19"/>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Management’s Discussion and Analysis of Financial Condition and Results of Operations</w:t>
              </w:r>
            </w:hyperlink>
          </w:p>
        </w:tc>
        <w:tc>
          <w:tcPr>
            <w:tcW w:w="1000" w:type="dxa"/>
            <w:vAlign w:val="bottom"/>
            <w:gridSpan w:val="3"/>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11</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20" w:type="dxa"/>
            <w:vAlign w:val="bottom"/>
            <w:gridSpan w:val="12"/>
          </w:tcPr>
          <w:p>
            <w:pPr>
              <w:spacing w:after="0"/>
              <w:rPr>
                <w:rFonts w:ascii="Arial" w:cs="Arial" w:eastAsia="Arial" w:hAnsi="Arial"/>
                <w:sz w:val="18"/>
                <w:szCs w:val="18"/>
                <w:color w:val="0000EE"/>
                <w:w w:val="91"/>
              </w:rPr>
            </w:pPr>
            <w:hyperlink w:anchor="page14">
              <w:r>
                <w:rPr>
                  <w:rFonts w:ascii="Arial" w:cs="Arial" w:eastAsia="Arial" w:hAnsi="Arial"/>
                  <w:sz w:val="18"/>
                  <w:szCs w:val="18"/>
                  <w:color w:val="0000EE"/>
                  <w:w w:val="91"/>
                </w:rPr>
                <w:t>Quantitative and Qualitative Disclosures about Market Risk</w:t>
              </w:r>
            </w:hyperlink>
          </w:p>
        </w:tc>
        <w:tc>
          <w:tcPr>
            <w:tcW w:w="2140" w:type="dxa"/>
            <w:vAlign w:val="bottom"/>
            <w:gridSpan w:val="3"/>
          </w:tcPr>
          <w:p>
            <w:pPr>
              <w:spacing w:after="0"/>
              <w:rPr>
                <w:sz w:val="24"/>
                <w:szCs w:val="24"/>
                <w:color w:val="auto"/>
              </w:rPr>
            </w:pPr>
          </w:p>
        </w:tc>
        <w:tc>
          <w:tcPr>
            <w:tcW w:w="1160" w:type="dxa"/>
            <w:vAlign w:val="bottom"/>
            <w:gridSpan w:val="4"/>
          </w:tcPr>
          <w:p>
            <w:pPr>
              <w:spacing w:after="0"/>
              <w:rPr>
                <w:sz w:val="24"/>
                <w:szCs w:val="24"/>
                <w:color w:val="auto"/>
              </w:rPr>
            </w:pPr>
          </w:p>
        </w:tc>
        <w:tc>
          <w:tcPr>
            <w:tcW w:w="1000" w:type="dxa"/>
            <w:vAlign w:val="bottom"/>
            <w:gridSpan w:val="3"/>
          </w:tcPr>
          <w:p>
            <w:pPr>
              <w:jc w:val="right"/>
              <w:spacing w:after="0"/>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7"/>
          </w:tcPr>
          <w:p>
            <w:pPr>
              <w:spacing w:after="0"/>
              <w:rPr>
                <w:rFonts w:ascii="Arial" w:cs="Arial" w:eastAsia="Arial" w:hAnsi="Arial"/>
                <w:sz w:val="18"/>
                <w:szCs w:val="18"/>
                <w:color w:val="0000EE"/>
                <w:w w:val="88"/>
              </w:rPr>
            </w:pPr>
            <w:hyperlink w:anchor="page14">
              <w:r>
                <w:rPr>
                  <w:rFonts w:ascii="Arial" w:cs="Arial" w:eastAsia="Arial" w:hAnsi="Arial"/>
                  <w:sz w:val="18"/>
                  <w:szCs w:val="18"/>
                  <w:color w:val="0000EE"/>
                  <w:w w:val="88"/>
                </w:rPr>
                <w:t>Controls and Procedures</w:t>
              </w:r>
            </w:hyperlink>
          </w:p>
        </w:tc>
        <w:tc>
          <w:tcPr>
            <w:tcW w:w="2540" w:type="dxa"/>
            <w:vAlign w:val="bottom"/>
            <w:gridSpan w:val="5"/>
          </w:tcPr>
          <w:p>
            <w:pPr>
              <w:spacing w:after="0"/>
              <w:rPr>
                <w:sz w:val="24"/>
                <w:szCs w:val="24"/>
                <w:color w:val="auto"/>
              </w:rPr>
            </w:pPr>
          </w:p>
        </w:tc>
        <w:tc>
          <w:tcPr>
            <w:tcW w:w="3300" w:type="dxa"/>
            <w:vAlign w:val="bottom"/>
            <w:gridSpan w:val="7"/>
          </w:tcPr>
          <w:p>
            <w:pPr>
              <w:spacing w:after="0"/>
              <w:rPr>
                <w:sz w:val="24"/>
                <w:szCs w:val="24"/>
                <w:color w:val="auto"/>
              </w:rPr>
            </w:pPr>
          </w:p>
        </w:tc>
        <w:tc>
          <w:tcPr>
            <w:tcW w:w="1000" w:type="dxa"/>
            <w:vAlign w:val="bottom"/>
            <w:gridSpan w:val="3"/>
          </w:tcPr>
          <w:p>
            <w:pPr>
              <w:jc w:val="right"/>
              <w:spacing w:after="0"/>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PART II.</w:t>
            </w:r>
          </w:p>
        </w:tc>
        <w:tc>
          <w:tcPr>
            <w:tcW w:w="7620" w:type="dxa"/>
            <w:vAlign w:val="bottom"/>
            <w:gridSpan w:val="19"/>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OTHER INFORMATION</w:t>
              </w:r>
            </w:hyperlink>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tcBorders>
            <w:gridSpan w:val="5"/>
          </w:tcPr>
          <w:p>
            <w:pPr>
              <w:spacing w:after="0"/>
              <w:rPr>
                <w:rFonts w:ascii="Arial" w:cs="Arial" w:eastAsia="Arial" w:hAnsi="Arial"/>
                <w:sz w:val="18"/>
                <w:szCs w:val="18"/>
                <w:color w:val="0000EE"/>
                <w:w w:val="88"/>
              </w:rPr>
            </w:pPr>
            <w:hyperlink w:anchor="page15">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3"/>
          </w:tcPr>
          <w:p>
            <w:pPr>
              <w:spacing w:after="0"/>
              <w:rPr>
                <w:sz w:val="24"/>
                <w:szCs w:val="24"/>
                <w:color w:val="auto"/>
              </w:rPr>
            </w:pPr>
          </w:p>
        </w:tc>
        <w:tc>
          <w:tcPr>
            <w:tcW w:w="5740" w:type="dxa"/>
            <w:vAlign w:val="bottom"/>
            <w:gridSpan w:val="11"/>
          </w:tcPr>
          <w:p>
            <w:pPr>
              <w:spacing w:after="0"/>
              <w:rPr>
                <w:sz w:val="24"/>
                <w:szCs w:val="24"/>
                <w:color w:val="auto"/>
              </w:rPr>
            </w:pPr>
          </w:p>
        </w:tc>
        <w:tc>
          <w:tcPr>
            <w:tcW w:w="1000" w:type="dxa"/>
            <w:vAlign w:val="bottom"/>
            <w:gridSpan w:val="3"/>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340" w:type="dxa"/>
            <w:vAlign w:val="bottom"/>
            <w:gridSpan w:val="5"/>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6280" w:type="dxa"/>
            <w:vAlign w:val="bottom"/>
            <w:gridSpan w:val="14"/>
          </w:tcPr>
          <w:p>
            <w:pPr>
              <w:spacing w:after="0"/>
              <w:rPr>
                <w:sz w:val="24"/>
                <w:szCs w:val="24"/>
                <w:color w:val="auto"/>
              </w:rPr>
            </w:pPr>
          </w:p>
        </w:tc>
        <w:tc>
          <w:tcPr>
            <w:tcW w:w="1000" w:type="dxa"/>
            <w:vAlign w:val="bottom"/>
            <w:gridSpan w:val="3"/>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60" w:type="dxa"/>
            <w:vAlign w:val="bottom"/>
            <w:gridSpan w:val="10"/>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13"/>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Unregistered Sales of Equity Securities and Use of Proceeds</w:t>
              </w:r>
            </w:hyperlink>
          </w:p>
        </w:tc>
        <w:tc>
          <w:tcPr>
            <w:tcW w:w="3260" w:type="dxa"/>
            <w:vAlign w:val="bottom"/>
            <w:gridSpan w:val="6"/>
          </w:tcPr>
          <w:p>
            <w:pPr>
              <w:spacing w:after="0"/>
              <w:rPr>
                <w:sz w:val="24"/>
                <w:szCs w:val="24"/>
                <w:color w:val="auto"/>
              </w:rPr>
            </w:pPr>
          </w:p>
        </w:tc>
        <w:tc>
          <w:tcPr>
            <w:tcW w:w="1000" w:type="dxa"/>
            <w:vAlign w:val="bottom"/>
            <w:gridSpan w:val="3"/>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60" w:type="dxa"/>
            <w:vAlign w:val="bottom"/>
            <w:gridSpan w:val="12"/>
            <w:shd w:val="clear" w:color="auto" w:fill="0000EE"/>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6.</w:t>
            </w:r>
          </w:p>
        </w:tc>
        <w:tc>
          <w:tcPr>
            <w:tcW w:w="4360" w:type="dxa"/>
            <w:vAlign w:val="bottom"/>
            <w:gridSpan w:val="1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Exhibits</w:t>
              </w:r>
            </w:hyperlink>
          </w:p>
        </w:tc>
        <w:tc>
          <w:tcPr>
            <w:tcW w:w="3260" w:type="dxa"/>
            <w:vAlign w:val="bottom"/>
            <w:gridSpan w:val="6"/>
          </w:tcPr>
          <w:p>
            <w:pPr>
              <w:spacing w:after="0"/>
              <w:rPr>
                <w:sz w:val="24"/>
                <w:szCs w:val="24"/>
                <w:color w:val="auto"/>
              </w:rPr>
            </w:pPr>
          </w:p>
        </w:tc>
        <w:tc>
          <w:tcPr>
            <w:tcW w:w="1000" w:type="dxa"/>
            <w:vAlign w:val="bottom"/>
            <w:gridSpan w:val="3"/>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16</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760" w:type="dxa"/>
            <w:vAlign w:val="bottom"/>
          </w:tcPr>
          <w:p>
            <w:pPr>
              <w:spacing w:after="0"/>
              <w:rPr>
                <w:rFonts w:ascii="Arial" w:cs="Arial" w:eastAsia="Arial" w:hAnsi="Arial"/>
                <w:sz w:val="18"/>
                <w:szCs w:val="18"/>
                <w:color w:val="0000EE"/>
                <w:w w:val="85"/>
              </w:rPr>
            </w:pPr>
            <w:hyperlink w:anchor="page16">
              <w:r>
                <w:rPr>
                  <w:rFonts w:ascii="Arial" w:cs="Arial" w:eastAsia="Arial" w:hAnsi="Arial"/>
                  <w:sz w:val="18"/>
                  <w:szCs w:val="18"/>
                  <w:color w:val="0000EE"/>
                  <w:w w:val="85"/>
                </w:rPr>
                <w:t>Signatures</w:t>
              </w:r>
            </w:hyperlink>
          </w:p>
        </w:tc>
        <w:tc>
          <w:tcPr>
            <w:tcW w:w="38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17</w:t>
              </w:r>
            </w:hyperlink>
          </w:p>
        </w:tc>
      </w:tr>
      <w:tr>
        <w:trPr>
          <w:trHeight w:val="20"/>
        </w:trPr>
        <w:tc>
          <w:tcPr>
            <w:tcW w:w="7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Exhibit Index</w:t>
              </w:r>
            </w:hyperlink>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18</w:t>
              </w:r>
            </w:hyperlink>
          </w:p>
        </w:tc>
      </w:tr>
      <w:tr>
        <w:trPr>
          <w:trHeight w:val="507"/>
        </w:trPr>
        <w:tc>
          <w:tcPr>
            <w:tcW w:w="7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5620" w:type="dxa"/>
            <w:vAlign w:val="bottom"/>
            <w:gridSpan w:val="14"/>
          </w:tcPr>
          <w:p>
            <w:pPr>
              <w:ind w:left="4480"/>
              <w:spacing w:after="0"/>
              <w:rPr>
                <w:sz w:val="20"/>
                <w:szCs w:val="20"/>
                <w:color w:val="auto"/>
              </w:rPr>
            </w:pPr>
            <w:r>
              <w:rPr>
                <w:rFonts w:ascii="Arial" w:cs="Arial" w:eastAsia="Arial" w:hAnsi="Arial"/>
                <w:sz w:val="18"/>
                <w:szCs w:val="18"/>
                <w:color w:val="auto"/>
              </w:rPr>
              <w:t>2</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0179"/>
          </w:cols>
          <w:pgMar w:left="280" w:top="580"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8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29,</w:t>
            </w:r>
          </w:p>
        </w:tc>
        <w:tc>
          <w:tcPr>
            <w:tcW w:w="220" w:type="dxa"/>
            <w:vAlign w:val="bottom"/>
          </w:tcPr>
          <w:p>
            <w:pPr>
              <w:spacing w:after="0"/>
              <w:rPr>
                <w:sz w:val="17"/>
                <w:szCs w:val="17"/>
                <w:color w:val="auto"/>
              </w:rPr>
            </w:pPr>
          </w:p>
        </w:tc>
        <w:tc>
          <w:tcPr>
            <w:tcW w:w="1140" w:type="dxa"/>
            <w:vAlign w:val="bottom"/>
          </w:tcPr>
          <w:p>
            <w:pPr>
              <w:jc w:val="right"/>
              <w:ind w:right="251"/>
              <w:spacing w:after="0"/>
              <w:rPr>
                <w:sz w:val="20"/>
                <w:szCs w:val="20"/>
                <w:color w:val="auto"/>
              </w:rPr>
            </w:pPr>
            <w:r>
              <w:rPr>
                <w:rFonts w:ascii="Arial" w:cs="Arial" w:eastAsia="Arial" w:hAnsi="Arial"/>
                <w:sz w:val="16"/>
                <w:szCs w:val="16"/>
                <w:b w:val="1"/>
                <w:bCs w:val="1"/>
                <w:color w:val="auto"/>
              </w:rPr>
              <w:t>March 30,</w:t>
            </w:r>
          </w:p>
        </w:tc>
        <w:tc>
          <w:tcPr>
            <w:tcW w:w="0" w:type="dxa"/>
            <w:vAlign w:val="bottom"/>
          </w:tcPr>
          <w:p>
            <w:pPr>
              <w:spacing w:after="0"/>
              <w:rPr>
                <w:sz w:val="1"/>
                <w:szCs w:val="1"/>
                <w:color w:val="auto"/>
              </w:rPr>
            </w:pPr>
          </w:p>
        </w:tc>
      </w:tr>
      <w:tr>
        <w:trPr>
          <w:trHeight w:val="210"/>
        </w:trPr>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85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5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21,803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33,486</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available-for-sale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13,843</w:t>
            </w: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Trade receivables — less allowance for doubtful accounts: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$457 as of June 29, 2014 and $477 as of March 30, 2014</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37,946</w:t>
            </w: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34,321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26,192</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3,160</w:t>
            </w:r>
          </w:p>
        </w:tc>
        <w:tc>
          <w:tcPr>
            <w:tcW w:w="0" w:type="dxa"/>
            <w:vAlign w:val="bottom"/>
          </w:tcPr>
          <w:p>
            <w:pPr>
              <w:spacing w:after="0"/>
              <w:rPr>
                <w:sz w:val="1"/>
                <w:szCs w:val="1"/>
                <w:color w:val="auto"/>
              </w:rPr>
            </w:pPr>
          </w:p>
        </w:tc>
      </w:tr>
      <w:tr>
        <w:trPr>
          <w:trHeight w:val="237"/>
        </w:trPr>
        <w:tc>
          <w:tcPr>
            <w:tcW w:w="8560" w:type="dxa"/>
            <w:vAlign w:val="bottom"/>
          </w:tcPr>
          <w:p>
            <w:pPr>
              <w:ind w:left="8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111,520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114,627</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161,480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158,875</w:t>
            </w: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(71,042)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(68,406)</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Net property, plant,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90,438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90,469</w:t>
            </w:r>
          </w:p>
        </w:tc>
        <w:tc>
          <w:tcPr>
            <w:tcW w:w="0" w:type="dxa"/>
            <w:vAlign w:val="bottom"/>
          </w:tcPr>
          <w:p>
            <w:pPr>
              <w:spacing w:after="0"/>
              <w:rPr>
                <w:sz w:val="1"/>
                <w:szCs w:val="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7,392</w:t>
            </w: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Intangible assets — less accumulated amortization:</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$3,251 as of June 29, 2014 and $3,069 as of March 30, 2014</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8,509</w:t>
            </w: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Long-term investments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20,929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15,852</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37"/>
        </w:trPr>
        <w:tc>
          <w:tcPr>
            <w:tcW w:w="8560" w:type="dxa"/>
            <w:vAlign w:val="bottom"/>
          </w:tcPr>
          <w:p>
            <w:pPr>
              <w:ind w:left="820"/>
              <w:spacing w:after="0"/>
              <w:rPr>
                <w:sz w:val="20"/>
                <w:szCs w:val="20"/>
                <w:color w:val="auto"/>
              </w:rPr>
            </w:pPr>
            <w:r>
              <w:rPr>
                <w:rFonts w:ascii="Arial" w:cs="Arial" w:eastAsia="Arial" w:hAnsi="Arial"/>
                <w:sz w:val="18"/>
                <w:szCs w:val="18"/>
                <w:color w:val="auto"/>
              </w:rPr>
              <w:t>Total other assets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36,963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32,097</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238,921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237,193</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Accounts payable — trade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21,555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18,306</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payable</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3,823</w:t>
            </w: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Accrued payroll and employee benefits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4,624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5,555</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Income tax payable</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3,801</w:t>
            </w:r>
          </w:p>
        </w:tc>
        <w:tc>
          <w:tcPr>
            <w:tcW w:w="0" w:type="dxa"/>
            <w:vAlign w:val="bottom"/>
          </w:tcPr>
          <w:p>
            <w:pPr>
              <w:spacing w:after="0"/>
              <w:rPr>
                <w:sz w:val="1"/>
                <w:szCs w:val="1"/>
                <w:color w:val="auto"/>
              </w:rPr>
            </w:pPr>
          </w:p>
        </w:tc>
      </w:tr>
      <w:tr>
        <w:trPr>
          <w:trHeight w:val="237"/>
        </w:trPr>
        <w:tc>
          <w:tcPr>
            <w:tcW w:w="8560" w:type="dxa"/>
            <w:vAlign w:val="bottom"/>
          </w:tcPr>
          <w:p>
            <w:pPr>
              <w:ind w:left="8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33,839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35,829</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WITHDRAWAL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6,887</w:t>
            </w:r>
          </w:p>
        </w:tc>
        <w:tc>
          <w:tcPr>
            <w:tcW w:w="0" w:type="dxa"/>
            <w:vAlign w:val="bottom"/>
          </w:tcPr>
          <w:p>
            <w:pPr>
              <w:spacing w:after="0"/>
              <w:rPr>
                <w:sz w:val="1"/>
                <w:szCs w:val="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10,186</w:t>
            </w:r>
          </w:p>
        </w:tc>
        <w:tc>
          <w:tcPr>
            <w:tcW w:w="0" w:type="dxa"/>
            <w:vAlign w:val="bottom"/>
          </w:tcPr>
          <w:p>
            <w:pPr>
              <w:spacing w:after="0"/>
              <w:rPr>
                <w:sz w:val="1"/>
                <w:szCs w:val="1"/>
                <w:color w:val="auto"/>
              </w:rPr>
            </w:pPr>
          </w:p>
        </w:tc>
      </w:tr>
      <w:tr>
        <w:trPr>
          <w:trHeight w:val="237"/>
        </w:trPr>
        <w:tc>
          <w:tcPr>
            <w:tcW w:w="8560" w:type="dxa"/>
            <w:vAlign w:val="bottom"/>
          </w:tcPr>
          <w:p>
            <w:pPr>
              <w:ind w:left="82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51,818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54,780</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Common stock; authorized: 30,000,000 shares of $0.05 par value; 10,538,610 and 10,562,400 shares issued</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and outstanding as of June 29, 2014 and March 30, 2014,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49,180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50,502</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137,448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131,427</w:t>
            </w: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187,103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182,413</w:t>
            </w:r>
          </w:p>
        </w:tc>
        <w:tc>
          <w:tcPr>
            <w:tcW w:w="0" w:type="dxa"/>
            <w:vAlign w:val="bottom"/>
          </w:tcPr>
          <w:p>
            <w:pPr>
              <w:spacing w:after="0"/>
              <w:rPr>
                <w:sz w:val="1"/>
                <w:szCs w:val="1"/>
                <w:color w:val="auto"/>
              </w:rPr>
            </w:pPr>
          </w:p>
        </w:tc>
      </w:tr>
      <w:tr>
        <w:trPr>
          <w:trHeight w:val="237"/>
        </w:trPr>
        <w:tc>
          <w:tcPr>
            <w:tcW w:w="8560" w:type="dxa"/>
            <w:vAlign w:val="bottom"/>
          </w:tcPr>
          <w:p>
            <w:pPr>
              <w:ind w:left="82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238,921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237,193</w:t>
            </w:r>
          </w:p>
        </w:tc>
        <w:tc>
          <w:tcPr>
            <w:tcW w:w="0" w:type="dxa"/>
            <w:vAlign w:val="bottom"/>
          </w:tcPr>
          <w:p>
            <w:pPr>
              <w:spacing w:after="0"/>
              <w:rPr>
                <w:sz w:val="1"/>
                <w:szCs w:val="1"/>
                <w:color w:val="auto"/>
              </w:rPr>
            </w:pPr>
          </w:p>
        </w:tc>
      </w:tr>
      <w:tr>
        <w:trPr>
          <w:trHeight w:val="27"/>
        </w:trPr>
        <w:tc>
          <w:tcPr>
            <w:tcW w:w="8560" w:type="dxa"/>
            <w:vAlign w:val="bottom"/>
            <w:vMerge w:val="restart"/>
          </w:tcPr>
          <w:p>
            <w:pPr>
              <w:ind w:left="3060"/>
              <w:spacing w:after="0"/>
              <w:rPr>
                <w:sz w:val="20"/>
                <w:szCs w:val="20"/>
                <w:color w:val="auto"/>
              </w:rPr>
            </w:pPr>
            <w:r>
              <w:rPr>
                <w:rFonts w:ascii="Arial" w:cs="Arial" w:eastAsia="Arial" w:hAnsi="Arial"/>
                <w:sz w:val="18"/>
                <w:szCs w:val="18"/>
                <w:color w:val="auto"/>
                <w:w w:val="92"/>
              </w:rPr>
              <w:t>See accompanying notes to condensed consolidated financial statements.</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6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580"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580" w:right="2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and per-share data)</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4"/>
          </w:tcPr>
          <w:p>
            <w:pPr>
              <w:jc w:val="right"/>
              <w:ind w:right="591"/>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5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5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29,</w:t>
            </w:r>
          </w:p>
        </w:tc>
        <w:tc>
          <w:tcPr>
            <w:tcW w:w="220" w:type="dxa"/>
            <w:vAlign w:val="bottom"/>
          </w:tcPr>
          <w:p>
            <w:pPr>
              <w:spacing w:after="0"/>
              <w:rPr>
                <w:sz w:val="18"/>
                <w:szCs w:val="18"/>
                <w:color w:val="auto"/>
              </w:rPr>
            </w:pPr>
          </w:p>
        </w:tc>
        <w:tc>
          <w:tcPr>
            <w:tcW w:w="1100" w:type="dxa"/>
            <w:vAlign w:val="bottom"/>
          </w:tcPr>
          <w:p>
            <w:pPr>
              <w:jc w:val="right"/>
              <w:ind w:right="311"/>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452"/>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411"/>
              <w:spacing w:after="0"/>
              <w:rPr>
                <w:sz w:val="20"/>
                <w:szCs w:val="20"/>
                <w:color w:val="auto"/>
              </w:rPr>
            </w:pPr>
            <w:r>
              <w:rPr>
                <w:rFonts w:ascii="Arial" w:cs="Arial" w:eastAsia="Arial" w:hAnsi="Arial"/>
                <w:sz w:val="16"/>
                <w:szCs w:val="16"/>
                <w:b w:val="1"/>
                <w:bCs w:val="1"/>
                <w:color w:val="auto"/>
              </w:rPr>
              <w:t>2013</w:t>
            </w:r>
          </w:p>
        </w:tc>
      </w:tr>
      <w:tr>
        <w:trPr>
          <w:trHeight w:val="33"/>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94,744</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(79,540)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(77,513)</w:t>
            </w:r>
          </w:p>
        </w:tc>
      </w:tr>
      <w:tr>
        <w:trPr>
          <w:trHeight w:val="27"/>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17,231</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(8,970)</w:t>
            </w:r>
          </w:p>
        </w:tc>
      </w:tr>
      <w:tr>
        <w:trPr>
          <w:trHeight w:val="27"/>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8,261</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Interest income (expense)</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8,246</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Income tax provision expense</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(3,134)</w:t>
            </w:r>
          </w:p>
        </w:tc>
      </w:tr>
      <w:tr>
        <w:trPr>
          <w:trHeight w:val="27"/>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5,112</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 - basic</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10,570,041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10,522,185</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 - diluted</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10,613,738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10,567,308</w:t>
            </w: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324"/>
        </w:trPr>
        <w:tc>
          <w:tcPr>
            <w:tcW w:w="57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0.49</w:t>
            </w: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0.48</w:t>
            </w:r>
          </w:p>
        </w:tc>
      </w:tr>
      <w:tr>
        <w:trPr>
          <w:trHeight w:val="324"/>
        </w:trPr>
        <w:tc>
          <w:tcPr>
            <w:tcW w:w="5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9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580"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60" w:type="dxa"/>
            <w:vAlign w:val="bottom"/>
            <w:gridSpan w:val="4"/>
          </w:tcPr>
          <w:p>
            <w:pPr>
              <w:jc w:val="right"/>
              <w:ind w:right="614"/>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5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5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29,</w:t>
            </w:r>
          </w:p>
        </w:tc>
        <w:tc>
          <w:tcPr>
            <w:tcW w:w="240" w:type="dxa"/>
            <w:vAlign w:val="bottom"/>
          </w:tcPr>
          <w:p>
            <w:pPr>
              <w:spacing w:after="0"/>
              <w:rPr>
                <w:sz w:val="18"/>
                <w:szCs w:val="18"/>
                <w:color w:val="auto"/>
              </w:rPr>
            </w:pPr>
          </w:p>
        </w:tc>
        <w:tc>
          <w:tcPr>
            <w:tcW w:w="1160" w:type="dxa"/>
            <w:vAlign w:val="bottom"/>
          </w:tcPr>
          <w:p>
            <w:pPr>
              <w:jc w:val="right"/>
              <w:ind w:right="354"/>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454"/>
              <w:spacing w:after="0"/>
              <w:rPr>
                <w:sz w:val="20"/>
                <w:szCs w:val="20"/>
                <w:color w:val="auto"/>
              </w:rPr>
            </w:pPr>
            <w:r>
              <w:rPr>
                <w:rFonts w:ascii="Arial" w:cs="Arial" w:eastAsia="Arial" w:hAnsi="Arial"/>
                <w:sz w:val="16"/>
                <w:szCs w:val="16"/>
                <w:b w:val="1"/>
                <w:bCs w:val="1"/>
                <w:color w:val="auto"/>
              </w:rPr>
              <w:t>2013</w:t>
            </w:r>
          </w:p>
        </w:tc>
      </w:tr>
      <w:tr>
        <w:trPr>
          <w:trHeight w:val="33"/>
        </w:trPr>
        <w:tc>
          <w:tcPr>
            <w:tcW w:w="5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5,112</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Other comprehensive loss, net of tax:</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 on available-for-sale investments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7"/>
        </w:trPr>
        <w:tc>
          <w:tcPr>
            <w:tcW w:w="566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6,013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5,082</w:t>
            </w:r>
          </w:p>
        </w:tc>
      </w:tr>
      <w:tr>
        <w:trPr>
          <w:trHeight w:val="27"/>
        </w:trPr>
        <w:tc>
          <w:tcPr>
            <w:tcW w:w="5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9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580"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gridSpan w:val="4"/>
          </w:tcPr>
          <w:p>
            <w:pPr>
              <w:jc w:val="right"/>
              <w:ind w:right="751"/>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8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29,</w:t>
            </w:r>
          </w:p>
        </w:tc>
        <w:tc>
          <w:tcPr>
            <w:tcW w:w="280" w:type="dxa"/>
            <w:vAlign w:val="bottom"/>
          </w:tcPr>
          <w:p>
            <w:pPr>
              <w:spacing w:after="0"/>
              <w:rPr>
                <w:sz w:val="18"/>
                <w:szCs w:val="18"/>
                <w:color w:val="auto"/>
              </w:rPr>
            </w:pPr>
          </w:p>
        </w:tc>
        <w:tc>
          <w:tcPr>
            <w:tcW w:w="1200" w:type="dxa"/>
            <w:vAlign w:val="bottom"/>
          </w:tcPr>
          <w:p>
            <w:pPr>
              <w:jc w:val="right"/>
              <w:ind w:right="371"/>
              <w:spacing w:after="0"/>
              <w:rPr>
                <w:sz w:val="20"/>
                <w:szCs w:val="20"/>
                <w:color w:val="auto"/>
              </w:rPr>
            </w:pPr>
            <w:r>
              <w:rPr>
                <w:rFonts w:ascii="Arial" w:cs="Arial" w:eastAsia="Arial" w:hAnsi="Arial"/>
                <w:sz w:val="16"/>
                <w:szCs w:val="16"/>
                <w:b w:val="1"/>
                <w:bCs w:val="1"/>
                <w:color w:val="auto"/>
              </w:rPr>
              <w:t>June 30,</w:t>
            </w:r>
          </w:p>
        </w:tc>
      </w:tr>
      <w:tr>
        <w:trPr>
          <w:trHeight w:val="210"/>
        </w:trPr>
        <w:tc>
          <w:tcPr>
            <w:tcW w:w="8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55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2013</w:t>
            </w:r>
          </w:p>
        </w:tc>
      </w:tr>
      <w:tr>
        <w:trPr>
          <w:trHeight w:val="33"/>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6,021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5,112</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Reconciliation to cash flows: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2,984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3,316</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w:t>
            </w:r>
          </w:p>
        </w:tc>
      </w:tr>
      <w:tr>
        <w:trPr>
          <w:trHeight w:val="243"/>
        </w:trPr>
        <w:tc>
          <w:tcPr>
            <w:tcW w:w="8240" w:type="dxa"/>
            <w:vAlign w:val="bottom"/>
          </w:tcPr>
          <w:p>
            <w:pPr>
              <w:ind w:left="720"/>
              <w:spacing w:after="0"/>
              <w:rPr>
                <w:sz w:val="20"/>
                <w:szCs w:val="20"/>
                <w:color w:val="auto"/>
              </w:rPr>
            </w:pPr>
            <w:r>
              <w:rPr>
                <w:rFonts w:ascii="Arial" w:cs="Arial" w:eastAsia="Arial" w:hAnsi="Arial"/>
                <w:sz w:val="18"/>
                <w:szCs w:val="18"/>
                <w:color w:val="auto"/>
              </w:rPr>
              <w:t>Stock compensation expense</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251</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(Gain) loss from property disposals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r>
      <w:tr>
        <w:trPr>
          <w:trHeight w:val="243"/>
        </w:trPr>
        <w:tc>
          <w:tcPr>
            <w:tcW w:w="8240" w:type="dxa"/>
            <w:vAlign w:val="bottom"/>
          </w:tcPr>
          <w:p>
            <w:pPr>
              <w:ind w:left="720"/>
              <w:spacing w:after="0"/>
              <w:rPr>
                <w:sz w:val="20"/>
                <w:szCs w:val="20"/>
                <w:color w:val="auto"/>
              </w:rPr>
            </w:pPr>
            <w:r>
              <w:rPr>
                <w:rFonts w:ascii="Arial" w:cs="Arial" w:eastAsia="Arial" w:hAnsi="Arial"/>
                <w:sz w:val="18"/>
                <w:szCs w:val="18"/>
                <w:color w:val="auto"/>
              </w:rPr>
              <w:t>Changes in operating accounts providing (using) cash:</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Trade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r>
      <w:tr>
        <w:trPr>
          <w:trHeight w:val="243"/>
        </w:trPr>
        <w:tc>
          <w:tcPr>
            <w:tcW w:w="8240" w:type="dxa"/>
            <w:vAlign w:val="bottom"/>
          </w:tcPr>
          <w:p>
            <w:pPr>
              <w:ind w:left="114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(7,057)</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2,176</w:t>
            </w:r>
          </w:p>
        </w:tc>
      </w:tr>
      <w:tr>
        <w:trPr>
          <w:trHeight w:val="243"/>
        </w:trPr>
        <w:tc>
          <w:tcPr>
            <w:tcW w:w="8240" w:type="dxa"/>
            <w:vAlign w:val="bottom"/>
          </w:tcPr>
          <w:p>
            <w:pPr>
              <w:ind w:left="114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(852)</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r>
      <w:tr>
        <w:trPr>
          <w:trHeight w:val="243"/>
        </w:trPr>
        <w:tc>
          <w:tcPr>
            <w:tcW w:w="8240" w:type="dxa"/>
            <w:vAlign w:val="bottom"/>
          </w:tcPr>
          <w:p>
            <w:pPr>
              <w:ind w:left="11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507</w:t>
            </w:r>
          </w:p>
        </w:tc>
      </w:tr>
      <w:tr>
        <w:trPr>
          <w:trHeight w:val="27"/>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1,310</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to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(4,063)</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Purchases of investments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(9,136)</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 and maturities of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4,345</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Proceeds from property disposals</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42</w:t>
            </w:r>
          </w:p>
        </w:tc>
      </w:tr>
      <w:tr>
        <w:trPr>
          <w:trHeight w:val="27"/>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(8,812)</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dividends paid</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(3,592)</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Shares surrendered for payroll taxes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exercise of stock options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Excess tax benefit from share-based compensation</w:t>
            </w:r>
          </w:p>
        </w:tc>
        <w:tc>
          <w:tcPr>
            <w:tcW w:w="3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 repurchased</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240" w:type="dxa"/>
            <w:vAlign w:val="bottom"/>
          </w:tcPr>
          <w:p>
            <w:pPr>
              <w:ind w:left="146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(4,116)</w:t>
            </w:r>
          </w:p>
        </w:tc>
      </w:tr>
      <w:tr>
        <w:trPr>
          <w:trHeight w:val="27"/>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(11,618)</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33,486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28,715</w:t>
            </w:r>
          </w:p>
        </w:tc>
      </w:tr>
      <w:tr>
        <w:trPr>
          <w:trHeight w:val="27"/>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17,097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DISCLOSURES OF CASH FLOW INFORMATION</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Cash paid for income taxes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4,325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3,686</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8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Noncash investing activities - Capital expenditures in accounts payable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785</w:t>
            </w:r>
          </w:p>
        </w:tc>
      </w:tr>
      <w:tr>
        <w:trPr>
          <w:trHeight w:val="27"/>
        </w:trPr>
        <w:tc>
          <w:tcPr>
            <w:tcW w:w="8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consolidated financial statements and footnotes included in our Annual Report on Form 10-K for the fiscal year ended March 30, 2014, previously filed with the Securities and Exchange Commission (“SEC”). In the opinion of management, the accompanying unaudited condensed consolidated financial statements contain all adjustments necessary to present fairly our financial position and the results of our operations and cash flows for the periods presented. All adjustments made to the interim condensed consolidated financial statements were of a normal recurring nature. All significant intercompany accounts and transactions have been eliminated in consolidation.</w:t>
      </w:r>
    </w:p>
    <w:p>
      <w:pPr>
        <w:spacing w:after="0" w:line="124"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The accounting policies we follow are set forth in “Item 8. Financial Statements and Supplementary Data, Note 1 – Nature of Business and Significant Accounting Policies” to our consolidated financial statements in our Annual Report on Form 10-K for the fiscal year ended March 30, 2014 filed with the SEC on May 29, 2014. There has been no significant change in our accounting policies since the end of fiscal 2014.</w:t>
      </w:r>
    </w:p>
    <w:p>
      <w:pPr>
        <w:spacing w:after="0" w:line="111" w:lineRule="exact"/>
        <w:rPr>
          <w:sz w:val="20"/>
          <w:szCs w:val="20"/>
          <w:color w:val="auto"/>
        </w:rPr>
      </w:pPr>
    </w:p>
    <w:p>
      <w:pPr>
        <w:ind w:right="680"/>
        <w:spacing w:after="0" w:line="438" w:lineRule="auto"/>
        <w:rPr>
          <w:sz w:val="20"/>
          <w:szCs w:val="20"/>
          <w:color w:val="auto"/>
        </w:rPr>
      </w:pPr>
      <w:r>
        <w:rPr>
          <w:rFonts w:ascii="Arial" w:cs="Arial" w:eastAsia="Arial" w:hAnsi="Arial"/>
          <w:sz w:val="18"/>
          <w:szCs w:val="18"/>
          <w:color w:val="auto"/>
        </w:rPr>
        <w:t xml:space="preserve">The results of operations for the three months ended June 29, 2014 are not necessarily indicative of the results that may be expected for the full year. References to fiscal 2014 refer to the fiscal year ended March 30, 2014 and references to fiscal 2015 refer to the fiscal year ending March 29, 2015. </w:t>
      </w:r>
      <w:r>
        <w:rPr>
          <w:rFonts w:ascii="Arial" w:cs="Arial" w:eastAsia="Arial" w:hAnsi="Arial"/>
          <w:sz w:val="18"/>
          <w:szCs w:val="18"/>
          <w:b w:val="1"/>
          <w:bCs w:val="1"/>
          <w:color w:val="auto"/>
        </w:rPr>
        <w:t>Recently Issued Accounting Pronouncements-</w:t>
      </w:r>
    </w:p>
    <w:p>
      <w:pPr>
        <w:spacing w:after="0" w:line="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In May 2014 the Financial Accounting Standards Board issued new accounting requirements for recognition of revenue from contracts with customers. The requirements of the new standard are effective for annual reporting periods beginning after December 15, 2016 (our fiscal year ended April 1, 2018), and interim periods within those annual periods. We are currently evaluating the impact of this guidance on our results of operations and financial position.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Earnings per Share</w:t>
      </w:r>
    </w:p>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Basic earnings per share (“EPS”) are computed by dividing net earnings by the weighted-average number of common shares outstanding. Diluted EPS includes the incremental shares assumed to be issued upon the exercise of stock options and the incremental shares assumed to be issued as performance units and restricted stock. Basic and diluted EPS were calculated using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tcPr>
          <w:p>
            <w:pPr>
              <w:spacing w:after="0"/>
              <w:rPr>
                <w:sz w:val="20"/>
                <w:szCs w:val="20"/>
                <w:color w:val="auto"/>
              </w:rPr>
            </w:pPr>
          </w:p>
        </w:tc>
        <w:tc>
          <w:tcPr>
            <w:tcW w:w="334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7820" w:type="dxa"/>
            <w:vAlign w:val="bottom"/>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8"/>
        </w:trPr>
        <w:tc>
          <w:tcPr>
            <w:tcW w:w="7820" w:type="dxa"/>
            <w:vAlign w:val="bottom"/>
          </w:tcPr>
          <w:p>
            <w:pPr>
              <w:spacing w:after="0"/>
              <w:rPr>
                <w:sz w:val="18"/>
                <w:szCs w:val="18"/>
                <w:color w:val="auto"/>
              </w:rPr>
            </w:pPr>
          </w:p>
        </w:tc>
        <w:tc>
          <w:tcPr>
            <w:tcW w:w="1800" w:type="dxa"/>
            <w:vAlign w:val="bottom"/>
            <w:gridSpan w:val="2"/>
          </w:tcPr>
          <w:p>
            <w:pPr>
              <w:ind w:left="500"/>
              <w:spacing w:after="0"/>
              <w:rPr>
                <w:sz w:val="20"/>
                <w:szCs w:val="20"/>
                <w:color w:val="auto"/>
              </w:rPr>
            </w:pPr>
            <w:r>
              <w:rPr>
                <w:rFonts w:ascii="Arial" w:cs="Arial" w:eastAsia="Arial" w:hAnsi="Arial"/>
                <w:sz w:val="18"/>
                <w:szCs w:val="18"/>
                <w:b w:val="1"/>
                <w:bCs w:val="1"/>
                <w:color w:val="auto"/>
              </w:rPr>
              <w:t>June 29,</w:t>
            </w:r>
          </w:p>
        </w:tc>
        <w:tc>
          <w:tcPr>
            <w:tcW w:w="154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7820" w:type="dxa"/>
            <w:vAlign w:val="bottom"/>
          </w:tcPr>
          <w:p>
            <w:pPr>
              <w:spacing w:after="0"/>
              <w:rPr>
                <w:sz w:val="20"/>
                <w:szCs w:val="20"/>
                <w:color w:val="auto"/>
              </w:rPr>
            </w:pPr>
          </w:p>
        </w:tc>
        <w:tc>
          <w:tcPr>
            <w:tcW w:w="16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r>
      <w:tr>
        <w:trPr>
          <w:trHeight w:val="27"/>
        </w:trPr>
        <w:tc>
          <w:tcPr>
            <w:tcW w:w="78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outstanding—basic</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10,570,041</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10,522,185</w:t>
            </w: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auto"/>
              </w:rPr>
              <w:t>Dilutive impact of stock options, performance units, and restricted stock</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43,697</w:t>
            </w:r>
          </w:p>
        </w:tc>
        <w:tc>
          <w:tcPr>
            <w:tcW w:w="12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45,123</w:t>
            </w:r>
          </w:p>
        </w:tc>
      </w:tr>
      <w:tr>
        <w:trPr>
          <w:trHeight w:val="27"/>
        </w:trPr>
        <w:tc>
          <w:tcPr>
            <w:tcW w:w="78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outstanding—diluted</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10,613,738</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10,567,308</w:t>
            </w:r>
          </w:p>
        </w:tc>
      </w:tr>
      <w:tr>
        <w:trPr>
          <w:trHeight w:val="20"/>
        </w:trPr>
        <w:tc>
          <w:tcPr>
            <w:tcW w:w="78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For the three months ended June 29, 2014 and June 30, 2013, there were no shares or stock options excluded from the calculation of weighted-average common shares for diluted EPS.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Combinations</w:t>
      </w:r>
    </w:p>
    <w:p>
      <w:pPr>
        <w:spacing w:after="0" w:line="229"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b w:val="1"/>
          <w:bCs w:val="1"/>
          <w:i w:val="1"/>
          <w:iCs w:val="1"/>
          <w:color w:val="auto"/>
        </w:rPr>
        <w:t>Acquisition of Advance Chemical Solutions, Inc.</w:t>
      </w:r>
      <w:r>
        <w:rPr>
          <w:rFonts w:ascii="Arial" w:cs="Arial" w:eastAsia="Arial" w:hAnsi="Arial"/>
          <w:sz w:val="16"/>
          <w:szCs w:val="16"/>
          <w:color w:val="auto"/>
        </w:rPr>
        <w:t>: On October 1, 2013, we acquired substantially all of the assets of Advance Chemical Solutions, Inc.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(“ACS”), under the terms of an asset purchase agreement with ACS and its shareholders. We paid $2.4 million in cash, and may be obligated to pay an aggregate of $0.5 million in additional consideration to ACS over the next three years based on the achievement of certain financial performance targets.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580" w:right="279" w:bottom="1440" w:gutter="0" w:footer="0" w:header="0"/>
        </w:sectPr>
      </w:pPr>
    </w:p>
    <w:bookmarkStart w:id="7" w:name="page8"/>
    <w:bookmarkEnd w:id="7"/>
    <w:p>
      <w:pPr>
        <w:ind w:right="140"/>
        <w:spacing w:after="0" w:line="264" w:lineRule="auto"/>
        <w:rPr>
          <w:sz w:val="20"/>
          <w:szCs w:val="20"/>
          <w:color w:val="auto"/>
        </w:rPr>
      </w:pPr>
      <w:r>
        <w:rPr>
          <w:rFonts w:ascii="Arial" w:cs="Arial" w:eastAsia="Arial" w:hAnsi="Arial"/>
          <w:sz w:val="18"/>
          <w:szCs w:val="18"/>
          <w:color w:val="auto"/>
        </w:rPr>
        <w:t>The acquisition was accounted for under the acquisition method of accounting, under which the total estimated purchase price is allocated to the net tangible and intangible assets of ACS acquired in connection with the acquisition, based on their estimated fair values. We estimated the fair value of the assets acquired and liabilities assumed to be $2.8 million using a discounted cash flow analysis (income approach).</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ACS had revenues of approximately $4 million for the 12 months ended September 30, 2013. The results of its operations since the acquisition date are included in our Water Treatment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Cash and Cash Equivalents and Investments</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presents information about our financial assets that are measured at fair value on a recurring basis, and indicates the fair value hierarchy of the valuation techniques utilized to determine such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29,</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1"/>
        </w:trPr>
        <w:tc>
          <w:tcPr>
            <w:tcW w:w="53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9"/>
                <w:szCs w:val="19"/>
                <w:color w:val="auto"/>
              </w:rPr>
            </w:pPr>
          </w:p>
        </w:tc>
        <w:tc>
          <w:tcPr>
            <w:tcW w:w="13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19"/>
                <w:szCs w:val="19"/>
                <w:color w:val="auto"/>
              </w:rPr>
            </w:pPr>
          </w:p>
        </w:tc>
        <w:tc>
          <w:tcPr>
            <w:tcW w:w="1480" w:type="dxa"/>
            <w:vAlign w:val="bottom"/>
            <w:gridSpan w:val="3"/>
          </w:tcPr>
          <w:p>
            <w:pPr>
              <w:ind w:left="140"/>
              <w:spacing w:after="0"/>
              <w:rPr>
                <w:sz w:val="20"/>
                <w:szCs w:val="20"/>
                <w:color w:val="auto"/>
              </w:rPr>
            </w:pPr>
            <w:r>
              <w:rPr>
                <w:rFonts w:ascii="Arial" w:cs="Arial" w:eastAsia="Arial" w:hAnsi="Arial"/>
                <w:sz w:val="18"/>
                <w:szCs w:val="18"/>
                <w:b w:val="1"/>
                <w:bCs w:val="1"/>
                <w:color w:val="auto"/>
              </w:rPr>
              <w:t>Level 2</w:t>
            </w:r>
          </w:p>
        </w:tc>
        <w:tc>
          <w:tcPr>
            <w:tcW w:w="1100" w:type="dxa"/>
            <w:vAlign w:val="bottom"/>
          </w:tcPr>
          <w:p>
            <w:pPr>
              <w:ind w:left="140"/>
              <w:spacing w:after="0"/>
              <w:rPr>
                <w:sz w:val="20"/>
                <w:szCs w:val="20"/>
                <w:color w:val="auto"/>
              </w:rPr>
            </w:pPr>
            <w:r>
              <w:rPr>
                <w:rFonts w:ascii="Arial" w:cs="Arial" w:eastAsia="Arial" w:hAnsi="Arial"/>
                <w:sz w:val="18"/>
                <w:szCs w:val="18"/>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34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21,803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21,803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gridSpan w:val="3"/>
          </w:tcPr>
          <w:p>
            <w:pPr>
              <w:ind w:left="820"/>
              <w:spacing w:after="0"/>
              <w:rPr>
                <w:sz w:val="20"/>
                <w:szCs w:val="20"/>
                <w:color w:val="auto"/>
              </w:rPr>
            </w:pPr>
            <w:r>
              <w:rPr>
                <w:rFonts w:ascii="Arial" w:cs="Arial" w:eastAsia="Arial" w:hAnsi="Arial"/>
                <w:sz w:val="18"/>
                <w:szCs w:val="18"/>
                <w:color w:val="auto"/>
              </w:rPr>
              <w:t>—   $</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Certificates of deposit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340"/>
              <w:spacing w:after="0"/>
              <w:rPr>
                <w:sz w:val="20"/>
                <w:szCs w:val="20"/>
                <w:color w:val="auto"/>
              </w:rPr>
            </w:pPr>
            <w:r>
              <w:rPr>
                <w:rFonts w:ascii="Arial" w:cs="Arial" w:eastAsia="Arial" w:hAnsi="Arial"/>
                <w:sz w:val="18"/>
                <w:szCs w:val="18"/>
                <w:color w:val="auto"/>
              </w:rPr>
              <w:t>Municipal bonds</w:t>
            </w:r>
          </w:p>
        </w:tc>
        <w:tc>
          <w:tcPr>
            <w:tcW w:w="3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4,827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4,827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30,</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1"/>
        </w:trPr>
        <w:tc>
          <w:tcPr>
            <w:tcW w:w="53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9"/>
                <w:szCs w:val="19"/>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19"/>
                <w:szCs w:val="19"/>
                <w:color w:val="auto"/>
              </w:rPr>
            </w:pPr>
          </w:p>
        </w:tc>
        <w:tc>
          <w:tcPr>
            <w:tcW w:w="1480" w:type="dxa"/>
            <w:vAlign w:val="bottom"/>
            <w:gridSpan w:val="3"/>
          </w:tcPr>
          <w:p>
            <w:pPr>
              <w:ind w:left="140"/>
              <w:spacing w:after="0"/>
              <w:rPr>
                <w:sz w:val="20"/>
                <w:szCs w:val="20"/>
                <w:color w:val="auto"/>
              </w:rPr>
            </w:pPr>
            <w:r>
              <w:rPr>
                <w:rFonts w:ascii="Arial" w:cs="Arial" w:eastAsia="Arial" w:hAnsi="Arial"/>
                <w:sz w:val="18"/>
                <w:szCs w:val="18"/>
                <w:b w:val="1"/>
                <w:bCs w:val="1"/>
                <w:color w:val="auto"/>
              </w:rPr>
              <w:t>Level 2</w:t>
            </w:r>
          </w:p>
        </w:tc>
        <w:tc>
          <w:tcPr>
            <w:tcW w:w="1100" w:type="dxa"/>
            <w:vAlign w:val="bottom"/>
          </w:tcPr>
          <w:p>
            <w:pPr>
              <w:ind w:left="140"/>
              <w:spacing w:after="0"/>
              <w:rPr>
                <w:sz w:val="20"/>
                <w:szCs w:val="20"/>
                <w:color w:val="auto"/>
              </w:rPr>
            </w:pPr>
            <w:r>
              <w:rPr>
                <w:rFonts w:ascii="Arial" w:cs="Arial" w:eastAsia="Arial" w:hAnsi="Arial"/>
                <w:sz w:val="18"/>
                <w:szCs w:val="18"/>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3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33,486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33,486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gridSpan w:val="3"/>
          </w:tcPr>
          <w:p>
            <w:pPr>
              <w:ind w:left="820"/>
              <w:spacing w:after="0"/>
              <w:rPr>
                <w:sz w:val="20"/>
                <w:szCs w:val="20"/>
                <w:color w:val="auto"/>
              </w:rPr>
            </w:pPr>
            <w:r>
              <w:rPr>
                <w:rFonts w:ascii="Arial" w:cs="Arial" w:eastAsia="Arial" w:hAnsi="Arial"/>
                <w:sz w:val="18"/>
                <w:szCs w:val="18"/>
                <w:color w:val="auto"/>
              </w:rPr>
              <w:t>—   $</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Certificates of deposit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340"/>
              <w:spacing w:after="0"/>
              <w:rPr>
                <w:sz w:val="20"/>
                <w:szCs w:val="20"/>
                <w:color w:val="auto"/>
              </w:rPr>
            </w:pPr>
            <w:r>
              <w:rPr>
                <w:rFonts w:ascii="Arial" w:cs="Arial" w:eastAsia="Arial" w:hAnsi="Arial"/>
                <w:sz w:val="18"/>
                <w:szCs w:val="18"/>
                <w:color w:val="auto"/>
              </w:rPr>
              <w:t>Municipal bonds</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5,258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5,258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financial assets that are measured at fair value on a recurring basis are certificates of deposit (“CD’s”) and municipal bonds, with original maturities ranging from three months to three years that fall within valuation technique Level 2. The CD’s and municipal bonds are classified as investments in current assets and noncurrent assets on the condensed consolidated balance sheets. As of June 29, 2014, the combined CD’s and municipal bonds had a fair value of $13.0 million in current assets and $21.0 million in noncurrent assets.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at June 29, 2014 and March 30, 2014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29,</w:t>
            </w:r>
          </w:p>
        </w:tc>
        <w:tc>
          <w:tcPr>
            <w:tcW w:w="240" w:type="dxa"/>
            <w:vAlign w:val="bottom"/>
          </w:tcPr>
          <w:p>
            <w:pPr>
              <w:spacing w:after="0"/>
              <w:rPr>
                <w:sz w:val="18"/>
                <w:szCs w:val="18"/>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30,</w:t>
            </w:r>
          </w:p>
        </w:tc>
      </w:tr>
      <w:tr>
        <w:trPr>
          <w:trHeight w:val="221"/>
        </w:trPr>
        <w:tc>
          <w:tcPr>
            <w:tcW w:w="80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9"/>
                <w:szCs w:val="19"/>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4"/>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Inventory (FIFO basis)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31,344</w:t>
            </w:r>
          </w:p>
        </w:tc>
      </w:tr>
      <w:tr>
        <w:trPr>
          <w:trHeight w:val="243"/>
        </w:trPr>
        <w:tc>
          <w:tcPr>
            <w:tcW w:w="8040" w:type="dxa"/>
            <w:vAlign w:val="bottom"/>
            <w:gridSpan w:val="3"/>
          </w:tcPr>
          <w:p>
            <w:pPr>
              <w:ind w:left="40"/>
              <w:spacing w:after="0"/>
              <w:rPr>
                <w:sz w:val="20"/>
                <w:szCs w:val="20"/>
                <w:color w:val="auto"/>
              </w:rPr>
            </w:pPr>
            <w:r>
              <w:rPr>
                <w:rFonts w:ascii="Arial" w:cs="Arial" w:eastAsia="Arial" w:hAnsi="Arial"/>
                <w:sz w:val="18"/>
                <w:szCs w:val="18"/>
                <w:color w:val="auto"/>
              </w:rPr>
              <w:t>LIFO reserve</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(5,152)</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inventory</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26,192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first in, first out (“FIFO”) value of inventories accounted for under the last in, first out (“LIFO”) method was $35.6 million at June 29, 2014 and $28.5 million at March 30, 2014. The remainder of the inventory was valued and accounted for under the FIFO method.</w:t>
      </w:r>
    </w:p>
    <w:p>
      <w:pPr>
        <w:spacing w:after="0" w:line="11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LIFO reserve increased $0.5 million during the three months ended June 29, 2014, and increased $0.2 million during the three months ended June 30, 2013. The valuation of LIFO inventory for interim periods is based on our estimates of year-end inventory levels and costs.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The carrying amount of goodwill as of June 29, 2014 and March 30, 2014 was $7.4 million.</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Intangible assets consist primarily of customer lists, trademarks, trade secrets and non-compete agreements classified as finite life and trade</w:t>
      </w:r>
      <w:r>
        <w:rPr>
          <w:rFonts w:ascii="Arial" w:cs="Arial" w:eastAsia="Arial" w:hAnsi="Arial"/>
          <w:sz w:val="18"/>
          <w:szCs w:val="18"/>
          <w:i w:val="1"/>
          <w:iCs w:val="1"/>
          <w:color w:val="auto"/>
        </w:rPr>
        <w:t xml:space="preserve"> </w:t>
      </w:r>
      <w:r>
        <w:rPr>
          <w:rFonts w:ascii="Arial" w:cs="Arial" w:eastAsia="Arial" w:hAnsi="Arial"/>
          <w:sz w:val="18"/>
          <w:szCs w:val="18"/>
          <w:color w:val="auto"/>
        </w:rPr>
        <w:t>names classified as indefinite life, related to business acquisitions. A summary of our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0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intangible assets as of June 29, 2014 and March 30, 2014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29, 2014</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w w:val="94"/>
              </w:rPr>
              <w:t>March 30, 2014</w:t>
            </w:r>
          </w:p>
        </w:tc>
        <w:tc>
          <w:tcPr>
            <w:tcW w:w="4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4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9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3"/>
                <w:szCs w:val="13"/>
                <w:color w:val="auto"/>
              </w:rPr>
            </w:pPr>
          </w:p>
        </w:tc>
        <w:tc>
          <w:tcPr>
            <w:tcW w:w="12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3"/>
                <w:szCs w:val="13"/>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3"/>
                <w:szCs w:val="13"/>
                <w:color w:val="auto"/>
              </w:rPr>
            </w:pPr>
          </w:p>
        </w:tc>
        <w:tc>
          <w:tcPr>
            <w:tcW w:w="84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Gross</w:t>
            </w:r>
          </w:p>
        </w:tc>
        <w:tc>
          <w:tcPr>
            <w:tcW w:w="300" w:type="dxa"/>
            <w:vAlign w:val="bottom"/>
          </w:tcPr>
          <w:p>
            <w:pPr>
              <w:spacing w:after="0"/>
              <w:rPr>
                <w:sz w:val="13"/>
                <w:szCs w:val="13"/>
                <w:color w:val="auto"/>
              </w:rPr>
            </w:pPr>
          </w:p>
        </w:tc>
        <w:tc>
          <w:tcPr>
            <w:tcW w:w="1160" w:type="dxa"/>
            <w:vAlign w:val="bottom"/>
            <w:gridSpan w:val="3"/>
          </w:tcPr>
          <w:p>
            <w:pPr>
              <w:jc w:val="right"/>
              <w:ind w:right="190"/>
              <w:spacing w:after="0" w:line="153" w:lineRule="exact"/>
              <w:rPr>
                <w:sz w:val="20"/>
                <w:szCs w:val="20"/>
                <w:color w:val="auto"/>
              </w:rPr>
            </w:pPr>
            <w:r>
              <w:rPr>
                <w:rFonts w:ascii="Arial" w:cs="Arial" w:eastAsia="Arial" w:hAnsi="Arial"/>
                <w:sz w:val="14"/>
                <w:szCs w:val="14"/>
                <w:b w:val="1"/>
                <w:bCs w:val="1"/>
                <w:color w:val="auto"/>
                <w:w w:val="97"/>
              </w:rPr>
              <w:t>Accumulated</w:t>
            </w:r>
          </w:p>
        </w:tc>
        <w:tc>
          <w:tcPr>
            <w:tcW w:w="440" w:type="dxa"/>
            <w:vAlign w:val="bottom"/>
          </w:tcPr>
          <w:p>
            <w:pPr>
              <w:spacing w:after="0"/>
              <w:rPr>
                <w:sz w:val="13"/>
                <w:szCs w:val="13"/>
                <w:color w:val="auto"/>
              </w:rPr>
            </w:pPr>
          </w:p>
        </w:tc>
        <w:tc>
          <w:tcPr>
            <w:tcW w:w="6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w w:val="89"/>
              </w:rPr>
              <w:t>Net</w:t>
            </w:r>
          </w:p>
        </w:tc>
        <w:tc>
          <w:tcPr>
            <w:tcW w:w="0" w:type="dxa"/>
            <w:vAlign w:val="bottom"/>
          </w:tcPr>
          <w:p>
            <w:pPr>
              <w:spacing w:after="0"/>
              <w:rPr>
                <w:sz w:val="1"/>
                <w:szCs w:val="1"/>
                <w:color w:val="auto"/>
              </w:rPr>
            </w:pPr>
          </w:p>
        </w:tc>
      </w:tr>
      <w:tr>
        <w:trPr>
          <w:trHeight w:val="158"/>
        </w:trPr>
        <w:tc>
          <w:tcPr>
            <w:tcW w:w="3840" w:type="dxa"/>
            <w:vAlign w:val="bottom"/>
            <w:gridSpan w:val="6"/>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3"/>
                <w:szCs w:val="13"/>
                <w:color w:val="auto"/>
              </w:rPr>
            </w:pPr>
          </w:p>
        </w:tc>
        <w:tc>
          <w:tcPr>
            <w:tcW w:w="126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173"/>
              <w:spacing w:after="0" w:line="158" w:lineRule="exact"/>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3"/>
                <w:szCs w:val="13"/>
                <w:color w:val="auto"/>
              </w:rPr>
            </w:pPr>
          </w:p>
        </w:tc>
        <w:tc>
          <w:tcPr>
            <w:tcW w:w="1160" w:type="dxa"/>
            <w:vAlign w:val="bottom"/>
            <w:gridSpan w:val="3"/>
          </w:tcPr>
          <w:p>
            <w:pPr>
              <w:jc w:val="right"/>
              <w:ind w:right="190"/>
              <w:spacing w:after="0" w:line="158" w:lineRule="exact"/>
              <w:rPr>
                <w:sz w:val="20"/>
                <w:szCs w:val="20"/>
                <w:color w:val="auto"/>
              </w:rPr>
            </w:pPr>
            <w:r>
              <w:rPr>
                <w:rFonts w:ascii="Arial" w:cs="Arial" w:eastAsia="Arial" w:hAnsi="Arial"/>
                <w:sz w:val="14"/>
                <w:szCs w:val="14"/>
                <w:b w:val="1"/>
                <w:bCs w:val="1"/>
                <w:color w:val="auto"/>
              </w:rPr>
              <w:t>Amortization</w:t>
            </w:r>
          </w:p>
        </w:tc>
        <w:tc>
          <w:tcPr>
            <w:tcW w:w="4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Finite-life intangible assets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4"/>
          </w:tcPr>
          <w:p>
            <w:pPr>
              <w:ind w:left="80"/>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6,913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(1,377)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5,536</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6,913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(1,292)</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5,621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Trademark</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1,335</w:t>
            </w:r>
          </w:p>
        </w:tc>
        <w:tc>
          <w:tcPr>
            <w:tcW w:w="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4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4"/>
          </w:tcPr>
          <w:p>
            <w:pPr>
              <w:ind w:left="80"/>
              <w:spacing w:after="0"/>
              <w:rPr>
                <w:sz w:val="20"/>
                <w:szCs w:val="20"/>
                <w:color w:val="auto"/>
              </w:rPr>
            </w:pPr>
            <w:r>
              <w:rPr>
                <w:rFonts w:ascii="Arial" w:cs="Arial" w:eastAsia="Arial" w:hAnsi="Arial"/>
                <w:sz w:val="18"/>
                <w:szCs w:val="18"/>
                <w:color w:val="auto"/>
              </w:rPr>
              <w:t>Trade secrets</w:t>
            </w:r>
          </w:p>
        </w:tc>
        <w:tc>
          <w:tcPr>
            <w:tcW w:w="1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962</w:t>
            </w: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(768)</w:t>
            </w:r>
          </w:p>
        </w:tc>
        <w:tc>
          <w:tcPr>
            <w:tcW w:w="44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Carrier relationships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800</w:t>
            </w:r>
          </w:p>
        </w:tc>
        <w:tc>
          <w:tcPr>
            <w:tcW w:w="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4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4"/>
          </w:tcPr>
          <w:p>
            <w:pPr>
              <w:ind w:left="80"/>
              <w:spacing w:after="0"/>
              <w:rPr>
                <w:sz w:val="20"/>
                <w:szCs w:val="20"/>
                <w:color w:val="auto"/>
              </w:rPr>
            </w:pPr>
            <w:r>
              <w:rPr>
                <w:rFonts w:ascii="Arial" w:cs="Arial" w:eastAsia="Arial" w:hAnsi="Arial"/>
                <w:sz w:val="18"/>
                <w:szCs w:val="18"/>
                <w:color w:val="auto"/>
              </w:rPr>
              <w:t>Other finite-life intangible assets</w:t>
            </w:r>
          </w:p>
        </w:tc>
        <w:tc>
          <w:tcPr>
            <w:tcW w:w="1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341</w:t>
            </w: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(331)</w:t>
            </w:r>
          </w:p>
        </w:tc>
        <w:tc>
          <w:tcPr>
            <w:tcW w:w="44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finite-life intangible assets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7,100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10,351</w:t>
            </w:r>
          </w:p>
        </w:tc>
        <w:tc>
          <w:tcPr>
            <w:tcW w:w="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(3,069)</w:t>
            </w:r>
          </w:p>
        </w:tc>
        <w:tc>
          <w:tcPr>
            <w:tcW w:w="4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7,282</w:t>
            </w:r>
          </w:p>
        </w:tc>
        <w:tc>
          <w:tcPr>
            <w:tcW w:w="0" w:type="dxa"/>
            <w:vAlign w:val="bottom"/>
          </w:tcPr>
          <w:p>
            <w:pPr>
              <w:spacing w:after="0"/>
              <w:rPr>
                <w:sz w:val="1"/>
                <w:szCs w:val="1"/>
                <w:color w:val="auto"/>
              </w:rPr>
            </w:pPr>
          </w:p>
        </w:tc>
      </w:tr>
      <w:tr>
        <w:trPr>
          <w:trHeight w:val="243"/>
        </w:trPr>
        <w:tc>
          <w:tcPr>
            <w:tcW w:w="3840" w:type="dxa"/>
            <w:vAlign w:val="bottom"/>
            <w:gridSpan w:val="6"/>
          </w:tcPr>
          <w:p>
            <w:pPr>
              <w:ind w:left="40"/>
              <w:spacing w:after="0"/>
              <w:rPr>
                <w:sz w:val="20"/>
                <w:szCs w:val="20"/>
                <w:color w:val="auto"/>
              </w:rPr>
            </w:pPr>
            <w:r>
              <w:rPr>
                <w:rFonts w:ascii="Arial" w:cs="Arial" w:eastAsia="Arial" w:hAnsi="Arial"/>
                <w:sz w:val="18"/>
                <w:szCs w:val="18"/>
                <w:color w:val="auto"/>
              </w:rPr>
              <w:t>Indefinite-life intangible assets</w:t>
            </w:r>
          </w:p>
        </w:tc>
        <w:tc>
          <w:tcPr>
            <w:tcW w:w="1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1,227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1,227</w:t>
            </w: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11,578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8,327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11,578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(3,069)</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40" w:type="dxa"/>
            <w:vAlign w:val="bottom"/>
            <w:gridSpan w:val="6"/>
          </w:tcPr>
          <w:p>
            <w:pPr>
              <w:spacing w:after="0"/>
              <w:rPr>
                <w:sz w:val="20"/>
                <w:szCs w:val="20"/>
                <w:color w:val="auto"/>
              </w:rPr>
            </w:pPr>
            <w:r>
              <w:rPr>
                <w:rFonts w:ascii="Arial" w:cs="Arial" w:eastAsia="Arial" w:hAnsi="Arial"/>
                <w:sz w:val="18"/>
                <w:szCs w:val="18"/>
                <w:b w:val="1"/>
                <w:bCs w:val="1"/>
                <w:color w:val="auto"/>
                <w:w w:val="89"/>
              </w:rPr>
              <w:t>Note 7 – Accumulated Other Comprehensive Loss</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20" w:type="dxa"/>
            <w:vAlign w:val="bottom"/>
            <w:gridSpan w:val="15"/>
          </w:tcPr>
          <w:p>
            <w:pPr>
              <w:spacing w:after="0"/>
              <w:rPr>
                <w:sz w:val="20"/>
                <w:szCs w:val="20"/>
                <w:color w:val="auto"/>
              </w:rPr>
            </w:pPr>
            <w:r>
              <w:rPr>
                <w:rFonts w:ascii="Arial" w:cs="Arial" w:eastAsia="Arial" w:hAnsi="Arial"/>
                <w:sz w:val="18"/>
                <w:szCs w:val="18"/>
                <w:color w:val="auto"/>
                <w:w w:val="91"/>
              </w:rPr>
              <w:t>Components of accumulated other comprehensive loss on our balance sheet, net of tax, were as follows:</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June 29,</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March 30,</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54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2014</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60" w:type="dxa"/>
            <w:vAlign w:val="bottom"/>
            <w:tcBorders>
              <w:right w:val="single" w:sz="8" w:color="CCEEFF"/>
            </w:tcBorders>
          </w:tcPr>
          <w:p>
            <w:pPr>
              <w:spacing w:after="0"/>
              <w:rPr>
                <w:sz w:val="21"/>
                <w:szCs w:val="21"/>
                <w:color w:val="auto"/>
              </w:rPr>
            </w:pPr>
          </w:p>
        </w:tc>
        <w:tc>
          <w:tcPr>
            <w:tcW w:w="35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Unrealized loss on:</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4"/>
          </w:tcPr>
          <w:p>
            <w:pPr>
              <w:ind w:left="340"/>
              <w:spacing w:after="0"/>
              <w:rPr>
                <w:sz w:val="20"/>
                <w:szCs w:val="20"/>
                <w:color w:val="auto"/>
              </w:rPr>
            </w:pPr>
            <w:r>
              <w:rPr>
                <w:rFonts w:ascii="Arial" w:cs="Arial" w:eastAsia="Arial" w:hAnsi="Arial"/>
                <w:sz w:val="18"/>
                <w:szCs w:val="18"/>
                <w:color w:val="auto"/>
              </w:rPr>
              <w:t>Available-for-sale investments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633"/>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66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260" w:type="dxa"/>
            <w:vAlign w:val="bottom"/>
            <w:tcBorders>
              <w:right w:val="single" w:sz="8" w:color="CCEEFF"/>
            </w:tcBorders>
          </w:tcPr>
          <w:p>
            <w:pPr>
              <w:spacing w:after="0"/>
              <w:rPr>
                <w:sz w:val="23"/>
                <w:szCs w:val="23"/>
                <w:color w:val="auto"/>
              </w:rPr>
            </w:pPr>
          </w:p>
        </w:tc>
        <w:tc>
          <w:tcPr>
            <w:tcW w:w="354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Post-retirement plan liability</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top w:val="single" w:sz="8" w:color="auto"/>
            </w:tcBorders>
          </w:tcPr>
          <w:p>
            <w:pPr>
              <w:jc w:val="right"/>
              <w:ind w:right="633"/>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Share-Based Compensation</w:t>
      </w:r>
    </w:p>
    <w:p>
      <w:pPr>
        <w:spacing w:after="0" w:line="175"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i w:val="1"/>
          <w:iCs w:val="1"/>
          <w:color w:val="auto"/>
        </w:rPr>
        <w:t xml:space="preserve">Performance-Based Restricted Stock Units. </w:t>
      </w:r>
      <w:r>
        <w:rPr>
          <w:rFonts w:ascii="Arial" w:cs="Arial" w:eastAsia="Arial" w:hAnsi="Arial"/>
          <w:sz w:val="17"/>
          <w:szCs w:val="17"/>
          <w:color w:val="auto"/>
        </w:rPr>
        <w:t>Our Board of Directors (“the Board”) approved a performance-based equity compensation arrangement for our</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officers during the first quarters of each of fiscal 2015 and 2014. These performance-based arrangements provide for the grant of performance-based restricted stock units that represent a possible future issuance of restricted shares of our common stock based on a pre-tax income target for the applicable fiscal year. The actual number of restricted shares to be issued to each executive officer is determined when our final financial information becomes available after the applicable fiscal year and will be between zero shares and 50,874 shares in the aggregate for fiscal 2015. The restricted shares issued will fully vest two years after the last day of the fiscal year on which the performance is based. We are recording the compensation expense for the outstanding performance share units and the converted restricted stock over the life of the awards.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restricted stock activity for the three months ended June 29, 2014:</w:t>
      </w:r>
    </w:p>
    <w:p>
      <w:pPr>
        <w:spacing w:after="0" w:line="150"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center"/>
              <w:ind w:right="15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146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146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center"/>
              <w:ind w:right="157"/>
              <w:spacing w:after="0"/>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250"/>
        </w:trPr>
        <w:tc>
          <w:tcPr>
            <w:tcW w:w="7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beginning of period</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52,104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36.99</w:t>
            </w:r>
          </w:p>
        </w:tc>
        <w:tc>
          <w:tcPr>
            <w:tcW w:w="0" w:type="dxa"/>
            <w:vAlign w:val="bottom"/>
          </w:tcPr>
          <w:p>
            <w:pPr>
              <w:spacing w:after="0"/>
              <w:rPr>
                <w:sz w:val="1"/>
                <w:szCs w:val="1"/>
                <w:color w:val="auto"/>
              </w:rPr>
            </w:pP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24,932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34.45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Forfeited or expired</w:t>
            </w:r>
          </w:p>
        </w:tc>
        <w:tc>
          <w:tcPr>
            <w:tcW w:w="136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end of period</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53,580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37.55</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recorded compensation expense of $0.3 million related to performance share units and restricted stock for the three months ended June 29, 2014. We recorded compensation expense of $0.1 million related to performance share units and restricted stock for the three months ended June 30, 2013. Substantially all of the compensation expense was recorded in selling, general and administrative expenses in the condensed consolidated statements of income.</w:t>
      </w:r>
    </w:p>
    <w:p>
      <w:pPr>
        <w:spacing w:after="0" w:line="14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 xml:space="preserve">Restricted Stock Awards. </w:t>
      </w:r>
      <w:r>
        <w:rPr>
          <w:rFonts w:ascii="Arial" w:cs="Arial" w:eastAsia="Arial" w:hAnsi="Arial"/>
          <w:sz w:val="18"/>
          <w:szCs w:val="18"/>
          <w:color w:val="auto"/>
        </w:rPr>
        <w:t>As part of their retainer, each non-employee director receives an annual grant of restricted stock for their Board services.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awards are expensed over the requisite vesting period, which is one year from the date of issuance, based on the market value on the date of grant. As of June 29, 2014, there were 6,055 shares of restricted stock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6" w:right="239" w:bottom="1440" w:gutter="0" w:footer="0" w:header="0"/>
        </w:sectPr>
      </w:pPr>
    </w:p>
    <w:bookmarkStart w:id="9" w:name="page10"/>
    <w:bookmarkEnd w:id="9"/>
    <w:p>
      <w:pPr>
        <w:ind w:right="260"/>
        <w:spacing w:after="0" w:line="277" w:lineRule="auto"/>
        <w:rPr>
          <w:sz w:val="20"/>
          <w:szCs w:val="20"/>
          <w:color w:val="auto"/>
        </w:rPr>
      </w:pPr>
      <w:r>
        <w:rPr>
          <w:rFonts w:ascii="Arial" w:cs="Arial" w:eastAsia="Arial" w:hAnsi="Arial"/>
          <w:sz w:val="18"/>
          <w:szCs w:val="18"/>
          <w:color w:val="auto"/>
        </w:rPr>
        <w:t>with a weighted averaged grant date fair value of $40.42 outstanding under this program. Compensation expense for the three months ended June 29, 2014 and June 30, 2013 related to restricted stock awards to the Board was $0.1 million.</w:t>
      </w:r>
    </w:p>
    <w:p>
      <w:pPr>
        <w:spacing w:after="0" w:line="25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 xml:space="preserve">Stock Option Awards. </w:t>
      </w:r>
      <w:r>
        <w:rPr>
          <w:rFonts w:ascii="Arial" w:cs="Arial" w:eastAsia="Arial" w:hAnsi="Arial"/>
          <w:sz w:val="17"/>
          <w:szCs w:val="17"/>
          <w:color w:val="auto"/>
        </w:rPr>
        <w:t>The Board previously approved a long-term incentive equity compensation arrangement for our executive officers that provided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grant of non-qualified stock options that vested at the end of a three-year period, although no stock options have been granted since our fiscal year ended March 28, 2010. As of June 29, 2014, we had 9,333 stock options outstanding and exercisable at a weighted average exercise price of $19.90. No expense was recorded for the three months ended June 29, 2014 and June 30, 2013 related to the value of stock options.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Share Repurchase Program</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May 29, 2014, our Board of Directors authorized a share repurchase program of up to 300,000 shares of our outstanding common shares. Under the program, we are authorized to repurchase shares for cash on the open market or in privately negotiated transactions subject to applicable securities laws and regulations. Upon repurchase of the shares, we reduced our common stock for the par value of the shares with the excess applied against additional paid-in capital.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fiscal 2015 we repurchased 39,170 shares of common stock with an aggregate value of $1.4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Litigation, Commitments and Contingencies</w:t>
      </w:r>
    </w:p>
    <w:p>
      <w:pPr>
        <w:spacing w:after="0" w:line="225" w:lineRule="exact"/>
        <w:rPr>
          <w:sz w:val="20"/>
          <w:szCs w:val="20"/>
          <w:color w:val="auto"/>
        </w:rPr>
      </w:pPr>
    </w:p>
    <w:p>
      <w:pPr>
        <w:ind w:right="400"/>
        <w:spacing w:after="0" w:line="313" w:lineRule="auto"/>
        <w:rPr>
          <w:sz w:val="20"/>
          <w:szCs w:val="20"/>
          <w:color w:val="auto"/>
        </w:rPr>
      </w:pPr>
      <w:r>
        <w:rPr>
          <w:rFonts w:ascii="Arial" w:cs="Arial" w:eastAsia="Arial" w:hAnsi="Arial"/>
          <w:sz w:val="17"/>
          <w:szCs w:val="17"/>
          <w:b w:val="1"/>
          <w:bCs w:val="1"/>
          <w:i w:val="1"/>
          <w:iCs w:val="1"/>
          <w:color w:val="auto"/>
        </w:rPr>
        <w:t xml:space="preserve">Litigation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There are no material pending legal proceedings, other than ordinary routine litigation incidental to the business, to which we or any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subsidiaries are a party or of which any of our property is the subject. Legal fees associated with such matters are expensed as incurred.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9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two reportable segments: Industrial and Water Treatment. The accounting policies of the segments are the same as those described in the summary of significant accounting policies as disclosed in our fiscal 2014 Annual Report on Form 10-K. Product costs and expenses for each segment are based on actual costs incurred along with cost allocation of shared and centralized functions. We evaluate performance based on profit or loss from operations before income taxes not including nonrecurring gains and losses. Reportable segments are defined primarily by product and type of customer. Segments are responsible for the sales, marketing and development of their products and services. The segments do not have separate accounting, administration, customer service or purchasing functions. There are no intersegment sales and no operating segments have been aggregated. Given the nature of our business, it is not practical to disclose revenues from external customers for each product or each group of similar products. No single customer’s revenues amounted to 10% or more of our total revenue. Sales are primarily within the United States and all assets are located within the United States.</w:t>
      </w:r>
    </w:p>
    <w:p>
      <w:pPr>
        <w:spacing w:after="0" w:line="297"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Water</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1"/>
        </w:trPr>
        <w:tc>
          <w:tcPr>
            <w:tcW w:w="436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Treatment</w:t>
            </w:r>
          </w:p>
        </w:tc>
        <w:tc>
          <w:tcPr>
            <w:tcW w:w="30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4"/>
        </w:trPr>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Three months ended June 29, 2014:</w:t>
            </w:r>
          </w:p>
        </w:tc>
        <w:tc>
          <w:tcPr>
            <w:tcW w:w="1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340" w:type="dxa"/>
            <w:vAlign w:val="bottom"/>
            <w:gridSpan w:val="2"/>
          </w:tcPr>
          <w:p>
            <w:pPr>
              <w:ind w:left="360"/>
              <w:spacing w:after="0"/>
              <w:rPr>
                <w:sz w:val="20"/>
                <w:szCs w:val="20"/>
                <w:color w:val="auto"/>
              </w:rPr>
            </w:pPr>
            <w:r>
              <w:rPr>
                <w:rFonts w:ascii="Arial" w:cs="Arial" w:eastAsia="Arial" w:hAnsi="Arial"/>
                <w:sz w:val="18"/>
                <w:szCs w:val="18"/>
                <w:color w:val="auto"/>
              </w:rPr>
              <w:t>Sales</w:t>
            </w:r>
          </w:p>
        </w:tc>
        <w:tc>
          <w:tcPr>
            <w:tcW w:w="1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67,546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30,490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98,036</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18,496</w:t>
            </w:r>
          </w:p>
        </w:tc>
      </w:tr>
      <w:tr>
        <w:trPr>
          <w:trHeight w:val="243"/>
        </w:trPr>
        <w:tc>
          <w:tcPr>
            <w:tcW w:w="20" w:type="dxa"/>
            <w:vAlign w:val="bottom"/>
          </w:tcPr>
          <w:p>
            <w:pPr>
              <w:spacing w:after="0"/>
              <w:rPr>
                <w:sz w:val="21"/>
                <w:szCs w:val="21"/>
                <w:color w:val="auto"/>
              </w:rPr>
            </w:pPr>
          </w:p>
        </w:tc>
        <w:tc>
          <w:tcPr>
            <w:tcW w:w="4340" w:type="dxa"/>
            <w:vAlign w:val="bottom"/>
            <w:gridSpan w:val="2"/>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5,099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8,875</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9,621</w:t>
            </w:r>
          </w:p>
        </w:tc>
      </w:tr>
      <w:tr>
        <w:trPr>
          <w:trHeight w:val="243"/>
        </w:trPr>
        <w:tc>
          <w:tcPr>
            <w:tcW w:w="4360" w:type="dxa"/>
            <w:vAlign w:val="bottom"/>
            <w:gridSpan w:val="3"/>
          </w:tcPr>
          <w:p>
            <w:pPr>
              <w:ind w:left="20"/>
              <w:spacing w:after="0"/>
              <w:rPr>
                <w:sz w:val="20"/>
                <w:szCs w:val="20"/>
                <w:color w:val="auto"/>
              </w:rPr>
            </w:pPr>
            <w:r>
              <w:rPr>
                <w:rFonts w:ascii="Arial" w:cs="Arial" w:eastAsia="Arial" w:hAnsi="Arial"/>
                <w:sz w:val="18"/>
                <w:szCs w:val="18"/>
                <w:color w:val="auto"/>
              </w:rPr>
              <w:t>Three months ended June 30, 2013:</w:t>
            </w:r>
          </w:p>
        </w:tc>
        <w:tc>
          <w:tcPr>
            <w:tcW w:w="1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1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94,744</w:t>
            </w:r>
          </w:p>
        </w:tc>
      </w:tr>
      <w:tr>
        <w:trPr>
          <w:trHeight w:val="243"/>
        </w:trPr>
        <w:tc>
          <w:tcPr>
            <w:tcW w:w="20" w:type="dxa"/>
            <w:vAlign w:val="bottom"/>
          </w:tcPr>
          <w:p>
            <w:pPr>
              <w:spacing w:after="0"/>
              <w:rPr>
                <w:sz w:val="21"/>
                <w:szCs w:val="21"/>
                <w:color w:val="auto"/>
              </w:rPr>
            </w:pPr>
          </w:p>
        </w:tc>
        <w:tc>
          <w:tcPr>
            <w:tcW w:w="4340" w:type="dxa"/>
            <w:vAlign w:val="bottom"/>
            <w:gridSpan w:val="2"/>
          </w:tcPr>
          <w:p>
            <w:pPr>
              <w:ind w:left="360"/>
              <w:spacing w:after="0"/>
              <w:rPr>
                <w:sz w:val="20"/>
                <w:szCs w:val="20"/>
                <w:color w:val="auto"/>
              </w:rPr>
            </w:pPr>
            <w:r>
              <w:rPr>
                <w:rFonts w:ascii="Arial" w:cs="Arial" w:eastAsia="Arial" w:hAnsi="Arial"/>
                <w:sz w:val="18"/>
                <w:szCs w:val="18"/>
                <w:color w:val="auto"/>
              </w:rPr>
              <w:t>Gross profit</w:t>
            </w:r>
          </w:p>
        </w:tc>
        <w:tc>
          <w:tcPr>
            <w:tcW w:w="1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9,222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8,009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17,231</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8,970</w:t>
            </w:r>
          </w:p>
        </w:tc>
      </w:tr>
      <w:tr>
        <w:trPr>
          <w:trHeight w:val="243"/>
        </w:trPr>
        <w:tc>
          <w:tcPr>
            <w:tcW w:w="20" w:type="dxa"/>
            <w:vAlign w:val="bottom"/>
          </w:tcPr>
          <w:p>
            <w:pPr>
              <w:spacing w:after="0"/>
              <w:rPr>
                <w:sz w:val="21"/>
                <w:szCs w:val="21"/>
                <w:color w:val="auto"/>
              </w:rPr>
            </w:pPr>
          </w:p>
        </w:tc>
        <w:tc>
          <w:tcPr>
            <w:tcW w:w="4340" w:type="dxa"/>
            <w:vAlign w:val="bottom"/>
            <w:gridSpan w:val="2"/>
          </w:tcPr>
          <w:p>
            <w:pPr>
              <w:ind w:left="360"/>
              <w:spacing w:after="0"/>
              <w:rPr>
                <w:sz w:val="20"/>
                <w:szCs w:val="20"/>
                <w:color w:val="auto"/>
              </w:rPr>
            </w:pPr>
            <w:r>
              <w:rPr>
                <w:rFonts w:ascii="Arial" w:cs="Arial" w:eastAsia="Arial" w:hAnsi="Arial"/>
                <w:sz w:val="18"/>
                <w:szCs w:val="18"/>
                <w:color w:val="auto"/>
              </w:rPr>
              <w:t>Operating income</w:t>
            </w:r>
          </w:p>
        </w:tc>
        <w:tc>
          <w:tcPr>
            <w:tcW w:w="1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4,473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8,261</w:t>
            </w:r>
          </w:p>
        </w:tc>
      </w:tr>
      <w:tr>
        <w:trPr>
          <w:trHeight w:val="486"/>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780" w:type="dxa"/>
            <w:vAlign w:val="bottom"/>
          </w:tcPr>
          <w:p>
            <w:pPr>
              <w:jc w:val="right"/>
              <w:ind w:right="77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0" w:name="page11"/>
    <w:bookmarkEnd w:id="10"/>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is a discussion and analysis of our financial condition and results of operations for the three months ended June 29, 2014 as compared to the three months ended June 30, 2013. This discussion should be read in conjunction with the Condensed Consolidated Financial Statements and Notes to Condensed Consolidated Financial Statements included in this Form 10-Q and Item 8 of our Annual Report on Form 10-K for the fiscal year ended March 30, 2014 (“fiscal 2014”). References to fiscal 2015 refer to the fiscal year ending March 29, 2015.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We derive substantially all of our revenues from the sale of chemicals to our customers in a wide variety of industries. We began our operations primarily as a distributor of bulk chemicals with a strong customer focus. Over the years, we have maintained the strong customer focus and have expanded our business by increasing our sales of value-added chemical products, including repackaging, blending, manufacturing and diluting certain products.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fiscal 2014, we exited a leased facility used to serve our bulk pharmaceutical customers. As a result, in the first quarter of fiscal 2014 we recorded a pre-tax charge of approximately $0.4 million in cost of sales in our Industrial segment (approximately $0.2 million after tax) primarily related to accelerated depreciation charges related to exiting this facility.</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the third quarter of fiscal 2014, we acquired substantially all the assets of Advance Chemical Solutions, Inc. (“ACS”), under the terms of an asset purchase agreement with ACS and its shareholders. We paid $2.4 million in cash, and may be obligated to pay an aggregate of $0.5 million in additional consideration to ACS over the next three years depending upon the achievement of certain financial performance targets. ACS had revenues of approximately $4 million for the 12 months ended September 30, 2013. The results of its operations since the acquisition date are included in our Water Treatment segment.</w:t>
      </w:r>
    </w:p>
    <w:p>
      <w:pPr>
        <w:spacing w:after="0" w:line="154"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On May 29, 2014, our Board of Directors authorized a share repurchase program of up to 300,000 shares of our outstanding common stock. The shares may be repurchased on the open market or in privately negotiated transactions subject to applicable securities laws and regulations. The primary objective of the share repurchase program is to offset the impact of dilution from issuances relating to employee and director equity grants and our employee stock purchase program. During the first quarter of fiscal 2015, we repurchased 39,170 shares of common stock for an aggregate price of $1.4 million.</w:t>
      </w:r>
    </w:p>
    <w:p>
      <w:pPr>
        <w:spacing w:after="0" w:line="154"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We use the last in, first out (“LIFO”) method for valuing substantially all our inventory, which causes the most recent product costs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chemical raw material prices. We recorded a $0.5 million increase in our LIFO reserve for the three months ended June 29, 2014 and a $0.2 million increase in our LIFO reserve for the three months ended June 30, 2013, decreasing our reported gross profit for both of these periods.</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disclose the sales of our bulk commodity products as a percentage of total sales dollars. We define bulk commodity products to consist of products that we do not modify in any way, but receive, store, and ship from our facilities, or direct ship to our customers in large quantities.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w:t>
      </w:r>
    </w:p>
    <w:p>
      <w:pPr>
        <w:spacing w:after="0" w:line="356"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3440" w:type="dxa"/>
            <w:vAlign w:val="bottom"/>
            <w:gridSpan w:val="4"/>
          </w:tcPr>
          <w:p>
            <w:pPr>
              <w:ind w:left="88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772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720" w:type="dxa"/>
            <w:vAlign w:val="bottom"/>
          </w:tcPr>
          <w:p>
            <w:pPr>
              <w:spacing w:after="0"/>
              <w:rPr>
                <w:sz w:val="20"/>
                <w:szCs w:val="20"/>
                <w:color w:val="auto"/>
              </w:rPr>
            </w:pPr>
          </w:p>
        </w:tc>
        <w:tc>
          <w:tcPr>
            <w:tcW w:w="1760" w:type="dxa"/>
            <w:vAlign w:val="bottom"/>
            <w:gridSpan w:val="2"/>
          </w:tcPr>
          <w:p>
            <w:pPr>
              <w:ind w:left="300"/>
              <w:spacing w:after="0"/>
              <w:rPr>
                <w:sz w:val="20"/>
                <w:szCs w:val="20"/>
                <w:color w:val="auto"/>
              </w:rPr>
            </w:pPr>
            <w:r>
              <w:rPr>
                <w:rFonts w:ascii="Arial" w:cs="Arial" w:eastAsia="Arial" w:hAnsi="Arial"/>
                <w:sz w:val="18"/>
                <w:szCs w:val="18"/>
                <w:b w:val="1"/>
                <w:bCs w:val="1"/>
                <w:color w:val="auto"/>
              </w:rPr>
              <w:t>June 29, 2014</w:t>
            </w:r>
          </w:p>
        </w:tc>
        <w:tc>
          <w:tcPr>
            <w:tcW w:w="1680" w:type="dxa"/>
            <w:vAlign w:val="bottom"/>
            <w:gridSpan w:val="2"/>
          </w:tcPr>
          <w:p>
            <w:pPr>
              <w:ind w:left="260"/>
              <w:spacing w:after="0"/>
              <w:rPr>
                <w:sz w:val="20"/>
                <w:szCs w:val="20"/>
                <w:color w:val="auto"/>
              </w:rPr>
            </w:pPr>
            <w:r>
              <w:rPr>
                <w:rFonts w:ascii="Arial" w:cs="Arial" w:eastAsia="Arial" w:hAnsi="Arial"/>
                <w:sz w:val="18"/>
                <w:szCs w:val="18"/>
                <w:b w:val="1"/>
                <w:bCs w:val="1"/>
                <w:color w:val="auto"/>
              </w:rPr>
              <w:t>June 30, 2013</w:t>
            </w:r>
          </w:p>
        </w:tc>
      </w:tr>
      <w:tr>
        <w:trPr>
          <w:trHeight w:val="27"/>
        </w:trPr>
        <w:tc>
          <w:tcPr>
            <w:tcW w:w="77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4"/>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660" w:type="dxa"/>
            <w:vAlign w:val="bottom"/>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1"/>
                <w:szCs w:val="21"/>
                <w:color w:val="auto"/>
              </w:rPr>
            </w:pPr>
          </w:p>
        </w:tc>
      </w:tr>
      <w:tr>
        <w:trPr>
          <w:trHeight w:val="27"/>
        </w:trPr>
        <w:tc>
          <w:tcPr>
            <w:tcW w:w="77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18.2 %</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6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r>
      <w:tr>
        <w:trPr>
          <w:trHeight w:val="27"/>
        </w:trPr>
        <w:tc>
          <w:tcPr>
            <w:tcW w:w="77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4"/>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Interest (expense) income</w:t>
            </w:r>
          </w:p>
        </w:tc>
        <w:tc>
          <w:tcPr>
            <w:tcW w:w="1760" w:type="dxa"/>
            <w:vAlign w:val="bottom"/>
            <w:gridSpan w:val="2"/>
          </w:tcPr>
          <w:p>
            <w:pPr>
              <w:ind w:left="1220"/>
              <w:spacing w:after="0"/>
              <w:rPr>
                <w:sz w:val="20"/>
                <w:szCs w:val="20"/>
                <w:color w:val="auto"/>
              </w:rPr>
            </w:pPr>
            <w:r>
              <w:rPr>
                <w:rFonts w:ascii="Arial" w:cs="Arial" w:eastAsia="Arial" w:hAnsi="Arial"/>
                <w:sz w:val="18"/>
                <w:szCs w:val="18"/>
                <w:color w:val="auto"/>
              </w:rPr>
              <w:t>— %</w:t>
            </w:r>
          </w:p>
        </w:tc>
        <w:tc>
          <w:tcPr>
            <w:tcW w:w="1680" w:type="dxa"/>
            <w:vAlign w:val="bottom"/>
            <w:gridSpan w:val="2"/>
          </w:tcPr>
          <w:p>
            <w:pPr>
              <w:ind w:left="1140"/>
              <w:spacing w:after="0"/>
              <w:rPr>
                <w:sz w:val="20"/>
                <w:szCs w:val="20"/>
                <w:color w:val="auto"/>
              </w:rPr>
            </w:pPr>
            <w:r>
              <w:rPr>
                <w:rFonts w:ascii="Arial" w:cs="Arial" w:eastAsia="Arial" w:hAnsi="Arial"/>
                <w:sz w:val="18"/>
                <w:szCs w:val="18"/>
                <w:color w:val="auto"/>
              </w:rPr>
              <w:t>— %</w:t>
            </w:r>
          </w:p>
        </w:tc>
      </w:tr>
      <w:tr>
        <w:trPr>
          <w:trHeight w:val="27"/>
        </w:trPr>
        <w:tc>
          <w:tcPr>
            <w:tcW w:w="77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4"/>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16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r>
      <w:tr>
        <w:trPr>
          <w:trHeight w:val="27"/>
        </w:trPr>
        <w:tc>
          <w:tcPr>
            <w:tcW w:w="77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69"/>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740"/>
        <w:spacing w:after="0" w:line="438" w:lineRule="auto"/>
        <w:rPr>
          <w:sz w:val="20"/>
          <w:szCs w:val="20"/>
          <w:color w:val="auto"/>
        </w:rPr>
      </w:pPr>
      <w:r>
        <w:rPr>
          <w:rFonts w:ascii="Arial" w:cs="Arial" w:eastAsia="Arial" w:hAnsi="Arial"/>
          <w:sz w:val="18"/>
          <w:szCs w:val="18"/>
          <w:b w:val="1"/>
          <w:bCs w:val="1"/>
          <w:i w:val="1"/>
          <w:iCs w:val="1"/>
          <w:color w:val="auto"/>
        </w:rPr>
        <w:t xml:space="preserve">Three Months Ended June 29, 2014 Compared to the Three Months Ended June 30, 2013 </w:t>
      </w:r>
      <w:r>
        <w:rPr>
          <w:rFonts w:ascii="Arial" w:cs="Arial" w:eastAsia="Arial" w:hAnsi="Arial"/>
          <w:sz w:val="18"/>
          <w:szCs w:val="18"/>
          <w:i w:val="1"/>
          <w:iCs w:val="1"/>
          <w:color w:val="auto"/>
        </w:rPr>
        <w:t>Sales</w:t>
      </w:r>
    </w:p>
    <w:p>
      <w:pPr>
        <w:spacing w:after="0" w:line="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Sales increased $3.3 million, or 3.5%, to $98.0 million for the three months ended June 29, 2014, as compared to $94.7 million for the same period of the prior year. Sales of bulk commodity products accounted for approximately 19% of sales dollars during the three months ended June 29, 2014, as compared to 21% for the three months ended June 30, 2013.</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increased $0.5 million, or 0.8%, to $67.5 million for the three months ended June 29, 2014, as compared to $67.0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same period of the prior year. Our overall volumes increased from the same period a year ago, however competitive pricing pressures resulted in lower per-unit selling prices.</w:t>
      </w:r>
    </w:p>
    <w:p>
      <w:pPr>
        <w:spacing w:after="0" w:line="12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$2.8 million, or 10.0%, to $30.5 million, as compared to $27.7 million for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of the prior year. The increased sales were primarily driven by growth in our newer branches, including the newly-acquired Oklahoma branch, as well as increased sales across most of this segment’s specialty chemical product lines.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Gross profit increased $1.3 million to $18.5 million, or 18.9% of sales, for the three months ended June 29, 2014, as compared to $17.2 million, or 18.2% of sales, for the same period of the prior year. Gross profit in the Industrial segment increased $0.1 million, and gross profit in the Water Treatment segment increased $1.1 million. The LIFO method of valuing inventory decreased gross profit by $0.5 million for the first quarter of fiscal 2015 and decreased gross profit by $0.2 million during the first quarter of fiscal 2014.</w:t>
      </w:r>
    </w:p>
    <w:p>
      <w:pPr>
        <w:spacing w:after="0" w:line="13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was $9.4 million, or 13.9% of sales, for the three months ended June 29, 2014,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$9.2 million, or 13.8% of sales, for the same period of the prior year. Lower per-unit margins due to continued competitive pricing pressures were largely offset by higher sales volumes compared to the first quarter of the prior year. Gross profit for the first quarter of fiscal 2014 was negatively impacted by $0.4 million of accelerated depreciation charges related to exiting a leased facility used to serve our bulk pharmaceutical customers. The LIFO method of valuing inventory decreased gross profit in this segment by $0.4 million for the first quarter of fiscal 2015 and decreased gross profit by $0.2 million for the first quarter of fiscal 2014.</w:t>
      </w:r>
    </w:p>
    <w:p>
      <w:pPr>
        <w:spacing w:after="0" w:line="139" w:lineRule="exact"/>
        <w:rPr>
          <w:sz w:val="20"/>
          <w:szCs w:val="20"/>
          <w:color w:val="auto"/>
        </w:rPr>
      </w:pPr>
    </w:p>
    <w:p>
      <w:pPr>
        <w:jc w:val="both"/>
        <w:ind w:right="260"/>
        <w:spacing w:after="0" w:line="279" w:lineRule="auto"/>
        <w:rPr>
          <w:sz w:val="20"/>
          <w:szCs w:val="20"/>
          <w:color w:val="auto"/>
        </w:rPr>
      </w:pPr>
      <w:r>
        <w:rPr>
          <w:rFonts w:ascii="Arial" w:cs="Arial" w:eastAsia="Arial" w:hAnsi="Arial"/>
          <w:sz w:val="17"/>
          <w:szCs w:val="17"/>
          <w:i w:val="1"/>
          <w:iCs w:val="1"/>
          <w:color w:val="auto"/>
        </w:rPr>
        <w:t xml:space="preserve">Water Treatment Segment. </w:t>
      </w:r>
      <w:r>
        <w:rPr>
          <w:rFonts w:ascii="Arial" w:cs="Arial" w:eastAsia="Arial" w:hAnsi="Arial"/>
          <w:sz w:val="17"/>
          <w:szCs w:val="17"/>
          <w:color w:val="auto"/>
        </w:rPr>
        <w:t>Gross profit for the Water Treatment segment was $9.1 million, or 30.0% of sales, for the three months ended June 29, 2014,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$8.0 million, or 28.9% of sales, for the same period in the prior year. Increased sales of specialty chemical products, including sales from our newly-acquired Oklahoma branch, drove the year-over-year increase in gross profit. The LIFO method of valuing inventory decreased gross profit by $0.1 million for the first quarter of fiscal 2015, and nominally decreased gross profit in the first quarter of fiscal 2014.</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584"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Selling, general and administrative expenses were $8.9 million, or 9.1% of sales, for the three months ended June 29, 2014, as compared to $9.0 million, or 9.5% of sales, for the same period of the prior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7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Operating income was $9.6 million for the three months ended June 29, 2014 and $8.3 million for the same period of the prior year. Operating income for the Industrial segment increased $0.5 million, largely as a result of reduced selling costs combined with the increase in gross profit discussed above. Operating income for the Water Treatment segment increased $0.9 million, as increased selling costs partially offset the increase in gross profit discussed above.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effective income tax rate was 37.5% for the three months ended June 29, 2014 compared to 38.0% for the same period of the prior year. The effective tax rate is impacted by projected levels of taxable income, permanent items, and state taxes.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Cash provided by operating activities for the three months ended June 29, 2014 was $1.4 million compared to $1.3 million for the same period of the prior year. Due to the nature of our operations, which includes purchases of large quantities of bulk chemicals, timing of purchases can result in significant changes in working capital investment and the resulting operating cash flow. Typically, our cash requirements increase during the period from April through November as caustic soda inventory levels increase as the majority of barges are received during this period. Additionally, due to the seasonality of the water treatment business, our accounts receivable balance generally increases during the period of April through September.</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Capital expenditures were $3.3 million for the three months ended June 29, 2014, as compared to $4.1 million in the same period of the prior fiscal year.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Included in capital expenditures for the first three months of fiscal 2015 was $1.2 million related to business expansion and process improvement projects.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Capital spending also included new and replacement trucks for the Water Treatment segment and new and replacement cylinders.</w:t>
      </w:r>
    </w:p>
    <w:p>
      <w:pPr>
        <w:spacing w:after="0" w:line="15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Cash used in financing activities was $5.5 million for the three months ended June 29, 2014, as compared to $4.1 million in the same period of the prior fiscal year, with the increase in the current quarter driven by common stock repurchases of $1.4 million.</w:t>
      </w:r>
    </w:p>
    <w:p>
      <w:pPr>
        <w:spacing w:after="0" w:line="11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Cash and investments were $55.8 million at June 29, 2014, a decrease of $7.4 million as compared with the $63.2 million available as of March 30, 2014, due to cash outflows for dividends, capital expenditures, and the share repurchase program described above exceeding the cash flows generated from operations during the quarter.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our cash balances and cash flows from operations will be sufficient to fund our cash requirements including acquisitions or other strategic relationships for the foreseeable future. We periodically evaluate opportunities to borrow funds or sell additional equity or debt securities for strategic reasons or to further strengthen our financial position.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7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significant accounting policies are set forth in Note 1 to our consolidated financial statements in our Annual Report on Form 10-K for the fiscal year ended March 30, 2014. The accounting policies used in preparing our interim fiscal 2015 condensed consolidated financial statements are the same as those described in our Annual Report.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7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We intend words such as “anticipate,” “expect,” “intend,” “plan,” “believe,” “seek,” “estimate,”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information concerning potential factors that could affect future financial results is included in our Annual Report on Form 10-K for the fiscal year ended March 30, 2014. We caution you not to place undue reliance on these forward-looking statements, which reflect our management’s view only as of the date of this Quarterly Report on Form 10-Q. We are not obligated to update these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6" w:right="239" w:bottom="1440" w:gutter="0" w:footer="0" w:header="0"/>
        </w:sectPr>
      </w:pPr>
    </w:p>
    <w:bookmarkStart w:id="13" w:name="page14"/>
    <w:bookmarkEnd w:id="13"/>
    <w:p>
      <w:pPr>
        <w:ind w:right="100"/>
        <w:spacing w:after="0" w:line="277" w:lineRule="auto"/>
        <w:rPr>
          <w:sz w:val="20"/>
          <w:szCs w:val="20"/>
          <w:color w:val="auto"/>
        </w:rPr>
      </w:pPr>
      <w:r>
        <w:rPr>
          <w:rFonts w:ascii="Arial" w:cs="Arial" w:eastAsia="Arial" w:hAnsi="Arial"/>
          <w:sz w:val="18"/>
          <w:szCs w:val="18"/>
          <w:color w:val="auto"/>
        </w:rPr>
        <w:t>statements or publicly release the result of any revisions to them to reflect events or circumstances after the date of this Quarterly Report on Form 10-Q or to reflect the occurrence of unanticipated events.</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QUANTITATIVE AND QUALITATIVE DISCLOSURES ABOUT MARKET RISK</w:t>
      </w:r>
    </w:p>
    <w:p>
      <w:pPr>
        <w:spacing w:after="0" w:line="9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At June 29, 2014, our investment portfolio included $34.0 million of certificates of deposit and municipal bonds classified as fixed income securities and cash and cash equivalents of $21.8 million. The fixed income securities, like all fixed income instruments, are subject to interest rate risks and will decline in value if market interest rates increase. However, while the value of the investment may fluctuate in any given period, we intend to hold our fixed income investments until recovery. Consequently, we would not expect to recognize an adverse impact on net income or cash flows during the holding period. We adjust the carrying value of our investments if impairment occurs that is other than temporary.</w:t>
      </w:r>
    </w:p>
    <w:p>
      <w:pPr>
        <w:spacing w:after="0" w:line="11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are subject to the risk inherent in the cyclical nature of commodity chemical prices. We do not currently purchase forward contracts or otherwise engage in hedging activities with respect to the purchase of commodity chemicals. We attempt to pass changes in material prices on to our customers, however, there are no assurances that we will be able to pass on cost increases as our pricing must be competitive.</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CONTROLS AND PROCEDURES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first quarter of fiscal 2015 that has materially affected, or is reasonably likely to materially affect, our internal control over financial reporting.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746" w:right="25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0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LEGAL PROCEEDINGS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business, to which we or any of our subsidiaries are a party or of which any of our property is the subject.</w:t>
      </w:r>
    </w:p>
    <w:p>
      <w:pPr>
        <w:spacing w:after="0" w:line="17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risk factors from those disclosed in our Annual Report on Form 10-K for the fiscal year ended March 30, 2014.</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concerning purchases of our common stock for the quarter ended June 29, 2014:</w:t>
      </w:r>
    </w:p>
    <w:p>
      <w:pPr>
        <w:spacing w:after="0" w:line="240" w:lineRule="exact"/>
        <w:rPr>
          <w:sz w:val="20"/>
          <w:szCs w:val="20"/>
          <w:color w:val="auto"/>
        </w:rPr>
      </w:pPr>
    </w:p>
    <w:tbl>
      <w:tblPr>
        <w:tblLayout w:type="fixed"/>
        <w:tblInd w:w="180" w:type="dxa"/>
        <w:tblCellMar>
          <w:top w:w="0" w:type="dxa"/>
          <w:left w:w="0" w:type="dxa"/>
          <w:bottom w:w="0" w:type="dxa"/>
          <w:right w:w="0" w:type="dxa"/>
        </w:tblCellMar>
      </w:tblPr>
      <w:tr>
        <w:trPr>
          <w:trHeight w:val="229"/>
        </w:trPr>
        <w:tc>
          <w:tcPr>
            <w:tcW w:w="182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Total Number of Shares</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Maximum Number of Shares</w:t>
            </w:r>
          </w:p>
        </w:tc>
      </w:tr>
      <w:tr>
        <w:trPr>
          <w:trHeight w:val="216"/>
        </w:trPr>
        <w:tc>
          <w:tcPr>
            <w:tcW w:w="18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Total Number of Shares</w:t>
            </w:r>
          </w:p>
        </w:tc>
        <w:tc>
          <w:tcPr>
            <w:tcW w:w="5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Average Price Paid Per</w:t>
            </w: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Purchased as Part of a Publicly</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that May Yet be Purchased</w:t>
            </w:r>
          </w:p>
        </w:tc>
      </w:tr>
      <w:tr>
        <w:trPr>
          <w:trHeight w:val="237"/>
        </w:trPr>
        <w:tc>
          <w:tcPr>
            <w:tcW w:w="18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Period</w:t>
            </w:r>
          </w:p>
        </w:tc>
        <w:tc>
          <w:tcPr>
            <w:tcW w:w="21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Purchased</w:t>
            </w:r>
          </w:p>
        </w:tc>
        <w:tc>
          <w:tcPr>
            <w:tcW w:w="5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Share</w:t>
            </w:r>
          </w:p>
        </w:tc>
        <w:tc>
          <w:tcPr>
            <w:tcW w:w="2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Announced Plan or Program</w:t>
            </w:r>
          </w:p>
        </w:tc>
        <w:tc>
          <w:tcPr>
            <w:tcW w:w="2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under Plans or Programs</w:t>
            </w:r>
          </w:p>
        </w:tc>
      </w:tr>
      <w:tr>
        <w:trPr>
          <w:trHeight w:val="243"/>
        </w:trPr>
        <w:tc>
          <w:tcPr>
            <w:tcW w:w="1820" w:type="dxa"/>
            <w:vAlign w:val="bottom"/>
          </w:tcPr>
          <w:p>
            <w:pPr>
              <w:jc w:val="right"/>
              <w:ind w:right="290"/>
              <w:spacing w:after="0"/>
              <w:rPr>
                <w:sz w:val="20"/>
                <w:szCs w:val="20"/>
                <w:color w:val="auto"/>
              </w:rPr>
            </w:pPr>
            <w:r>
              <w:rPr>
                <w:rFonts w:ascii="Arial" w:cs="Arial" w:eastAsia="Arial" w:hAnsi="Arial"/>
                <w:sz w:val="18"/>
                <w:szCs w:val="18"/>
                <w:color w:val="auto"/>
                <w:w w:val="90"/>
              </w:rPr>
              <w:t>03/31/14 - 04/27/14</w:t>
            </w:r>
          </w:p>
        </w:tc>
        <w:tc>
          <w:tcPr>
            <w:tcW w:w="2140" w:type="dxa"/>
            <w:vAlign w:val="bottom"/>
          </w:tcPr>
          <w:p>
            <w:pPr>
              <w:jc w:val="right"/>
              <w:spacing w:after="0"/>
              <w:rPr>
                <w:sz w:val="20"/>
                <w:szCs w:val="20"/>
                <w:color w:val="auto"/>
              </w:rPr>
            </w:pPr>
            <w:r>
              <w:rPr>
                <w:rFonts w:ascii="Arial" w:cs="Arial" w:eastAsia="Arial" w:hAnsi="Arial"/>
                <w:sz w:val="18"/>
                <w:szCs w:val="18"/>
                <w:color w:val="auto"/>
              </w:rPr>
              <w:t>7,920</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1940" w:type="dxa"/>
            <w:vAlign w:val="bottom"/>
          </w:tcPr>
          <w:p>
            <w:pPr>
              <w:jc w:val="right"/>
              <w:spacing w:after="0"/>
              <w:rPr>
                <w:sz w:val="20"/>
                <w:szCs w:val="20"/>
                <w:color w:val="auto"/>
              </w:rPr>
            </w:pPr>
            <w:r>
              <w:rPr>
                <w:rFonts w:ascii="Arial" w:cs="Arial" w:eastAsia="Arial" w:hAnsi="Arial"/>
                <w:sz w:val="18"/>
                <w:szCs w:val="18"/>
                <w:color w:val="auto"/>
              </w:rPr>
              <w:t>37.26</w:t>
            </w:r>
          </w:p>
        </w:tc>
        <w:tc>
          <w:tcPr>
            <w:tcW w:w="2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3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18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18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0"/>
              </w:rPr>
              <w:t>04/28/14 - 05/25/14</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1820" w:type="dxa"/>
            <w:vAlign w:val="bottom"/>
          </w:tcPr>
          <w:p>
            <w:pPr>
              <w:jc w:val="right"/>
              <w:ind w:right="290"/>
              <w:spacing w:after="0"/>
              <w:rPr>
                <w:sz w:val="20"/>
                <w:szCs w:val="20"/>
                <w:color w:val="auto"/>
              </w:rPr>
            </w:pPr>
            <w:r>
              <w:rPr>
                <w:rFonts w:ascii="Arial" w:cs="Arial" w:eastAsia="Arial" w:hAnsi="Arial"/>
                <w:sz w:val="18"/>
                <w:szCs w:val="18"/>
                <w:color w:val="auto"/>
                <w:w w:val="90"/>
              </w:rPr>
              <w:t>05/26/14 - 06/29/14</w:t>
            </w:r>
          </w:p>
        </w:tc>
        <w:tc>
          <w:tcPr>
            <w:tcW w:w="2140" w:type="dxa"/>
            <w:vAlign w:val="bottom"/>
          </w:tcPr>
          <w:p>
            <w:pPr>
              <w:jc w:val="right"/>
              <w:spacing w:after="0"/>
              <w:rPr>
                <w:sz w:val="20"/>
                <w:szCs w:val="20"/>
                <w:color w:val="auto"/>
              </w:rPr>
            </w:pPr>
            <w:r>
              <w:rPr>
                <w:rFonts w:ascii="Arial" w:cs="Arial" w:eastAsia="Arial" w:hAnsi="Arial"/>
                <w:sz w:val="18"/>
                <w:szCs w:val="18"/>
                <w:color w:val="auto"/>
              </w:rPr>
              <w:t>39,170</w:t>
            </w:r>
          </w:p>
        </w:tc>
        <w:tc>
          <w:tcPr>
            <w:tcW w:w="5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36.54</w:t>
            </w:r>
          </w:p>
        </w:tc>
        <w:tc>
          <w:tcPr>
            <w:tcW w:w="2380" w:type="dxa"/>
            <w:vAlign w:val="bottom"/>
          </w:tcPr>
          <w:p>
            <w:pPr>
              <w:jc w:val="right"/>
              <w:ind w:right="50"/>
              <w:spacing w:after="0"/>
              <w:rPr>
                <w:sz w:val="20"/>
                <w:szCs w:val="20"/>
                <w:color w:val="auto"/>
              </w:rPr>
            </w:pPr>
            <w:r>
              <w:rPr>
                <w:rFonts w:ascii="Arial" w:cs="Arial" w:eastAsia="Arial" w:hAnsi="Arial"/>
                <w:sz w:val="18"/>
                <w:szCs w:val="18"/>
                <w:color w:val="auto"/>
              </w:rPr>
              <w:t>39,170</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260,830</w:t>
            </w:r>
          </w:p>
        </w:tc>
      </w:tr>
    </w:tbl>
    <w:p>
      <w:pPr>
        <w:spacing w:after="0" w:line="391" w:lineRule="exact"/>
        <w:rPr>
          <w:sz w:val="20"/>
          <w:szCs w:val="20"/>
          <w:color w:val="auto"/>
        </w:rPr>
      </w:pPr>
    </w:p>
    <w:p>
      <w:pPr>
        <w:ind w:firstLine="8"/>
        <w:spacing w:after="0" w:line="301" w:lineRule="auto"/>
        <w:tabs>
          <w:tab w:leader="none" w:pos="178" w:val="left"/>
        </w:tabs>
        <w:numPr>
          <w:ilvl w:val="0"/>
          <w:numId w:val="1"/>
        </w:numPr>
        <w:rPr>
          <w:rFonts w:ascii="Arial" w:cs="Arial" w:eastAsia="Arial" w:hAnsi="Arial"/>
          <w:sz w:val="20"/>
          <w:szCs w:val="20"/>
          <w:color w:val="auto"/>
          <w:vertAlign w:val="superscript"/>
        </w:rPr>
      </w:pPr>
      <w:r>
        <w:rPr>
          <w:rFonts w:ascii="Arial" w:cs="Arial" w:eastAsia="Arial" w:hAnsi="Arial"/>
          <w:sz w:val="15"/>
          <w:szCs w:val="15"/>
          <w:color w:val="auto"/>
        </w:rPr>
        <w:t>The shares of common stock in this row represent shares that were surrendered to us by stock plan participants in order to satisfy minimum withholding tax obligations related to the vesting of restricted stock awards and are not shares purchased under the Board of Directors authorization described below.</w:t>
      </w:r>
    </w:p>
    <w:p>
      <w:pPr>
        <w:spacing w:after="0" w:line="14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On May 29, 2014, our Board of Directors authorized a share repurchase program of up to 300,000 shares of our outstanding common stock. The shares may be repurchased on the open market or in privately negotiated transactions subject to applicable securities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580" w:right="27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ITEM 6.</w:t>
            </w:r>
          </w:p>
        </w:tc>
        <w:tc>
          <w:tcPr>
            <w:tcW w:w="8720" w:type="dxa"/>
            <w:vAlign w:val="bottom"/>
            <w:gridSpan w:val="3"/>
          </w:tcPr>
          <w:p>
            <w:pPr>
              <w:ind w:left="260"/>
              <w:spacing w:after="0"/>
              <w:rPr>
                <w:sz w:val="20"/>
                <w:szCs w:val="20"/>
                <w:color w:val="auto"/>
              </w:rPr>
            </w:pPr>
            <w:r>
              <w:rPr>
                <w:rFonts w:ascii="Arial" w:cs="Arial" w:eastAsia="Arial" w:hAnsi="Arial"/>
                <w:sz w:val="18"/>
                <w:szCs w:val="18"/>
                <w:color w:val="auto"/>
              </w:rPr>
              <w:t>EXHIBITS</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720" w:type="dxa"/>
            <w:vAlign w:val="bottom"/>
            <w:gridSpan w:val="2"/>
          </w:tcPr>
          <w:p>
            <w:pPr>
              <w:ind w:left="500"/>
              <w:spacing w:after="0"/>
              <w:rPr>
                <w:sz w:val="20"/>
                <w:szCs w:val="20"/>
                <w:color w:val="auto"/>
              </w:rPr>
            </w:pPr>
            <w:r>
              <w:rPr>
                <w:rFonts w:ascii="Arial" w:cs="Arial" w:eastAsia="Arial" w:hAnsi="Arial"/>
                <w:sz w:val="18"/>
                <w:szCs w:val="18"/>
                <w:color w:val="auto"/>
              </w:rPr>
              <w:t>Exhibit Index</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20" w:type="dxa"/>
            <w:vAlign w:val="bottom"/>
            <w:gridSpan w:val="3"/>
          </w:tcPr>
          <w:p>
            <w:pPr>
              <w:jc w:val="right"/>
              <w:ind w:right="160"/>
              <w:spacing w:after="0"/>
              <w:rPr>
                <w:sz w:val="20"/>
                <w:szCs w:val="20"/>
                <w:color w:val="auto"/>
              </w:rPr>
            </w:pPr>
            <w:r>
              <w:rPr>
                <w:rFonts w:ascii="Arial" w:cs="Arial" w:eastAsia="Arial" w:hAnsi="Arial"/>
                <w:sz w:val="14"/>
                <w:szCs w:val="14"/>
                <w:color w:val="auto"/>
              </w:rPr>
              <w:t>Exhibit</w:t>
            </w:r>
          </w:p>
        </w:tc>
        <w:tc>
          <w:tcPr>
            <w:tcW w:w="400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4"/>
                <w:szCs w:val="14"/>
                <w:color w:val="auto"/>
              </w:rPr>
              <w:t>Description</w:t>
            </w:r>
          </w:p>
        </w:tc>
        <w:tc>
          <w:tcPr>
            <w:tcW w:w="1980" w:type="dxa"/>
            <w:vAlign w:val="bottom"/>
          </w:tcPr>
          <w:p>
            <w:pPr>
              <w:jc w:val="center"/>
              <w:spacing w:after="0"/>
              <w:rPr>
                <w:sz w:val="20"/>
                <w:szCs w:val="20"/>
                <w:color w:val="auto"/>
              </w:rPr>
            </w:pPr>
            <w:r>
              <w:rPr>
                <w:rFonts w:ascii="Arial" w:cs="Arial" w:eastAsia="Arial" w:hAnsi="Arial"/>
                <w:sz w:val="14"/>
                <w:szCs w:val="14"/>
                <w:color w:val="auto"/>
                <w:w w:val="98"/>
              </w:rPr>
              <w:t>Method of Filing</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40" w:type="dxa"/>
            <w:vAlign w:val="bottom"/>
            <w:vMerge w:val="restart"/>
          </w:tcPr>
          <w:p>
            <w:pPr>
              <w:spacing w:after="0" w:line="20" w:lineRule="exact"/>
              <w:rPr>
                <w:sz w:val="1"/>
                <w:szCs w:val="1"/>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3.1</w:t>
            </w:r>
          </w:p>
        </w:tc>
        <w:tc>
          <w:tcPr>
            <w:tcW w:w="8720" w:type="dxa"/>
            <w:vAlign w:val="bottom"/>
            <w:gridSpan w:val="3"/>
            <w:vMerge w:val="restart"/>
          </w:tcPr>
          <w:p>
            <w:pPr>
              <w:ind w:left="80"/>
              <w:spacing w:after="0"/>
              <w:rPr>
                <w:sz w:val="20"/>
                <w:szCs w:val="20"/>
                <w:color w:val="auto"/>
              </w:rPr>
            </w:pPr>
            <w:r>
              <w:rPr>
                <w:rFonts w:ascii="Arial" w:cs="Arial" w:eastAsia="Arial" w:hAnsi="Arial"/>
                <w:sz w:val="18"/>
                <w:szCs w:val="18"/>
                <w:color w:val="auto"/>
              </w:rPr>
              <w:t>Amended and Restated Articles of Incorporation. (1)</w:t>
            </w: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40" w:type="dxa"/>
            <w:vAlign w:val="bottom"/>
            <w:vMerge w:val="continue"/>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8720" w:type="dxa"/>
            <w:vAlign w:val="bottom"/>
            <w:gridSpan w:val="3"/>
            <w:vMerge w:val="continue"/>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Incorporated by Reference</w:t>
            </w:r>
          </w:p>
        </w:tc>
        <w:tc>
          <w:tcPr>
            <w:tcW w:w="0" w:type="dxa"/>
            <w:vAlign w:val="bottom"/>
          </w:tcPr>
          <w:p>
            <w:pPr>
              <w:spacing w:after="0"/>
              <w:rPr>
                <w:sz w:val="1"/>
                <w:szCs w:val="1"/>
                <w:color w:val="auto"/>
              </w:rPr>
            </w:pPr>
          </w:p>
        </w:tc>
      </w:tr>
      <w:tr>
        <w:trPr>
          <w:trHeight w:val="270"/>
        </w:trPr>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3.2</w:t>
            </w:r>
          </w:p>
        </w:tc>
        <w:tc>
          <w:tcPr>
            <w:tcW w:w="8720" w:type="dxa"/>
            <w:vAlign w:val="bottom"/>
            <w:gridSpan w:val="3"/>
          </w:tcPr>
          <w:p>
            <w:pPr>
              <w:ind w:left="80"/>
              <w:spacing w:after="0"/>
              <w:rPr>
                <w:sz w:val="20"/>
                <w:szCs w:val="20"/>
                <w:color w:val="auto"/>
              </w:rPr>
            </w:pPr>
            <w:r>
              <w:rPr>
                <w:rFonts w:ascii="Arial" w:cs="Arial" w:eastAsia="Arial" w:hAnsi="Arial"/>
                <w:sz w:val="18"/>
                <w:szCs w:val="18"/>
                <w:color w:val="auto"/>
              </w:rPr>
              <w:t>Amended and Restated By-Laws. (2)</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Incorporated by Reference</w:t>
            </w:r>
          </w:p>
        </w:tc>
        <w:tc>
          <w:tcPr>
            <w:tcW w:w="0" w:type="dxa"/>
            <w:vAlign w:val="bottom"/>
          </w:tcPr>
          <w:p>
            <w:pPr>
              <w:spacing w:after="0"/>
              <w:rPr>
                <w:sz w:val="1"/>
                <w:szCs w:val="1"/>
                <w:color w:val="auto"/>
              </w:rPr>
            </w:pPr>
          </w:p>
        </w:tc>
      </w:tr>
      <w:tr>
        <w:trPr>
          <w:trHeight w:val="270"/>
        </w:trPr>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31.1</w:t>
            </w:r>
          </w:p>
        </w:tc>
        <w:tc>
          <w:tcPr>
            <w:tcW w:w="8720" w:type="dxa"/>
            <w:vAlign w:val="bottom"/>
            <w:gridSpan w:val="3"/>
          </w:tcPr>
          <w:p>
            <w:pPr>
              <w:ind w:left="80"/>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198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270"/>
        </w:trPr>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31.2</w:t>
            </w:r>
          </w:p>
        </w:tc>
        <w:tc>
          <w:tcPr>
            <w:tcW w:w="8720" w:type="dxa"/>
            <w:vAlign w:val="bottom"/>
            <w:gridSpan w:val="3"/>
          </w:tcPr>
          <w:p>
            <w:pPr>
              <w:ind w:left="80"/>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198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270"/>
        </w:trPr>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32.1</w:t>
            </w:r>
          </w:p>
        </w:tc>
        <w:tc>
          <w:tcPr>
            <w:tcW w:w="8720" w:type="dxa"/>
            <w:vAlign w:val="bottom"/>
            <w:gridSpan w:val="3"/>
          </w:tcPr>
          <w:p>
            <w:pPr>
              <w:ind w:left="80"/>
              <w:spacing w:after="0"/>
              <w:rPr>
                <w:sz w:val="20"/>
                <w:szCs w:val="20"/>
                <w:color w:val="auto"/>
              </w:rPr>
            </w:pPr>
            <w:r>
              <w:rPr>
                <w:rFonts w:ascii="Arial" w:cs="Arial" w:eastAsia="Arial" w:hAnsi="Arial"/>
                <w:sz w:val="18"/>
                <w:szCs w:val="18"/>
                <w:color w:val="auto"/>
              </w:rPr>
              <w:t>Section 1350 Certification by Chief Executive Officer.</w:t>
            </w:r>
          </w:p>
        </w:tc>
        <w:tc>
          <w:tcPr>
            <w:tcW w:w="198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270"/>
        </w:trPr>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32.2</w:t>
            </w:r>
          </w:p>
        </w:tc>
        <w:tc>
          <w:tcPr>
            <w:tcW w:w="8720" w:type="dxa"/>
            <w:vAlign w:val="bottom"/>
            <w:gridSpan w:val="3"/>
          </w:tcPr>
          <w:p>
            <w:pPr>
              <w:ind w:left="80"/>
              <w:spacing w:after="0"/>
              <w:rPr>
                <w:sz w:val="20"/>
                <w:szCs w:val="20"/>
                <w:color w:val="auto"/>
              </w:rPr>
            </w:pPr>
            <w:r>
              <w:rPr>
                <w:rFonts w:ascii="Arial" w:cs="Arial" w:eastAsia="Arial" w:hAnsi="Arial"/>
                <w:sz w:val="18"/>
                <w:szCs w:val="18"/>
                <w:color w:val="auto"/>
              </w:rPr>
              <w:t>Section 1350 Certification by Chief Financial Officer.</w:t>
            </w:r>
          </w:p>
        </w:tc>
        <w:tc>
          <w:tcPr>
            <w:tcW w:w="198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256"/>
        </w:trPr>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101</w:t>
            </w:r>
          </w:p>
        </w:tc>
        <w:tc>
          <w:tcPr>
            <w:tcW w:w="8720" w:type="dxa"/>
            <w:vAlign w:val="bottom"/>
            <w:gridSpan w:val="3"/>
          </w:tcPr>
          <w:p>
            <w:pPr>
              <w:ind w:left="80"/>
              <w:spacing w:after="0"/>
              <w:rPr>
                <w:sz w:val="20"/>
                <w:szCs w:val="20"/>
                <w:color w:val="auto"/>
              </w:rPr>
            </w:pPr>
            <w:r>
              <w:rPr>
                <w:rFonts w:ascii="Arial" w:cs="Arial" w:eastAsia="Arial" w:hAnsi="Arial"/>
                <w:sz w:val="18"/>
                <w:szCs w:val="18"/>
                <w:color w:val="auto"/>
                <w:w w:val="94"/>
              </w:rPr>
              <w:t>Financial statements from the Quarterly Report on Form 10-Q of Hawkins, Inc. for the period ended June 29, 2014</w:t>
            </w:r>
          </w:p>
        </w:tc>
        <w:tc>
          <w:tcPr>
            <w:tcW w:w="198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720" w:type="dxa"/>
            <w:vAlign w:val="bottom"/>
            <w:gridSpan w:val="3"/>
          </w:tcPr>
          <w:p>
            <w:pPr>
              <w:ind w:left="80"/>
              <w:spacing w:after="0"/>
              <w:rPr>
                <w:sz w:val="20"/>
                <w:szCs w:val="20"/>
                <w:color w:val="auto"/>
              </w:rPr>
            </w:pPr>
            <w:r>
              <w:rPr>
                <w:rFonts w:ascii="Arial" w:cs="Arial" w:eastAsia="Arial" w:hAnsi="Arial"/>
                <w:sz w:val="18"/>
                <w:szCs w:val="18"/>
                <w:color w:val="auto"/>
              </w:rPr>
              <w:t>filed with the SEC on August 6, 2014, formatted in Extensible Business Reporting Language (XBRL); (i) the</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800" w:right="2240" w:firstLine="5"/>
        <w:spacing w:after="0" w:line="277" w:lineRule="auto"/>
        <w:tabs>
          <w:tab w:leader="none" w:pos="1105"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Condensed Consolidated Statements of Cash Flows for the Three Months Ended June 29, 2014 and June 30, 2013, and (v) Notes to Condensed Consolidated Financial Statements.</w:t>
      </w:r>
    </w:p>
    <w:p>
      <w:pPr>
        <w:spacing w:after="0" w:line="170"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Incorporated by reference to Exhibit 3.1 to the Company’s Quarterly Report on Form 10-Q for the period ended June 30, 2010, filed on July 29, 2010.</w:t>
      </w:r>
    </w:p>
    <w:p>
      <w:pPr>
        <w:spacing w:after="0" w:line="46" w:lineRule="exact"/>
        <w:rPr>
          <w:rFonts w:ascii="Arial" w:cs="Arial" w:eastAsia="Arial" w:hAnsi="Arial"/>
          <w:sz w:val="16"/>
          <w:szCs w:val="16"/>
          <w:color w:val="auto"/>
        </w:rPr>
      </w:pPr>
    </w:p>
    <w:p>
      <w:pPr>
        <w:ind w:left="540" w:hanging="316"/>
        <w:spacing w:after="0"/>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Incorporated by reference to Exhibit 3.1 to the Company’s Current Report on Form 8-K dated October 28, 2009 and filed November 3, 2009.</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6" w:name="page17"/>
    <w:bookmarkEnd w:id="16"/>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6420"/>
        <w:spacing w:after="0"/>
        <w:tabs>
          <w:tab w:leader="none" w:pos="8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31750</wp:posOffset>
            </wp:positionV>
            <wp:extent cx="269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57"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Vice President, Chief Financial Officer, and Treasurer</w:t>
      </w:r>
    </w:p>
    <w:p>
      <w:pPr>
        <w:spacing w:after="0" w:line="86" w:lineRule="exact"/>
        <w:rPr>
          <w:sz w:val="20"/>
          <w:szCs w:val="20"/>
          <w:color w:val="auto"/>
        </w:rPr>
      </w:pPr>
    </w:p>
    <w:p>
      <w:pPr>
        <w:ind w:left="7280"/>
        <w:spacing w:after="0"/>
        <w:rPr>
          <w:sz w:val="20"/>
          <w:szCs w:val="20"/>
          <w:color w:val="auto"/>
        </w:rPr>
      </w:pPr>
      <w:r>
        <w:rPr>
          <w:rFonts w:ascii="Arial" w:cs="Arial" w:eastAsia="Arial" w:hAnsi="Arial"/>
          <w:sz w:val="17"/>
          <w:szCs w:val="17"/>
          <w:color w:val="auto"/>
        </w:rPr>
        <w:t>(On behalf of the registrant and as principal financial</w:t>
      </w:r>
    </w:p>
    <w:p>
      <w:pPr>
        <w:spacing w:after="0" w:line="35"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August 6, 2014</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580" w:right="439" w:bottom="1440" w:gutter="0" w:footer="0" w:header="0"/>
        </w:sectPr>
      </w:pPr>
    </w:p>
    <w:bookmarkStart w:id="17" w:name="page18"/>
    <w:bookmarkEnd w:id="17"/>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7" w:lineRule="exact"/>
        <w:rPr>
          <w:sz w:val="20"/>
          <w:szCs w:val="20"/>
          <w:color w:val="auto"/>
        </w:rPr>
      </w:pPr>
    </w:p>
    <w:p>
      <w:pPr>
        <w:spacing w:after="0"/>
        <w:tabs>
          <w:tab w:leader="none" w:pos="4300" w:val="left"/>
        </w:tabs>
        <w:rPr>
          <w:sz w:val="20"/>
          <w:szCs w:val="20"/>
          <w:color w:val="auto"/>
        </w:rPr>
      </w:pPr>
      <w:r>
        <w:rPr>
          <w:rFonts w:ascii="Arial" w:cs="Arial" w:eastAsia="Arial" w:hAnsi="Arial"/>
          <w:sz w:val="14"/>
          <w:szCs w:val="14"/>
          <w:u w:val="single" w:color="auto"/>
          <w:color w:val="auto"/>
        </w:rPr>
        <w:t>Exhibit</w:t>
      </w:r>
      <w:r>
        <w:rPr>
          <w:sz w:val="20"/>
          <w:szCs w:val="20"/>
          <w:color w:val="auto"/>
        </w:rPr>
        <w:tab/>
      </w:r>
      <w:r>
        <w:rPr>
          <w:rFonts w:ascii="Arial" w:cs="Arial" w:eastAsia="Arial" w:hAnsi="Arial"/>
          <w:sz w:val="14"/>
          <w:szCs w:val="14"/>
          <w:u w:val="single" w:color="auto"/>
          <w:color w:val="auto"/>
        </w:rPr>
        <w:t>Description</w:t>
      </w:r>
    </w:p>
    <w:p>
      <w:pPr>
        <w:spacing w:after="0" w:line="46" w:lineRule="exact"/>
        <w:rPr>
          <w:sz w:val="20"/>
          <w:szCs w:val="20"/>
          <w:color w:val="auto"/>
        </w:rPr>
      </w:pPr>
    </w:p>
    <w:p>
      <w:pPr>
        <w:ind w:left="200"/>
        <w:spacing w:after="0"/>
        <w:tabs>
          <w:tab w:leader="none" w:pos="6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Articles of Incorporation.</w:t>
      </w:r>
    </w:p>
    <w:p>
      <w:pPr>
        <w:spacing w:after="0" w:line="77" w:lineRule="exact"/>
        <w:rPr>
          <w:sz w:val="20"/>
          <w:szCs w:val="20"/>
          <w:color w:val="auto"/>
        </w:rPr>
      </w:pPr>
    </w:p>
    <w:p>
      <w:pPr>
        <w:ind w:left="200"/>
        <w:spacing w:after="0"/>
        <w:tabs>
          <w:tab w:leader="none" w:pos="6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w:t>
      </w:r>
    </w:p>
    <w:p>
      <w:pPr>
        <w:spacing w:after="0" w:line="63"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by Chief Executive Officer pursuant to Rule 13a-14(a) of the Exchange Act.</w:t>
      </w:r>
    </w:p>
    <w:p>
      <w:pPr>
        <w:spacing w:after="0" w:line="63"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by Chief Financial Officer pursuant to Rule 13a-14(a) of the Exchange Act.</w:t>
      </w:r>
    </w:p>
    <w:p>
      <w:pPr>
        <w:spacing w:after="0" w:line="63"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by Chief Executive Officer.</w:t>
      </w:r>
    </w:p>
    <w:p>
      <w:pPr>
        <w:spacing w:after="0" w:line="63"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by Chief Financial Officer.</w:t>
      </w:r>
    </w:p>
    <w:p>
      <w:pPr>
        <w:spacing w:after="0" w:line="63" w:lineRule="exact"/>
        <w:rPr>
          <w:sz w:val="20"/>
          <w:szCs w:val="20"/>
          <w:color w:val="auto"/>
        </w:rPr>
      </w:pPr>
    </w:p>
    <w:p>
      <w:pPr>
        <w:ind w:left="700" w:hanging="541"/>
        <w:spacing w:after="0" w:line="291"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Financial statements from the Quarterly Report on Form 10-Q of Hawkins, Inc. for the period ended June 29, 2014 filed with the SEC on August 6, 2014, formatted in Extensible Business Reporting Language (XBRL);</w:t>
      </w:r>
    </w:p>
    <w:p>
      <w:pPr>
        <w:ind w:left="700" w:right="100"/>
        <w:spacing w:after="0" w:line="292" w:lineRule="auto"/>
        <w:rPr>
          <w:rFonts w:ascii="Arial" w:cs="Arial" w:eastAsia="Arial" w:hAnsi="Arial"/>
          <w:sz w:val="16"/>
          <w:szCs w:val="16"/>
          <w:color w:val="auto"/>
        </w:rPr>
      </w:pPr>
      <w:r>
        <w:rPr>
          <w:rFonts w:ascii="Arial" w:cs="Arial" w:eastAsia="Arial" w:hAnsi="Arial"/>
          <w:sz w:val="16"/>
          <w:szCs w:val="16"/>
          <w:color w:val="auto"/>
        </w:rPr>
        <w:t>(i) the Condensed Consolidated Balance Sheets at June 29, 2014 and March 30, 2014, (ii) the Condensed Consolidated Statements of Income for the Three Months Ended June 29, 2014 and June 30, 2013, (iii) the Condensed Consolidated Statements of Comprehensive Income for the Three Months Ended June 29, 2014 and June 30, 2013, (iv) the Condensed Consolidated Statements of Cash Flows for the Three Months Ended June 29, 2014 and June 30, 2013, and (v) Notes to Condensed Consolidated Financial Statements.</w:t>
      </w:r>
    </w:p>
    <w:p>
      <w:pPr>
        <w:spacing w:after="0" w:line="21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20955</wp:posOffset>
            </wp:positionV>
            <wp:extent cx="15862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39" w:lineRule="exact"/>
        <w:rPr>
          <w:sz w:val="20"/>
          <w:szCs w:val="20"/>
          <w:color w:val="auto"/>
        </w:rPr>
      </w:pPr>
    </w:p>
    <w:p>
      <w:pPr>
        <w:jc w:val="center"/>
        <w:spacing w:after="0" w:line="362" w:lineRule="auto"/>
        <w:rPr>
          <w:sz w:val="20"/>
          <w:szCs w:val="20"/>
          <w:color w:val="auto"/>
        </w:rPr>
      </w:pPr>
      <w:r>
        <w:rPr>
          <w:rFonts w:ascii="Arial" w:cs="Arial" w:eastAsia="Arial" w:hAnsi="Arial"/>
          <w:sz w:val="16"/>
          <w:szCs w:val="16"/>
          <w:color w:val="auto"/>
        </w:rPr>
        <w:t>Incorporated by Reference Incorporated by Reference Filed Electronically Filed Electronically Filed Electronically Filed Electronically Filed Electronically</w:t>
      </w:r>
    </w:p>
    <w:p>
      <w:pPr>
        <w:sectPr>
          <w:pgSz w:w="11900" w:h="16838" w:orient="portrait"/>
          <w:cols w:equalWidth="0" w:num="2">
            <w:col w:w="8560" w:space="500"/>
            <w:col w:w="1920"/>
          </w:cols>
          <w:pgMar w:left="400" w:top="580" w:right="51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30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46"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00" w:hanging="320"/>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320"/>
        <w:spacing w:after="0" w:line="334"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300" w:right="680" w:hanging="320"/>
        <w:spacing w:after="0" w:line="334"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60" w:hanging="320"/>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2014</w:t>
      </w:r>
    </w:p>
    <w:p>
      <w:pPr>
        <w:spacing w:after="0" w:line="360" w:lineRule="exact"/>
        <w:rPr>
          <w:sz w:val="20"/>
          <w:szCs w:val="20"/>
          <w:color w:val="auto"/>
        </w:rPr>
      </w:pPr>
    </w:p>
    <w:p>
      <w:pPr>
        <w:ind w:left="598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580"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Kathleen P. Pepski, certify that:</w:t>
      </w:r>
    </w:p>
    <w:p>
      <w:pPr>
        <w:spacing w:after="0" w:line="30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9"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00" w:hanging="644"/>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644"/>
        <w:spacing w:after="0" w:line="317"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644"/>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80" w:hanging="644"/>
        <w:spacing w:after="0" w:line="317"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60" w:hanging="644"/>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2014</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u w:val="single" w:color="auto"/>
          <w:color w:val="auto"/>
        </w:rPr>
        <w:t>/s/ Kathleen P. Pepski</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420"/>
          </w:cols>
          <w:pgMar w:left="240" w:top="580"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June 29, 2014, as filed with the Securities and Exchange Commission on the date hereof (the Report), I, Patrick H. Hawkins, Chief Executive Officer and President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President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6, 2014</w:t>
      </w:r>
    </w:p>
    <w:p>
      <w:pPr>
        <w:sectPr>
          <w:pgSz w:w="11900" w:h="16838" w:orient="portrait"/>
          <w:cols w:equalWidth="0" w:num="1">
            <w:col w:w="11420"/>
          </w:cols>
          <w:pgMar w:left="240" w:top="580"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June 29, 2014, as filed with the Securities and Exchange Commission on the date hereof (the Report), I, Kathleen P. Pepski, Chief Financial Officer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Kathleen P. Pepski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6, 2014</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
    </w:lvl>
    <w:lvl w:ilvl="1">
      <w:lvlJc w:val="left"/>
      <w:lvlText w:val="(%2)"/>
      <w:numFmt w:val="lowerRoman"/>
      <w:start w:val="4"/>
    </w:lvl>
  </w:abstractNum>
  <w:abstractNum w:abstractNumId="2">
    <w:nsid w:val="238E1F29"/>
    <w:multiLevelType w:val="hybridMultilevel"/>
    <w:lvl w:ilvl="0">
      <w:lvlJc w:val="left"/>
      <w:lvlText w:val="(%1)"/>
      <w:numFmt w:val="decimal"/>
      <w:start w:val="1"/>
    </w:lvl>
    <w:lvl w:ilvl="1">
      <w:lvlJc w:val="left"/>
      <w:lvlText w:val="%2"/>
      <w:numFmt w:val="lowerRoman"/>
      <w:start w:val="1"/>
    </w:lvl>
  </w:abstractNum>
  <w:abstractNum w:abstractNumId="3">
    <w:nsid w:val="46E87CCD"/>
    <w:multiLevelType w:val="hybridMultilevel"/>
    <w:lvl w:ilvl="0">
      <w:lvlJc w:val="left"/>
      <w:lvlText w:val="%1"/>
      <w:numFmt w:val="decimal"/>
      <w:start w:val="10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2019-12-05T10:19:24Z</dcterms:created>
  <dcterms:modified xsi:type="dcterms:W3CDTF">2019-12-05T10:19:24Z</dcterms:modified>
</cp:coreProperties>
</file>