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354"/>
        </w:trPr>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0" w:type="dxa"/>
            <w:vAlign w:val="bottom"/>
          </w:tcPr>
          <w:p>
            <w:pPr>
              <w:jc w:val="center"/>
              <w:ind w:left="532"/>
              <w:spacing w:after="0"/>
              <w:rPr>
                <w:sz w:val="20"/>
                <w:szCs w:val="20"/>
                <w:color w:val="auto"/>
              </w:rPr>
            </w:pPr>
            <w:r>
              <w:rPr>
                <w:rFonts w:ascii="Calibri" w:cs="Calibri" w:eastAsia="Calibri" w:hAnsi="Calibri"/>
                <w:sz w:val="29"/>
                <w:szCs w:val="29"/>
                <w:b w:val="1"/>
                <w:bCs w:val="1"/>
                <w:color w:val="auto"/>
                <w:w w:val="96"/>
              </w:rPr>
              <w:t>UNITED STATES</w:t>
            </w:r>
          </w:p>
        </w:tc>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51"/>
        </w:trPr>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320" w:type="dxa"/>
            <w:vAlign w:val="bottom"/>
            <w:gridSpan w:val="3"/>
          </w:tcPr>
          <w:p>
            <w:pPr>
              <w:jc w:val="center"/>
              <w:ind w:right="2860"/>
              <w:spacing w:after="0" w:line="350" w:lineRule="exact"/>
              <w:rPr>
                <w:sz w:val="20"/>
                <w:szCs w:val="20"/>
                <w:color w:val="auto"/>
              </w:rPr>
            </w:pPr>
            <w:r>
              <w:rPr>
                <w:rFonts w:ascii="Calibri" w:cs="Calibri" w:eastAsia="Calibri" w:hAnsi="Calibri"/>
                <w:sz w:val="29"/>
                <w:szCs w:val="29"/>
                <w:b w:val="1"/>
                <w:bCs w:val="1"/>
                <w:color w:val="auto"/>
                <w:w w:val="98"/>
              </w:rPr>
              <w:t>SECURITIES AND EXCHANGE COMMISSION</w:t>
            </w:r>
          </w:p>
        </w:tc>
      </w:tr>
      <w:tr>
        <w:trPr>
          <w:trHeight w:val="217"/>
        </w:trPr>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00" w:type="dxa"/>
            <w:vAlign w:val="bottom"/>
          </w:tcPr>
          <w:p>
            <w:pPr>
              <w:jc w:val="center"/>
              <w:ind w:left="552"/>
              <w:spacing w:after="0" w:line="217" w:lineRule="exact"/>
              <w:rPr>
                <w:sz w:val="20"/>
                <w:szCs w:val="20"/>
                <w:color w:val="auto"/>
              </w:rPr>
            </w:pPr>
            <w:r>
              <w:rPr>
                <w:rFonts w:ascii="Calibri" w:cs="Calibri" w:eastAsia="Calibri" w:hAnsi="Calibri"/>
                <w:sz w:val="18"/>
                <w:szCs w:val="18"/>
                <w:b w:val="1"/>
                <w:bCs w:val="1"/>
                <w:color w:val="auto"/>
                <w:w w:val="96"/>
              </w:rPr>
              <w:t>WASHINGTON, D.C. 20549</w:t>
            </w:r>
          </w:p>
        </w:tc>
        <w:tc>
          <w:tcPr>
            <w:tcW w:w="66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50"/>
        </w:trPr>
        <w:tc>
          <w:tcPr>
            <w:tcW w:w="1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60" w:type="dxa"/>
            <w:vAlign w:val="bottom"/>
          </w:tcPr>
          <w:p>
            <w:pPr>
              <w:spacing w:after="0"/>
              <w:rPr>
                <w:sz w:val="4"/>
                <w:szCs w:val="4"/>
                <w:color w:val="auto"/>
              </w:rPr>
            </w:pPr>
          </w:p>
        </w:tc>
      </w:tr>
      <w:tr>
        <w:trPr>
          <w:trHeight w:val="331"/>
        </w:trPr>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0" w:type="dxa"/>
            <w:vAlign w:val="bottom"/>
            <w:tcBorders>
              <w:bottom w:val="single" w:sz="8" w:color="auto"/>
            </w:tcBorders>
          </w:tcPr>
          <w:p>
            <w:pPr>
              <w:jc w:val="center"/>
              <w:ind w:left="552"/>
              <w:spacing w:after="0" w:line="331" w:lineRule="exact"/>
              <w:rPr>
                <w:sz w:val="20"/>
                <w:szCs w:val="20"/>
                <w:color w:val="auto"/>
              </w:rPr>
            </w:pPr>
            <w:r>
              <w:rPr>
                <w:rFonts w:ascii="Calibri" w:cs="Calibri" w:eastAsia="Calibri" w:hAnsi="Calibri"/>
                <w:sz w:val="29"/>
                <w:szCs w:val="29"/>
                <w:b w:val="1"/>
                <w:bCs w:val="1"/>
                <w:color w:val="auto"/>
                <w:w w:val="99"/>
              </w:rPr>
              <w:t>FORM 10-Q</w:t>
            </w:r>
          </w:p>
        </w:tc>
        <w:tc>
          <w:tcPr>
            <w:tcW w:w="660" w:type="dxa"/>
            <w:vAlign w:val="bottom"/>
            <w:tcBorders>
              <w:bottom w:val="single" w:sz="8" w:color="auto"/>
            </w:tcBorders>
          </w:tcPr>
          <w:p>
            <w:pPr>
              <w:spacing w:after="0"/>
              <w:rPr>
                <w:sz w:val="24"/>
                <w:szCs w:val="24"/>
                <w:color w:val="auto"/>
              </w:rPr>
            </w:pPr>
          </w:p>
        </w:tc>
        <w:tc>
          <w:tcPr>
            <w:tcW w:w="2860" w:type="dxa"/>
            <w:vAlign w:val="bottom"/>
          </w:tcPr>
          <w:p>
            <w:pPr>
              <w:spacing w:after="0"/>
              <w:rPr>
                <w:sz w:val="24"/>
                <w:szCs w:val="24"/>
                <w:color w:val="auto"/>
              </w:rPr>
            </w:pPr>
          </w:p>
        </w:tc>
      </w:tr>
      <w:tr>
        <w:trPr>
          <w:trHeight w:val="347"/>
        </w:trPr>
        <w:tc>
          <w:tcPr>
            <w:tcW w:w="12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spacing w:after="0"/>
              <w:rPr>
                <w:sz w:val="24"/>
                <w:szCs w:val="24"/>
                <w:color w:val="auto"/>
              </w:rPr>
            </w:pPr>
          </w:p>
        </w:tc>
        <w:tc>
          <w:tcPr>
            <w:tcW w:w="8320" w:type="dxa"/>
            <w:vAlign w:val="bottom"/>
            <w:gridSpan w:val="3"/>
          </w:tcPr>
          <w:p>
            <w:pPr>
              <w:jc w:val="center"/>
              <w:ind w:right="1960"/>
              <w:spacing w:after="0"/>
              <w:rPr>
                <w:sz w:val="20"/>
                <w:szCs w:val="20"/>
                <w:color w:val="auto"/>
              </w:rPr>
            </w:pPr>
            <w:r>
              <w:rPr>
                <w:rFonts w:ascii="Calibri" w:cs="Calibri" w:eastAsia="Calibri" w:hAnsi="Calibri"/>
                <w:sz w:val="20"/>
                <w:szCs w:val="20"/>
                <w:b w:val="1"/>
                <w:bCs w:val="1"/>
                <w:color w:val="auto"/>
              </w:rPr>
              <w:t>QUARTERLY REPORT PURSUANT TO SECTION 13 OR 15(d) OF THE</w:t>
            </w:r>
          </w:p>
        </w:tc>
      </w:tr>
      <w:tr>
        <w:trPr>
          <w:trHeight w:val="234"/>
        </w:trPr>
        <w:tc>
          <w:tcPr>
            <w:tcW w:w="1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800" w:type="dxa"/>
            <w:vAlign w:val="bottom"/>
          </w:tcPr>
          <w:p>
            <w:pPr>
              <w:jc w:val="center"/>
              <w:ind w:left="1472"/>
              <w:spacing w:after="0" w:line="234" w:lineRule="exact"/>
              <w:rPr>
                <w:sz w:val="20"/>
                <w:szCs w:val="20"/>
                <w:color w:val="auto"/>
              </w:rPr>
            </w:pPr>
            <w:r>
              <w:rPr>
                <w:rFonts w:ascii="Calibri" w:cs="Calibri" w:eastAsia="Calibri" w:hAnsi="Calibri"/>
                <w:sz w:val="20"/>
                <w:szCs w:val="20"/>
                <w:b w:val="1"/>
                <w:bCs w:val="1"/>
                <w:color w:val="auto"/>
              </w:rPr>
              <w:t>SECURITIES EXCHANGE ACT OF 1934</w:t>
            </w:r>
          </w:p>
        </w:tc>
        <w:tc>
          <w:tcPr>
            <w:tcW w:w="66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82"/>
        </w:trPr>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0" w:type="dxa"/>
            <w:vAlign w:val="bottom"/>
          </w:tcPr>
          <w:p>
            <w:pPr>
              <w:jc w:val="center"/>
              <w:ind w:left="552"/>
              <w:spacing w:after="0"/>
              <w:rPr>
                <w:sz w:val="20"/>
                <w:szCs w:val="20"/>
                <w:color w:val="auto"/>
              </w:rPr>
            </w:pPr>
            <w:r>
              <w:rPr>
                <w:rFonts w:ascii="Calibri" w:cs="Calibri" w:eastAsia="Calibri" w:hAnsi="Calibri"/>
                <w:sz w:val="18"/>
                <w:szCs w:val="18"/>
                <w:b w:val="1"/>
                <w:bCs w:val="1"/>
                <w:color w:val="auto"/>
                <w:w w:val="97"/>
              </w:rPr>
              <w:t>For the quarterly period ended December 29, 2024</w:t>
            </w:r>
          </w:p>
        </w:tc>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83"/>
        </w:trPr>
        <w:tc>
          <w:tcPr>
            <w:tcW w:w="12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spacing w:after="0"/>
              <w:rPr>
                <w:sz w:val="24"/>
                <w:szCs w:val="24"/>
                <w:color w:val="auto"/>
              </w:rPr>
            </w:pPr>
          </w:p>
        </w:tc>
        <w:tc>
          <w:tcPr>
            <w:tcW w:w="8320" w:type="dxa"/>
            <w:vAlign w:val="bottom"/>
            <w:gridSpan w:val="3"/>
          </w:tcPr>
          <w:p>
            <w:pPr>
              <w:jc w:val="center"/>
              <w:ind w:right="1960"/>
              <w:spacing w:after="0"/>
              <w:rPr>
                <w:sz w:val="20"/>
                <w:szCs w:val="20"/>
                <w:color w:val="auto"/>
              </w:rPr>
            </w:pPr>
            <w:r>
              <w:rPr>
                <w:rFonts w:ascii="Calibri" w:cs="Calibri" w:eastAsia="Calibri" w:hAnsi="Calibri"/>
                <w:sz w:val="20"/>
                <w:szCs w:val="20"/>
                <w:b w:val="1"/>
                <w:bCs w:val="1"/>
                <w:color w:val="auto"/>
              </w:rPr>
              <w:t>TRANSITION REPORT PURSUANT TO SECTION 13 OR 15(d) OF THE</w:t>
            </w:r>
          </w:p>
        </w:tc>
      </w:tr>
      <w:tr>
        <w:trPr>
          <w:trHeight w:val="234"/>
        </w:trPr>
        <w:tc>
          <w:tcPr>
            <w:tcW w:w="1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800" w:type="dxa"/>
            <w:vAlign w:val="bottom"/>
          </w:tcPr>
          <w:p>
            <w:pPr>
              <w:jc w:val="center"/>
              <w:ind w:left="1472"/>
              <w:spacing w:after="0" w:line="234" w:lineRule="exact"/>
              <w:rPr>
                <w:sz w:val="20"/>
                <w:szCs w:val="20"/>
                <w:color w:val="auto"/>
              </w:rPr>
            </w:pPr>
            <w:r>
              <w:rPr>
                <w:rFonts w:ascii="Calibri" w:cs="Calibri" w:eastAsia="Calibri" w:hAnsi="Calibri"/>
                <w:sz w:val="20"/>
                <w:szCs w:val="20"/>
                <w:b w:val="1"/>
                <w:bCs w:val="1"/>
                <w:color w:val="auto"/>
              </w:rPr>
              <w:t>SECURITIES EXCHANGE ACT OF 1934</w:t>
            </w:r>
          </w:p>
        </w:tc>
        <w:tc>
          <w:tcPr>
            <w:tcW w:w="66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42"/>
        </w:trPr>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0" w:type="dxa"/>
            <w:vAlign w:val="bottom"/>
          </w:tcPr>
          <w:p>
            <w:pPr>
              <w:jc w:val="center"/>
              <w:ind w:left="532"/>
              <w:spacing w:after="0"/>
              <w:rPr>
                <w:sz w:val="20"/>
                <w:szCs w:val="20"/>
                <w:color w:val="auto"/>
              </w:rPr>
            </w:pPr>
            <w:r>
              <w:rPr>
                <w:rFonts w:ascii="Calibri" w:cs="Calibri" w:eastAsia="Calibri" w:hAnsi="Calibri"/>
                <w:sz w:val="18"/>
                <w:szCs w:val="18"/>
                <w:b w:val="1"/>
                <w:bCs w:val="1"/>
                <w:color w:val="auto"/>
                <w:w w:val="99"/>
              </w:rPr>
              <w:t>Commission fle number 0-7647</w:t>
            </w:r>
          </w:p>
        </w:tc>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400"/>
        </w:trPr>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0" w:type="dxa"/>
            <w:vAlign w:val="bottom"/>
          </w:tcPr>
          <w:p>
            <w:pPr>
              <w:jc w:val="center"/>
              <w:ind w:left="552"/>
              <w:spacing w:after="0"/>
              <w:rPr>
                <w:sz w:val="20"/>
                <w:szCs w:val="20"/>
                <w:color w:val="auto"/>
              </w:rPr>
            </w:pPr>
            <w:r>
              <w:rPr>
                <w:rFonts w:ascii="Calibri" w:cs="Calibri" w:eastAsia="Calibri" w:hAnsi="Calibri"/>
                <w:sz w:val="32"/>
                <w:szCs w:val="32"/>
                <w:b w:val="1"/>
                <w:bCs w:val="1"/>
                <w:color w:val="auto"/>
              </w:rPr>
              <w:t>HAWKINS, INC.</w:t>
            </w:r>
          </w:p>
        </w:tc>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83"/>
        </w:trPr>
        <w:tc>
          <w:tcPr>
            <w:tcW w:w="1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800" w:type="dxa"/>
            <w:vAlign w:val="bottom"/>
          </w:tcPr>
          <w:p>
            <w:pPr>
              <w:jc w:val="center"/>
              <w:ind w:left="512"/>
              <w:spacing w:after="0"/>
              <w:rPr>
                <w:sz w:val="20"/>
                <w:szCs w:val="20"/>
                <w:color w:val="auto"/>
              </w:rPr>
            </w:pPr>
            <w:r>
              <w:rPr>
                <w:rFonts w:ascii="Calibri" w:cs="Calibri" w:eastAsia="Calibri" w:hAnsi="Calibri"/>
                <w:sz w:val="14"/>
                <w:szCs w:val="14"/>
                <w:b w:val="1"/>
                <w:bCs w:val="1"/>
                <w:color w:val="auto"/>
              </w:rPr>
              <w:t>(Exact name of registrant as specifed in its charter)</w:t>
            </w:r>
          </w:p>
        </w:tc>
        <w:tc>
          <w:tcPr>
            <w:tcW w:w="660" w:type="dxa"/>
            <w:vAlign w:val="bottom"/>
          </w:tcPr>
          <w:p>
            <w:pPr>
              <w:spacing w:after="0"/>
              <w:rPr>
                <w:sz w:val="15"/>
                <w:szCs w:val="15"/>
                <w:color w:val="auto"/>
              </w:rPr>
            </w:pPr>
          </w:p>
        </w:tc>
        <w:tc>
          <w:tcPr>
            <w:tcW w:w="2860" w:type="dxa"/>
            <w:vAlign w:val="bottom"/>
          </w:tcPr>
          <w:p>
            <w:pPr>
              <w:spacing w:after="0"/>
              <w:rPr>
                <w:sz w:val="15"/>
                <w:szCs w:val="15"/>
                <w:color w:val="auto"/>
              </w:rPr>
            </w:pPr>
          </w:p>
        </w:tc>
      </w:tr>
      <w:tr>
        <w:trPr>
          <w:trHeight w:val="47"/>
        </w:trPr>
        <w:tc>
          <w:tcPr>
            <w:tcW w:w="120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gridSpan w:val="2"/>
          </w:tcPr>
          <w:p>
            <w:pPr>
              <w:spacing w:after="0"/>
              <w:rPr>
                <w:sz w:val="4"/>
                <w:szCs w:val="4"/>
                <w:color w:val="auto"/>
              </w:rPr>
            </w:pPr>
          </w:p>
        </w:tc>
        <w:tc>
          <w:tcPr>
            <w:tcW w:w="3520" w:type="dxa"/>
            <w:vAlign w:val="bottom"/>
            <w:tcBorders>
              <w:bottom w:val="single" w:sz="8" w:color="auto"/>
            </w:tcBorders>
            <w:gridSpan w:val="2"/>
          </w:tcPr>
          <w:p>
            <w:pPr>
              <w:spacing w:after="0"/>
              <w:rPr>
                <w:sz w:val="4"/>
                <w:szCs w:val="4"/>
                <w:color w:val="auto"/>
              </w:rPr>
            </w:pPr>
          </w:p>
        </w:tc>
      </w:tr>
      <w:tr>
        <w:trPr>
          <w:trHeight w:val="321"/>
        </w:trPr>
        <w:tc>
          <w:tcPr>
            <w:tcW w:w="1200" w:type="dxa"/>
            <w:vAlign w:val="bottom"/>
          </w:tcPr>
          <w:p>
            <w:pPr>
              <w:spacing w:after="0"/>
              <w:rPr>
                <w:sz w:val="24"/>
                <w:szCs w:val="24"/>
                <w:color w:val="auto"/>
              </w:rPr>
            </w:pPr>
          </w:p>
        </w:tc>
        <w:tc>
          <w:tcPr>
            <w:tcW w:w="6480" w:type="dxa"/>
            <w:vAlign w:val="bottom"/>
            <w:gridSpan w:val="2"/>
          </w:tcPr>
          <w:p>
            <w:pPr>
              <w:jc w:val="center"/>
              <w:ind w:right="3232"/>
              <w:spacing w:after="0"/>
              <w:rPr>
                <w:sz w:val="20"/>
                <w:szCs w:val="20"/>
                <w:color w:val="auto"/>
              </w:rPr>
            </w:pPr>
            <w:r>
              <w:rPr>
                <w:rFonts w:ascii="Calibri" w:cs="Calibri" w:eastAsia="Calibri" w:hAnsi="Calibri"/>
                <w:sz w:val="18"/>
                <w:szCs w:val="18"/>
                <w:b w:val="1"/>
                <w:bCs w:val="1"/>
                <w:color w:val="auto"/>
                <w:w w:val="96"/>
              </w:rPr>
              <w:t>Minnesota</w:t>
            </w:r>
          </w:p>
        </w:tc>
        <w:tc>
          <w:tcPr>
            <w:tcW w:w="3520" w:type="dxa"/>
            <w:vAlign w:val="bottom"/>
            <w:gridSpan w:val="2"/>
          </w:tcPr>
          <w:p>
            <w:pPr>
              <w:jc w:val="center"/>
              <w:ind w:right="1800"/>
              <w:spacing w:after="0"/>
              <w:rPr>
                <w:sz w:val="20"/>
                <w:szCs w:val="20"/>
                <w:color w:val="auto"/>
              </w:rPr>
            </w:pPr>
            <w:r>
              <w:rPr>
                <w:rFonts w:ascii="Calibri" w:cs="Calibri" w:eastAsia="Calibri" w:hAnsi="Calibri"/>
                <w:sz w:val="18"/>
                <w:szCs w:val="18"/>
                <w:b w:val="1"/>
                <w:bCs w:val="1"/>
                <w:color w:val="auto"/>
                <w:w w:val="95"/>
              </w:rPr>
              <w:t>41-0771293</w:t>
            </w:r>
          </w:p>
        </w:tc>
      </w:tr>
      <w:tr>
        <w:trPr>
          <w:trHeight w:val="23"/>
        </w:trPr>
        <w:tc>
          <w:tcPr>
            <w:tcW w:w="120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gridSpan w:val="2"/>
          </w:tcPr>
          <w:p>
            <w:pPr>
              <w:spacing w:after="0"/>
              <w:rPr>
                <w:sz w:val="2"/>
                <w:szCs w:val="2"/>
                <w:color w:val="auto"/>
              </w:rPr>
            </w:pPr>
          </w:p>
        </w:tc>
        <w:tc>
          <w:tcPr>
            <w:tcW w:w="3520" w:type="dxa"/>
            <w:vAlign w:val="bottom"/>
            <w:tcBorders>
              <w:bottom w:val="single" w:sz="8" w:color="auto"/>
            </w:tcBorders>
            <w:gridSpan w:val="2"/>
          </w:tcPr>
          <w:p>
            <w:pPr>
              <w:spacing w:after="0"/>
              <w:rPr>
                <w:sz w:val="2"/>
                <w:szCs w:val="2"/>
                <w:color w:val="auto"/>
              </w:rPr>
            </w:pPr>
          </w:p>
        </w:tc>
      </w:tr>
      <w:tr>
        <w:trPr>
          <w:trHeight w:val="115"/>
        </w:trPr>
        <w:tc>
          <w:tcPr>
            <w:tcW w:w="1200" w:type="dxa"/>
            <w:vAlign w:val="bottom"/>
          </w:tcPr>
          <w:p>
            <w:pPr>
              <w:spacing w:after="0"/>
              <w:rPr>
                <w:sz w:val="10"/>
                <w:szCs w:val="10"/>
                <w:color w:val="auto"/>
              </w:rPr>
            </w:pPr>
          </w:p>
        </w:tc>
        <w:tc>
          <w:tcPr>
            <w:tcW w:w="6480" w:type="dxa"/>
            <w:vAlign w:val="bottom"/>
            <w:gridSpan w:val="2"/>
          </w:tcPr>
          <w:p>
            <w:pPr>
              <w:jc w:val="center"/>
              <w:ind w:right="3232"/>
              <w:spacing w:after="0" w:line="115" w:lineRule="exact"/>
              <w:rPr>
                <w:sz w:val="20"/>
                <w:szCs w:val="20"/>
                <w:color w:val="auto"/>
              </w:rPr>
            </w:pPr>
            <w:r>
              <w:rPr>
                <w:rFonts w:ascii="Calibri" w:cs="Calibri" w:eastAsia="Calibri" w:hAnsi="Calibri"/>
                <w:sz w:val="12"/>
                <w:szCs w:val="12"/>
                <w:b w:val="1"/>
                <w:bCs w:val="1"/>
                <w:color w:val="auto"/>
              </w:rPr>
              <w:t>(State or other jurisdicton of</w:t>
            </w:r>
          </w:p>
        </w:tc>
        <w:tc>
          <w:tcPr>
            <w:tcW w:w="3520" w:type="dxa"/>
            <w:vAlign w:val="bottom"/>
            <w:gridSpan w:val="2"/>
          </w:tcPr>
          <w:p>
            <w:pPr>
              <w:jc w:val="center"/>
              <w:ind w:right="1800"/>
              <w:spacing w:after="0" w:line="115" w:lineRule="exact"/>
              <w:rPr>
                <w:sz w:val="20"/>
                <w:szCs w:val="20"/>
                <w:color w:val="auto"/>
              </w:rPr>
            </w:pPr>
            <w:r>
              <w:rPr>
                <w:rFonts w:ascii="Calibri" w:cs="Calibri" w:eastAsia="Calibri" w:hAnsi="Calibri"/>
                <w:sz w:val="12"/>
                <w:szCs w:val="12"/>
                <w:b w:val="1"/>
                <w:bCs w:val="1"/>
                <w:color w:val="auto"/>
              </w:rPr>
              <w:t>(I.R.S. Employer</w:t>
            </w:r>
          </w:p>
        </w:tc>
      </w:tr>
      <w:tr>
        <w:trPr>
          <w:trHeight w:val="170"/>
        </w:trPr>
        <w:tc>
          <w:tcPr>
            <w:tcW w:w="1200" w:type="dxa"/>
            <w:vAlign w:val="bottom"/>
          </w:tcPr>
          <w:p>
            <w:pPr>
              <w:spacing w:after="0"/>
              <w:rPr>
                <w:sz w:val="14"/>
                <w:szCs w:val="14"/>
                <w:color w:val="auto"/>
              </w:rPr>
            </w:pPr>
          </w:p>
        </w:tc>
        <w:tc>
          <w:tcPr>
            <w:tcW w:w="6480" w:type="dxa"/>
            <w:vAlign w:val="bottom"/>
            <w:gridSpan w:val="2"/>
          </w:tcPr>
          <w:p>
            <w:pPr>
              <w:jc w:val="center"/>
              <w:ind w:right="3232"/>
              <w:spacing w:after="0"/>
              <w:rPr>
                <w:sz w:val="20"/>
                <w:szCs w:val="20"/>
                <w:color w:val="auto"/>
              </w:rPr>
            </w:pPr>
            <w:r>
              <w:rPr>
                <w:rFonts w:ascii="Calibri" w:cs="Calibri" w:eastAsia="Calibri" w:hAnsi="Calibri"/>
                <w:sz w:val="14"/>
                <w:szCs w:val="14"/>
                <w:b w:val="1"/>
                <w:bCs w:val="1"/>
                <w:color w:val="auto"/>
              </w:rPr>
              <w:t>incorporaton or organizaton)</w:t>
            </w:r>
          </w:p>
        </w:tc>
        <w:tc>
          <w:tcPr>
            <w:tcW w:w="3520" w:type="dxa"/>
            <w:vAlign w:val="bottom"/>
            <w:gridSpan w:val="2"/>
          </w:tcPr>
          <w:p>
            <w:pPr>
              <w:jc w:val="center"/>
              <w:ind w:right="1800"/>
              <w:spacing w:after="0"/>
              <w:rPr>
                <w:sz w:val="20"/>
                <w:szCs w:val="20"/>
                <w:color w:val="auto"/>
              </w:rPr>
            </w:pPr>
            <w:r>
              <w:rPr>
                <w:rFonts w:ascii="Calibri" w:cs="Calibri" w:eastAsia="Calibri" w:hAnsi="Calibri"/>
                <w:sz w:val="14"/>
                <w:szCs w:val="14"/>
                <w:b w:val="1"/>
                <w:bCs w:val="1"/>
                <w:color w:val="auto"/>
              </w:rPr>
              <w:t>Identfcaton No.)</w:t>
            </w:r>
          </w:p>
        </w:tc>
      </w:tr>
      <w:tr>
        <w:trPr>
          <w:trHeight w:val="414"/>
        </w:trPr>
        <w:tc>
          <w:tcPr>
            <w:tcW w:w="1200" w:type="dxa"/>
            <w:vAlign w:val="bottom"/>
          </w:tcPr>
          <w:p>
            <w:pPr>
              <w:spacing w:after="0"/>
              <w:rPr>
                <w:sz w:val="24"/>
                <w:szCs w:val="24"/>
                <w:color w:val="auto"/>
              </w:rPr>
            </w:pPr>
          </w:p>
        </w:tc>
        <w:tc>
          <w:tcPr>
            <w:tcW w:w="6480" w:type="dxa"/>
            <w:vAlign w:val="bottom"/>
            <w:gridSpan w:val="2"/>
          </w:tcPr>
          <w:p>
            <w:pPr>
              <w:jc w:val="center"/>
              <w:ind w:right="1952"/>
              <w:spacing w:after="0"/>
              <w:rPr>
                <w:sz w:val="20"/>
                <w:szCs w:val="20"/>
                <w:color w:val="auto"/>
              </w:rPr>
            </w:pPr>
            <w:r>
              <w:rPr>
                <w:rFonts w:ascii="Calibri" w:cs="Calibri" w:eastAsia="Calibri" w:hAnsi="Calibri"/>
                <w:sz w:val="18"/>
                <w:szCs w:val="18"/>
                <w:b w:val="1"/>
                <w:bCs w:val="1"/>
                <w:color w:val="auto"/>
                <w:w w:val="96"/>
              </w:rPr>
              <w:t>2381 Rosegate, Roseville, Minnesota</w:t>
            </w:r>
          </w:p>
        </w:tc>
        <w:tc>
          <w:tcPr>
            <w:tcW w:w="660" w:type="dxa"/>
            <w:vAlign w:val="bottom"/>
          </w:tcPr>
          <w:p>
            <w:pPr>
              <w:jc w:val="right"/>
              <w:spacing w:after="0"/>
              <w:rPr>
                <w:sz w:val="20"/>
                <w:szCs w:val="20"/>
                <w:color w:val="auto"/>
              </w:rPr>
            </w:pPr>
            <w:r>
              <w:rPr>
                <w:rFonts w:ascii="Calibri" w:cs="Calibri" w:eastAsia="Calibri" w:hAnsi="Calibri"/>
                <w:sz w:val="18"/>
                <w:szCs w:val="18"/>
                <w:b w:val="1"/>
                <w:bCs w:val="1"/>
                <w:color w:val="auto"/>
              </w:rPr>
              <w:t>55113</w:t>
            </w:r>
          </w:p>
        </w:tc>
        <w:tc>
          <w:tcPr>
            <w:tcW w:w="2860" w:type="dxa"/>
            <w:vAlign w:val="bottom"/>
          </w:tcPr>
          <w:p>
            <w:pPr>
              <w:spacing w:after="0"/>
              <w:rPr>
                <w:sz w:val="24"/>
                <w:szCs w:val="24"/>
                <w:color w:val="auto"/>
              </w:rPr>
            </w:pPr>
          </w:p>
        </w:tc>
      </w:tr>
      <w:tr>
        <w:trPr>
          <w:trHeight w:val="233"/>
        </w:trPr>
        <w:tc>
          <w:tcPr>
            <w:tcW w:w="1200" w:type="dxa"/>
            <w:vAlign w:val="bottom"/>
          </w:tcPr>
          <w:p>
            <w:pPr>
              <w:spacing w:after="0"/>
              <w:rPr>
                <w:sz w:val="20"/>
                <w:szCs w:val="20"/>
                <w:color w:val="auto"/>
              </w:rPr>
            </w:pPr>
          </w:p>
        </w:tc>
        <w:tc>
          <w:tcPr>
            <w:tcW w:w="6480" w:type="dxa"/>
            <w:vAlign w:val="bottom"/>
            <w:gridSpan w:val="2"/>
          </w:tcPr>
          <w:p>
            <w:pPr>
              <w:jc w:val="center"/>
              <w:ind w:right="1952"/>
              <w:spacing w:after="0"/>
              <w:rPr>
                <w:sz w:val="20"/>
                <w:szCs w:val="20"/>
                <w:color w:val="auto"/>
              </w:rPr>
            </w:pPr>
            <w:r>
              <w:rPr>
                <w:rFonts w:ascii="Calibri" w:cs="Calibri" w:eastAsia="Calibri" w:hAnsi="Calibri"/>
                <w:sz w:val="14"/>
                <w:szCs w:val="14"/>
                <w:b w:val="1"/>
                <w:bCs w:val="1"/>
                <w:color w:val="auto"/>
              </w:rPr>
              <w:t>(Address of principal executve ofces)</w:t>
            </w:r>
          </w:p>
        </w:tc>
        <w:tc>
          <w:tcPr>
            <w:tcW w:w="3520" w:type="dxa"/>
            <w:vAlign w:val="bottom"/>
            <w:gridSpan w:val="2"/>
          </w:tcPr>
          <w:p>
            <w:pPr>
              <w:jc w:val="center"/>
              <w:ind w:right="2740"/>
              <w:spacing w:after="0"/>
              <w:rPr>
                <w:sz w:val="20"/>
                <w:szCs w:val="20"/>
                <w:color w:val="auto"/>
              </w:rPr>
            </w:pPr>
            <w:r>
              <w:rPr>
                <w:rFonts w:ascii="Calibri" w:cs="Calibri" w:eastAsia="Calibri" w:hAnsi="Calibri"/>
                <w:sz w:val="14"/>
                <w:szCs w:val="14"/>
                <w:b w:val="1"/>
                <w:bCs w:val="1"/>
                <w:color w:val="auto"/>
              </w:rPr>
              <w:t>(Zip code)</w:t>
            </w:r>
          </w:p>
        </w:tc>
      </w:tr>
      <w:tr>
        <w:trPr>
          <w:trHeight w:val="442"/>
        </w:trPr>
        <w:tc>
          <w:tcPr>
            <w:tcW w:w="1200" w:type="dxa"/>
            <w:vAlign w:val="bottom"/>
          </w:tcPr>
          <w:p>
            <w:pPr>
              <w:spacing w:after="0"/>
              <w:rPr>
                <w:sz w:val="24"/>
                <w:szCs w:val="24"/>
                <w:color w:val="auto"/>
              </w:rPr>
            </w:pPr>
          </w:p>
        </w:tc>
        <w:tc>
          <w:tcPr>
            <w:tcW w:w="6480" w:type="dxa"/>
            <w:vAlign w:val="bottom"/>
            <w:gridSpan w:val="2"/>
          </w:tcPr>
          <w:p>
            <w:pPr>
              <w:jc w:val="center"/>
              <w:ind w:left="2261"/>
              <w:spacing w:after="0"/>
              <w:rPr>
                <w:sz w:val="20"/>
                <w:szCs w:val="20"/>
                <w:color w:val="auto"/>
              </w:rPr>
            </w:pPr>
            <w:r>
              <w:rPr>
                <w:rFonts w:ascii="Calibri" w:cs="Calibri" w:eastAsia="Calibri" w:hAnsi="Calibri"/>
                <w:sz w:val="18"/>
                <w:szCs w:val="18"/>
                <w:b w:val="1"/>
                <w:bCs w:val="1"/>
                <w:color w:val="auto"/>
                <w:w w:val="98"/>
              </w:rPr>
              <w:t>(612) 331-6910</w:t>
            </w:r>
          </w:p>
        </w:tc>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93"/>
        </w:trPr>
        <w:tc>
          <w:tcPr>
            <w:tcW w:w="1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800" w:type="dxa"/>
            <w:vAlign w:val="bottom"/>
          </w:tcPr>
          <w:p>
            <w:pPr>
              <w:jc w:val="center"/>
              <w:ind w:left="532"/>
              <w:spacing w:after="0"/>
              <w:rPr>
                <w:sz w:val="20"/>
                <w:szCs w:val="20"/>
                <w:color w:val="auto"/>
              </w:rPr>
            </w:pPr>
            <w:r>
              <w:rPr>
                <w:rFonts w:ascii="Calibri" w:cs="Calibri" w:eastAsia="Calibri" w:hAnsi="Calibri"/>
                <w:sz w:val="14"/>
                <w:szCs w:val="14"/>
                <w:b w:val="1"/>
                <w:bCs w:val="1"/>
                <w:color w:val="auto"/>
              </w:rPr>
              <w:t>(Registrant’s telephone number, including area code)</w:t>
            </w:r>
          </w:p>
        </w:tc>
        <w:tc>
          <w:tcPr>
            <w:tcW w:w="66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47"/>
        </w:trPr>
        <w:tc>
          <w:tcPr>
            <w:tcW w:w="1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60" w:type="dxa"/>
            <w:vAlign w:val="bottom"/>
          </w:tcPr>
          <w:p>
            <w:pPr>
              <w:spacing w:after="0"/>
              <w:rPr>
                <w:sz w:val="4"/>
                <w:szCs w:val="4"/>
                <w:color w:val="auto"/>
              </w:rPr>
            </w:pPr>
          </w:p>
        </w:tc>
      </w:tr>
    </w:tbl>
    <w:p>
      <w:pPr>
        <w:spacing w:after="0" w:line="28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Calibri" w:cs="Calibri" w:eastAsia="Calibri" w:hAnsi="Calibri"/>
          <w:sz w:val="18"/>
          <w:szCs w:val="18"/>
          <w:color w:val="auto"/>
        </w:rPr>
        <w:t>Securites registered pursuant to Secton 12(b) of the Act:</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3300" w:type="dxa"/>
            <w:vAlign w:val="bottom"/>
          </w:tcPr>
          <w:p>
            <w:pPr>
              <w:ind w:left="1180"/>
              <w:spacing w:after="0"/>
              <w:rPr>
                <w:sz w:val="20"/>
                <w:szCs w:val="20"/>
                <w:color w:val="auto"/>
              </w:rPr>
            </w:pPr>
            <w:r>
              <w:rPr>
                <w:rFonts w:ascii="Calibri" w:cs="Calibri" w:eastAsia="Calibri" w:hAnsi="Calibri"/>
                <w:sz w:val="16"/>
                <w:szCs w:val="16"/>
                <w:b w:val="1"/>
                <w:bCs w:val="1"/>
                <w:color w:val="auto"/>
              </w:rPr>
              <w:t>Title of each class</w:t>
            </w:r>
          </w:p>
        </w:tc>
        <w:tc>
          <w:tcPr>
            <w:tcW w:w="2440" w:type="dxa"/>
            <w:vAlign w:val="bottom"/>
          </w:tcPr>
          <w:p>
            <w:pPr>
              <w:jc w:val="center"/>
              <w:spacing w:after="0"/>
              <w:rPr>
                <w:sz w:val="20"/>
                <w:szCs w:val="20"/>
                <w:color w:val="auto"/>
              </w:rPr>
            </w:pPr>
            <w:r>
              <w:rPr>
                <w:rFonts w:ascii="Calibri" w:cs="Calibri" w:eastAsia="Calibri" w:hAnsi="Calibri"/>
                <w:sz w:val="16"/>
                <w:szCs w:val="16"/>
                <w:b w:val="1"/>
                <w:bCs w:val="1"/>
                <w:color w:val="auto"/>
              </w:rPr>
              <w:t>Trading Symbol(s)</w:t>
            </w:r>
          </w:p>
        </w:tc>
        <w:tc>
          <w:tcPr>
            <w:tcW w:w="4480" w:type="dxa"/>
            <w:vAlign w:val="bottom"/>
          </w:tcPr>
          <w:p>
            <w:pPr>
              <w:jc w:val="center"/>
              <w:ind w:right="159"/>
              <w:spacing w:after="0"/>
              <w:rPr>
                <w:sz w:val="20"/>
                <w:szCs w:val="20"/>
                <w:color w:val="auto"/>
              </w:rPr>
            </w:pPr>
            <w:r>
              <w:rPr>
                <w:rFonts w:ascii="Calibri" w:cs="Calibri" w:eastAsia="Calibri" w:hAnsi="Calibri"/>
                <w:sz w:val="16"/>
                <w:szCs w:val="16"/>
                <w:b w:val="1"/>
                <w:bCs w:val="1"/>
                <w:color w:val="auto"/>
              </w:rPr>
              <w:t>Name of each exchange on which registered</w:t>
            </w:r>
          </w:p>
        </w:tc>
      </w:tr>
      <w:tr>
        <w:trPr>
          <w:trHeight w:val="28"/>
        </w:trPr>
        <w:tc>
          <w:tcPr>
            <w:tcW w:w="33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187"/>
        </w:trPr>
        <w:tc>
          <w:tcPr>
            <w:tcW w:w="3300" w:type="dxa"/>
            <w:vAlign w:val="bottom"/>
          </w:tcPr>
          <w:p>
            <w:pPr>
              <w:ind w:left="20"/>
              <w:spacing w:after="0" w:line="187" w:lineRule="exact"/>
              <w:rPr>
                <w:sz w:val="20"/>
                <w:szCs w:val="20"/>
                <w:color w:val="auto"/>
              </w:rPr>
            </w:pPr>
            <w:r>
              <w:rPr>
                <w:rFonts w:ascii="Calibri" w:cs="Calibri" w:eastAsia="Calibri" w:hAnsi="Calibri"/>
                <w:sz w:val="16"/>
                <w:szCs w:val="16"/>
                <w:color w:val="auto"/>
              </w:rPr>
              <w:t>Common Stock, par value $.01 per share</w:t>
            </w:r>
          </w:p>
        </w:tc>
        <w:tc>
          <w:tcPr>
            <w:tcW w:w="2440" w:type="dxa"/>
            <w:vAlign w:val="bottom"/>
          </w:tcPr>
          <w:p>
            <w:pPr>
              <w:jc w:val="center"/>
              <w:spacing w:after="0" w:line="187" w:lineRule="exact"/>
              <w:rPr>
                <w:sz w:val="20"/>
                <w:szCs w:val="20"/>
                <w:color w:val="auto"/>
              </w:rPr>
            </w:pPr>
            <w:r>
              <w:rPr>
                <w:rFonts w:ascii="Calibri" w:cs="Calibri" w:eastAsia="Calibri" w:hAnsi="Calibri"/>
                <w:sz w:val="16"/>
                <w:szCs w:val="16"/>
                <w:color w:val="auto"/>
              </w:rPr>
              <w:t>HWKN</w:t>
            </w:r>
          </w:p>
        </w:tc>
        <w:tc>
          <w:tcPr>
            <w:tcW w:w="4480" w:type="dxa"/>
            <w:vAlign w:val="bottom"/>
          </w:tcPr>
          <w:p>
            <w:pPr>
              <w:jc w:val="center"/>
              <w:ind w:right="159"/>
              <w:spacing w:after="0" w:line="187" w:lineRule="exact"/>
              <w:rPr>
                <w:sz w:val="20"/>
                <w:szCs w:val="20"/>
                <w:color w:val="auto"/>
              </w:rPr>
            </w:pPr>
            <w:r>
              <w:rPr>
                <w:rFonts w:ascii="Calibri" w:cs="Calibri" w:eastAsia="Calibri" w:hAnsi="Calibri"/>
                <w:sz w:val="16"/>
                <w:szCs w:val="16"/>
                <w:color w:val="auto"/>
                <w:w w:val="99"/>
              </w:rPr>
              <w:t>The Nasdaq Stock Market LLC</w:t>
            </w:r>
          </w:p>
        </w:tc>
      </w:tr>
    </w:tbl>
    <w:p>
      <w:pPr>
        <w:spacing w:after="0" w:line="243" w:lineRule="exact"/>
        <w:rPr>
          <w:sz w:val="24"/>
          <w:szCs w:val="24"/>
          <w:color w:val="auto"/>
        </w:rPr>
      </w:pPr>
    </w:p>
    <w:p>
      <w:pPr>
        <w:jc w:val="both"/>
        <w:ind w:right="40"/>
        <w:spacing w:after="0" w:line="233" w:lineRule="exact"/>
        <w:rPr>
          <w:sz w:val="20"/>
          <w:szCs w:val="20"/>
          <w:color w:val="auto"/>
        </w:rPr>
      </w:pPr>
      <w:r>
        <w:rPr>
          <w:rFonts w:ascii="Calibri" w:cs="Calibri" w:eastAsia="Calibri" w:hAnsi="Calibri"/>
          <w:sz w:val="18"/>
          <w:szCs w:val="18"/>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8"/>
          <w:szCs w:val="18"/>
          <w:color w:val="auto"/>
        </w:rPr>
        <w:t>☒</w:t>
      </w:r>
      <w:r>
        <w:rPr>
          <w:rFonts w:ascii="Calibri" w:cs="Calibri" w:eastAsia="Calibri" w:hAnsi="Calibri"/>
          <w:sz w:val="18"/>
          <w:szCs w:val="18"/>
          <w:color w:val="auto"/>
        </w:rPr>
        <w:t xml:space="preserve"> No </w:t>
      </w:r>
      <w:r>
        <w:rPr>
          <w:rFonts w:ascii="MS PGothic" w:cs="MS PGothic" w:eastAsia="MS PGothic" w:hAnsi="MS PGothic"/>
          <w:sz w:val="18"/>
          <w:szCs w:val="18"/>
          <w:color w:val="auto"/>
        </w:rPr>
        <w:t>☐</w:t>
      </w:r>
    </w:p>
    <w:p>
      <w:pPr>
        <w:spacing w:after="0" w:line="126" w:lineRule="exact"/>
        <w:rPr>
          <w:sz w:val="24"/>
          <w:szCs w:val="24"/>
          <w:color w:val="auto"/>
        </w:rPr>
      </w:pPr>
    </w:p>
    <w:p>
      <w:pPr>
        <w:ind w:right="500"/>
        <w:spacing w:after="0" w:line="233" w:lineRule="exact"/>
        <w:rPr>
          <w:sz w:val="20"/>
          <w:szCs w:val="20"/>
          <w:color w:val="auto"/>
        </w:rPr>
      </w:pPr>
      <w:r>
        <w:rPr>
          <w:rFonts w:ascii="Calibri" w:cs="Calibri" w:eastAsia="Calibri" w:hAnsi="Calibri"/>
          <w:sz w:val="18"/>
          <w:szCs w:val="18"/>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8"/>
          <w:szCs w:val="18"/>
          <w:color w:val="auto"/>
        </w:rPr>
        <w:t>☒</w:t>
      </w:r>
      <w:r>
        <w:rPr>
          <w:rFonts w:ascii="Calibri" w:cs="Calibri" w:eastAsia="Calibri" w:hAnsi="Calibri"/>
          <w:sz w:val="18"/>
          <w:szCs w:val="18"/>
          <w:color w:val="auto"/>
        </w:rPr>
        <w:t xml:space="preserve"> No </w:t>
      </w:r>
      <w:r>
        <w:rPr>
          <w:rFonts w:ascii="MS PGothic" w:cs="MS PGothic" w:eastAsia="MS PGothic" w:hAnsi="MS PGothic"/>
          <w:sz w:val="18"/>
          <w:szCs w:val="18"/>
          <w:color w:val="auto"/>
        </w:rPr>
        <w:t>☐</w:t>
      </w:r>
    </w:p>
    <w:p>
      <w:pPr>
        <w:spacing w:after="0" w:line="126" w:lineRule="exact"/>
        <w:rPr>
          <w:sz w:val="24"/>
          <w:szCs w:val="24"/>
          <w:color w:val="auto"/>
        </w:rPr>
      </w:pPr>
    </w:p>
    <w:p>
      <w:pPr>
        <w:ind w:right="100"/>
        <w:spacing w:after="0" w:line="235" w:lineRule="auto"/>
        <w:rPr>
          <w:sz w:val="20"/>
          <w:szCs w:val="20"/>
          <w:color w:val="auto"/>
        </w:rPr>
      </w:pPr>
      <w:r>
        <w:rPr>
          <w:rFonts w:ascii="Calibri" w:cs="Calibri" w:eastAsia="Calibri" w:hAnsi="Calibri"/>
          <w:sz w:val="18"/>
          <w:szCs w:val="18"/>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330"/>
        </w:trPr>
        <w:tc>
          <w:tcPr>
            <w:tcW w:w="1940" w:type="dxa"/>
            <w:vAlign w:val="bottom"/>
          </w:tcPr>
          <w:p>
            <w:pPr>
              <w:spacing w:after="0"/>
              <w:rPr>
                <w:sz w:val="20"/>
                <w:szCs w:val="20"/>
                <w:color w:val="auto"/>
              </w:rPr>
            </w:pPr>
            <w:r>
              <w:rPr>
                <w:rFonts w:ascii="Calibri" w:cs="Calibri" w:eastAsia="Calibri" w:hAnsi="Calibri"/>
                <w:sz w:val="18"/>
                <w:szCs w:val="18"/>
                <w:color w:val="auto"/>
              </w:rPr>
              <w:t>Large accelerated fler</w:t>
            </w:r>
          </w:p>
        </w:tc>
        <w:tc>
          <w:tcPr>
            <w:tcW w:w="31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60"/>
              <w:spacing w:after="0"/>
              <w:rPr>
                <w:sz w:val="20"/>
                <w:szCs w:val="20"/>
                <w:color w:val="auto"/>
              </w:rPr>
            </w:pPr>
            <w:r>
              <w:rPr>
                <w:rFonts w:ascii="Calibri" w:cs="Calibri" w:eastAsia="Calibri" w:hAnsi="Calibri"/>
                <w:sz w:val="18"/>
                <w:szCs w:val="18"/>
                <w:color w:val="auto"/>
              </w:rPr>
              <w:t>Accelerated fler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1940" w:type="dxa"/>
            <w:vAlign w:val="bottom"/>
          </w:tcPr>
          <w:p>
            <w:pPr>
              <w:spacing w:after="0"/>
              <w:rPr>
                <w:sz w:val="20"/>
                <w:szCs w:val="20"/>
                <w:color w:val="auto"/>
              </w:rPr>
            </w:pPr>
            <w:r>
              <w:rPr>
                <w:rFonts w:ascii="Calibri" w:cs="Calibri" w:eastAsia="Calibri" w:hAnsi="Calibri"/>
                <w:sz w:val="18"/>
                <w:szCs w:val="18"/>
                <w:color w:val="auto"/>
              </w:rPr>
              <w:t>Non-accelerated fler</w:t>
            </w:r>
          </w:p>
        </w:tc>
        <w:tc>
          <w:tcPr>
            <w:tcW w:w="31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60"/>
              <w:spacing w:after="0"/>
              <w:rPr>
                <w:sz w:val="20"/>
                <w:szCs w:val="20"/>
                <w:color w:val="auto"/>
              </w:rPr>
            </w:pPr>
            <w:r>
              <w:rPr>
                <w:rFonts w:ascii="Calibri" w:cs="Calibri" w:eastAsia="Calibri" w:hAnsi="Calibri"/>
                <w:sz w:val="18"/>
                <w:szCs w:val="18"/>
                <w:color w:val="auto"/>
              </w:rPr>
              <w:t>Smaller reportng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9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060" w:type="dxa"/>
            <w:vAlign w:val="bottom"/>
          </w:tcPr>
          <w:p>
            <w:pPr>
              <w:ind w:left="2660"/>
              <w:spacing w:after="0"/>
              <w:rPr>
                <w:sz w:val="20"/>
                <w:szCs w:val="20"/>
                <w:color w:val="auto"/>
              </w:rPr>
            </w:pPr>
            <w:r>
              <w:rPr>
                <w:rFonts w:ascii="Calibri" w:cs="Calibri" w:eastAsia="Calibri" w:hAnsi="Calibri"/>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9" w:lineRule="exact"/>
        <w:rPr>
          <w:sz w:val="24"/>
          <w:szCs w:val="24"/>
          <w:color w:val="auto"/>
        </w:rPr>
      </w:pPr>
    </w:p>
    <w:p>
      <w:pPr>
        <w:ind w:right="100"/>
        <w:spacing w:after="0" w:line="240" w:lineRule="exact"/>
        <w:rPr>
          <w:sz w:val="20"/>
          <w:szCs w:val="20"/>
          <w:color w:val="auto"/>
        </w:rPr>
      </w:pPr>
      <w:r>
        <w:rPr>
          <w:rFonts w:ascii="Calibri" w:cs="Calibri" w:eastAsia="Calibri" w:hAnsi="Calibri"/>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197" w:lineRule="auto"/>
        <w:rPr>
          <w:sz w:val="20"/>
          <w:szCs w:val="20"/>
          <w:color w:val="auto"/>
        </w:rPr>
      </w:pPr>
      <w:r>
        <w:rPr>
          <w:rFonts w:ascii="Calibri" w:cs="Calibri" w:eastAsia="Calibri" w:hAnsi="Calibri"/>
          <w:sz w:val="18"/>
          <w:szCs w:val="18"/>
          <w:color w:val="auto"/>
        </w:rPr>
        <w:t>Indicate by check mark whether the registrant is a shell company (as defned in Rule 12b-2 of the Exchange Act).</w:t>
      </w:r>
    </w:p>
    <w:p>
      <w:pPr>
        <w:ind w:left="660"/>
        <w:spacing w:after="0" w:line="220" w:lineRule="exact"/>
        <w:tabs>
          <w:tab w:leader="none" w:pos="1280" w:val="left"/>
        </w:tabs>
        <w:rPr>
          <w:sz w:val="20"/>
          <w:szCs w:val="20"/>
          <w:color w:val="auto"/>
        </w:rPr>
      </w:pPr>
      <w:r>
        <w:rPr>
          <w:rFonts w:ascii="Calibri" w:cs="Calibri" w:eastAsia="Calibri" w:hAnsi="Calibri"/>
          <w:sz w:val="18"/>
          <w:szCs w:val="18"/>
          <w:color w:val="auto"/>
        </w:rPr>
        <w:t xml:space="preserve">Yes </w:t>
      </w:r>
      <w:r>
        <w:rPr>
          <w:rFonts w:ascii="MS PGothic" w:cs="MS PGothic" w:eastAsia="MS PGothic" w:hAnsi="MS PGothic"/>
          <w:sz w:val="18"/>
          <w:szCs w:val="18"/>
          <w:color w:val="auto"/>
        </w:rPr>
        <w:t>☐</w:t>
      </w:r>
      <w:r>
        <w:rPr>
          <w:rFonts w:ascii="Calibri" w:cs="Calibri" w:eastAsia="Calibri" w:hAnsi="Calibri"/>
          <w:sz w:val="18"/>
          <w:szCs w:val="18"/>
          <w:color w:val="auto"/>
        </w:rPr>
        <w:tab/>
        <w:t xml:space="preserve">No </w:t>
      </w:r>
      <w:r>
        <w:rPr>
          <w:rFonts w:ascii="MS PGothic" w:cs="MS PGothic" w:eastAsia="MS PGothic" w:hAnsi="MS PGothic"/>
          <w:sz w:val="18"/>
          <w:szCs w:val="18"/>
          <w:color w:val="auto"/>
        </w:rPr>
        <w:t>☒</w:t>
      </w:r>
    </w:p>
    <w:p>
      <w:pPr>
        <w:spacing w:after="0" w:line="6" w:lineRule="exact"/>
        <w:rPr>
          <w:sz w:val="24"/>
          <w:szCs w:val="24"/>
          <w:color w:val="auto"/>
        </w:rPr>
      </w:pPr>
    </w:p>
    <w:p>
      <w:pPr>
        <w:spacing w:after="0"/>
        <w:rPr>
          <w:sz w:val="20"/>
          <w:szCs w:val="20"/>
          <w:color w:val="auto"/>
        </w:rPr>
      </w:pPr>
      <w:r>
        <w:rPr>
          <w:rFonts w:ascii="Calibri" w:cs="Calibri" w:eastAsia="Calibri" w:hAnsi="Calibri"/>
          <w:sz w:val="18"/>
          <w:szCs w:val="18"/>
          <w:color w:val="auto"/>
        </w:rPr>
        <w:t>Indicate the number of shares outstanding of each of the issuer’s classes of common stock, as of the latest practcable date.</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5120" w:type="dxa"/>
            <w:vAlign w:val="bottom"/>
            <w:gridSpan w:val="2"/>
          </w:tcPr>
          <w:p>
            <w:pPr>
              <w:jc w:val="center"/>
              <w:ind w:right="300"/>
              <w:spacing w:after="0"/>
              <w:rPr>
                <w:sz w:val="20"/>
                <w:szCs w:val="20"/>
                <w:color w:val="auto"/>
              </w:rPr>
            </w:pPr>
            <w:r>
              <w:rPr>
                <w:rFonts w:ascii="Calibri" w:cs="Calibri" w:eastAsia="Calibri" w:hAnsi="Calibri"/>
                <w:sz w:val="14"/>
                <w:szCs w:val="14"/>
                <w:color w:val="auto"/>
                <w:w w:val="98"/>
              </w:rPr>
              <w:t>CLASS</w:t>
            </w:r>
          </w:p>
        </w:tc>
        <w:tc>
          <w:tcPr>
            <w:tcW w:w="6080" w:type="dxa"/>
            <w:vAlign w:val="bottom"/>
            <w:gridSpan w:val="2"/>
          </w:tcPr>
          <w:p>
            <w:pPr>
              <w:jc w:val="center"/>
              <w:ind w:right="1260"/>
              <w:spacing w:after="0"/>
              <w:rPr>
                <w:sz w:val="20"/>
                <w:szCs w:val="20"/>
                <w:color w:val="auto"/>
              </w:rPr>
            </w:pPr>
            <w:r>
              <w:rPr>
                <w:rFonts w:ascii="Calibri" w:cs="Calibri" w:eastAsia="Calibri" w:hAnsi="Calibri"/>
                <w:sz w:val="14"/>
                <w:szCs w:val="14"/>
                <w:color w:val="auto"/>
              </w:rPr>
              <w:t>Shares Outstanding at January 24, 2025</w:t>
            </w:r>
          </w:p>
        </w:tc>
      </w:tr>
      <w:tr>
        <w:trPr>
          <w:trHeight w:val="47"/>
        </w:trPr>
        <w:tc>
          <w:tcPr>
            <w:tcW w:w="40" w:type="dxa"/>
            <w:vAlign w:val="bottom"/>
          </w:tcPr>
          <w:p>
            <w:pPr>
              <w:spacing w:after="0"/>
              <w:rPr>
                <w:sz w:val="4"/>
                <w:szCs w:val="4"/>
                <w:color w:val="auto"/>
              </w:rPr>
            </w:pPr>
          </w:p>
        </w:tc>
        <w:tc>
          <w:tcPr>
            <w:tcW w:w="482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820" w:type="dxa"/>
            <w:vAlign w:val="bottom"/>
            <w:tcBorders>
              <w:bottom w:val="single" w:sz="8" w:color="auto"/>
            </w:tcBorders>
          </w:tcPr>
          <w:p>
            <w:pPr>
              <w:spacing w:after="0"/>
              <w:rPr>
                <w:sz w:val="4"/>
                <w:szCs w:val="4"/>
                <w:color w:val="auto"/>
              </w:rPr>
            </w:pPr>
          </w:p>
        </w:tc>
        <w:tc>
          <w:tcPr>
            <w:tcW w:w="1260" w:type="dxa"/>
            <w:vAlign w:val="bottom"/>
          </w:tcPr>
          <w:p>
            <w:pPr>
              <w:spacing w:after="0"/>
              <w:rPr>
                <w:sz w:val="4"/>
                <w:szCs w:val="4"/>
                <w:color w:val="auto"/>
              </w:rPr>
            </w:pPr>
          </w:p>
        </w:tc>
      </w:tr>
      <w:tr>
        <w:trPr>
          <w:trHeight w:val="208"/>
        </w:trPr>
        <w:tc>
          <w:tcPr>
            <w:tcW w:w="40" w:type="dxa"/>
            <w:vAlign w:val="bottom"/>
          </w:tcPr>
          <w:p>
            <w:pPr>
              <w:spacing w:after="0"/>
              <w:rPr>
                <w:sz w:val="18"/>
                <w:szCs w:val="18"/>
                <w:color w:val="auto"/>
              </w:rPr>
            </w:pPr>
          </w:p>
        </w:tc>
        <w:tc>
          <w:tcPr>
            <w:tcW w:w="4820" w:type="dxa"/>
            <w:vAlign w:val="bottom"/>
          </w:tcPr>
          <w:p>
            <w:pPr>
              <w:jc w:val="center"/>
              <w:spacing w:after="0" w:line="208" w:lineRule="exact"/>
              <w:rPr>
                <w:sz w:val="20"/>
                <w:szCs w:val="20"/>
                <w:color w:val="auto"/>
              </w:rPr>
            </w:pPr>
            <w:r>
              <w:rPr>
                <w:rFonts w:ascii="Calibri" w:cs="Calibri" w:eastAsia="Calibri" w:hAnsi="Calibri"/>
                <w:sz w:val="18"/>
                <w:szCs w:val="18"/>
                <w:color w:val="auto"/>
                <w:w w:val="97"/>
              </w:rPr>
              <w:t>Common Stock, par value $.01 per share</w:t>
            </w:r>
          </w:p>
        </w:tc>
        <w:tc>
          <w:tcPr>
            <w:tcW w:w="300" w:type="dxa"/>
            <w:vAlign w:val="bottom"/>
          </w:tcPr>
          <w:p>
            <w:pPr>
              <w:spacing w:after="0"/>
              <w:rPr>
                <w:sz w:val="18"/>
                <w:szCs w:val="18"/>
                <w:color w:val="auto"/>
              </w:rPr>
            </w:pPr>
          </w:p>
        </w:tc>
        <w:tc>
          <w:tcPr>
            <w:tcW w:w="4820" w:type="dxa"/>
            <w:vAlign w:val="bottom"/>
          </w:tcPr>
          <w:p>
            <w:pPr>
              <w:jc w:val="right"/>
              <w:ind w:right="1939"/>
              <w:spacing w:after="0" w:line="208" w:lineRule="exact"/>
              <w:rPr>
                <w:sz w:val="20"/>
                <w:szCs w:val="20"/>
                <w:color w:val="auto"/>
              </w:rPr>
            </w:pPr>
            <w:r>
              <w:rPr>
                <w:rFonts w:ascii="Calibri" w:cs="Calibri" w:eastAsia="Calibri" w:hAnsi="Calibri"/>
                <w:sz w:val="18"/>
                <w:szCs w:val="18"/>
                <w:color w:val="auto"/>
              </w:rPr>
              <w:t>20,929,004</w:t>
            </w:r>
          </w:p>
        </w:tc>
        <w:tc>
          <w:tcPr>
            <w:tcW w:w="1260" w:type="dxa"/>
            <w:vAlign w:val="bottom"/>
          </w:tcPr>
          <w:p>
            <w:pPr>
              <w:spacing w:after="0"/>
              <w:rPr>
                <w:sz w:val="18"/>
                <w:szCs w:val="18"/>
                <w:color w:val="auto"/>
              </w:rPr>
            </w:pPr>
          </w:p>
        </w:tc>
      </w:tr>
      <w:tr>
        <w:trPr>
          <w:trHeight w:val="150"/>
        </w:trPr>
        <w:tc>
          <w:tcPr>
            <w:tcW w:w="40" w:type="dxa"/>
            <w:vAlign w:val="bottom"/>
            <w:tcBorders>
              <w:bottom w:val="single" w:sz="8" w:color="auto"/>
            </w:tcBorders>
          </w:tcPr>
          <w:p>
            <w:pPr>
              <w:spacing w:after="0"/>
              <w:rPr>
                <w:sz w:val="13"/>
                <w:szCs w:val="13"/>
                <w:color w:val="auto"/>
              </w:rPr>
            </w:pPr>
          </w:p>
        </w:tc>
        <w:tc>
          <w:tcPr>
            <w:tcW w:w="48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8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68"/>
        </w:trPr>
        <w:tc>
          <w:tcPr>
            <w:tcW w:w="4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830"/>
        </w:trPr>
        <w:tc>
          <w:tcPr>
            <w:tcW w:w="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 w:name="page2"/>
    <w:bookmarkEnd w:id="1"/>
    <w:p>
      <w:pPr>
        <w:jc w:val="center"/>
        <w:ind w:right="-879"/>
        <w:spacing w:after="0"/>
        <w:rPr>
          <w:sz w:val="20"/>
          <w:szCs w:val="20"/>
          <w:color w:val="auto"/>
        </w:rPr>
      </w:pPr>
      <w:r>
        <w:rPr>
          <w:rFonts w:ascii="Calibri" w:cs="Calibri" w:eastAsia="Calibri" w:hAnsi="Calibri"/>
          <w:sz w:val="18"/>
          <w:szCs w:val="18"/>
          <w:b w:val="1"/>
          <w:bCs w:val="1"/>
          <w:color w:val="auto"/>
        </w:rPr>
        <w:t>HAWKINS, INC.</w:t>
      </w:r>
    </w:p>
    <w:p>
      <w:pPr>
        <w:jc w:val="center"/>
        <w:ind w:right="-899"/>
        <w:spacing w:after="0" w:line="235" w:lineRule="auto"/>
        <w:rPr>
          <w:sz w:val="20"/>
          <w:szCs w:val="20"/>
          <w:color w:val="auto"/>
        </w:rPr>
      </w:pPr>
      <w:r>
        <w:rPr>
          <w:rFonts w:ascii="Calibri" w:cs="Calibri" w:eastAsia="Calibri" w:hAnsi="Calibri"/>
          <w:sz w:val="18"/>
          <w:szCs w:val="18"/>
          <w:b w:val="1"/>
          <w:bCs w:val="1"/>
          <w:color w:val="auto"/>
        </w:rPr>
        <w:t>INDEX TO FORM 10-Q</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Page</w:t>
            </w:r>
          </w:p>
        </w:tc>
      </w:tr>
      <w:tr>
        <w:trPr>
          <w:trHeight w:val="277"/>
        </w:trPr>
        <w:tc>
          <w:tcPr>
            <w:tcW w:w="1120" w:type="dxa"/>
            <w:vAlign w:val="bottom"/>
          </w:tcPr>
          <w:p>
            <w:pPr>
              <w:spacing w:after="0"/>
              <w:rPr>
                <w:sz w:val="20"/>
                <w:szCs w:val="20"/>
                <w:color w:val="auto"/>
              </w:rPr>
            </w:pPr>
            <w:r>
              <w:rPr>
                <w:rFonts w:ascii="Calibri" w:cs="Calibri" w:eastAsia="Calibri" w:hAnsi="Calibri"/>
                <w:sz w:val="18"/>
                <w:szCs w:val="18"/>
                <w:b w:val="1"/>
                <w:bCs w:val="1"/>
                <w:color w:val="auto"/>
              </w:rPr>
              <w:t>PART I.</w:t>
            </w:r>
          </w:p>
        </w:tc>
        <w:tc>
          <w:tcPr>
            <w:tcW w:w="8180" w:type="dxa"/>
            <w:vAlign w:val="bottom"/>
            <w:gridSpan w:val="22"/>
          </w:tcPr>
          <w:p>
            <w:pPr>
              <w:spacing w:after="0"/>
              <w:rPr>
                <w:sz w:val="20"/>
                <w:szCs w:val="20"/>
                <w:color w:val="auto"/>
              </w:rPr>
            </w:pPr>
            <w:r>
              <w:rPr>
                <w:rFonts w:ascii="Calibri" w:cs="Calibri" w:eastAsia="Calibri" w:hAnsi="Calibri"/>
                <w:sz w:val="18"/>
                <w:szCs w:val="18"/>
                <w:b w:val="1"/>
                <w:bCs w:val="1"/>
                <w:color w:val="0000FF"/>
              </w:rPr>
              <w:t>FINANCIAL INFORMATION</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color w:val="auto"/>
              </w:rPr>
              <w:t>Item 1.</w:t>
            </w:r>
          </w:p>
        </w:tc>
        <w:tc>
          <w:tcPr>
            <w:tcW w:w="8180" w:type="dxa"/>
            <w:vAlign w:val="bottom"/>
            <w:gridSpan w:val="22"/>
          </w:tcPr>
          <w:p>
            <w:pPr>
              <w:spacing w:after="0"/>
              <w:rPr>
                <w:sz w:val="20"/>
                <w:szCs w:val="20"/>
                <w:color w:val="auto"/>
              </w:rPr>
            </w:pPr>
            <w:r>
              <w:rPr>
                <w:rFonts w:ascii="Calibri" w:cs="Calibri" w:eastAsia="Calibri" w:hAnsi="Calibri"/>
                <w:sz w:val="18"/>
                <w:szCs w:val="18"/>
                <w:color w:val="0000FF"/>
              </w:rPr>
              <w:t>Financial Statements (unaudited):</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120" w:type="dxa"/>
            <w:vAlign w:val="bottom"/>
          </w:tcPr>
          <w:p>
            <w:pPr>
              <w:spacing w:after="0"/>
              <w:rPr>
                <w:sz w:val="22"/>
                <w:szCs w:val="22"/>
                <w:color w:val="auto"/>
              </w:rPr>
            </w:pPr>
          </w:p>
        </w:tc>
        <w:tc>
          <w:tcPr>
            <w:tcW w:w="5920" w:type="dxa"/>
            <w:vAlign w:val="bottom"/>
            <w:gridSpan w:val="16"/>
          </w:tcPr>
          <w:p>
            <w:pPr>
              <w:spacing w:after="0"/>
              <w:rPr>
                <w:sz w:val="20"/>
                <w:szCs w:val="20"/>
                <w:color w:val="auto"/>
              </w:rPr>
            </w:pPr>
            <w:r>
              <w:rPr>
                <w:rFonts w:ascii="Calibri" w:cs="Calibri" w:eastAsia="Calibri" w:hAnsi="Calibri"/>
                <w:sz w:val="18"/>
                <w:szCs w:val="18"/>
                <w:color w:val="0000FF"/>
                <w:w w:val="97"/>
              </w:rPr>
              <w:t>Condensed Consolidated Balance Sheets – December 29, 2024 and March 31, 2024</w:t>
            </w:r>
          </w:p>
        </w:tc>
        <w:tc>
          <w:tcPr>
            <w:tcW w:w="2260" w:type="dxa"/>
            <w:vAlign w:val="bottom"/>
            <w:gridSpan w:val="6"/>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Calibri" w:cs="Calibri" w:eastAsia="Calibri" w:hAnsi="Calibri"/>
                <w:sz w:val="18"/>
                <w:szCs w:val="18"/>
                <w:color w:val="0000FF"/>
              </w:rPr>
              <w:t>1</w:t>
            </w:r>
          </w:p>
        </w:tc>
      </w:tr>
      <w:tr>
        <w:trPr>
          <w:trHeight w:val="20"/>
        </w:trPr>
        <w:tc>
          <w:tcPr>
            <w:tcW w:w="1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1120" w:type="dxa"/>
            <w:vAlign w:val="bottom"/>
          </w:tcPr>
          <w:p>
            <w:pPr>
              <w:spacing w:after="0"/>
              <w:rPr>
                <w:sz w:val="22"/>
                <w:szCs w:val="22"/>
                <w:color w:val="auto"/>
              </w:rPr>
            </w:pPr>
          </w:p>
        </w:tc>
        <w:tc>
          <w:tcPr>
            <w:tcW w:w="8180" w:type="dxa"/>
            <w:vAlign w:val="bottom"/>
            <w:gridSpan w:val="22"/>
          </w:tcPr>
          <w:p>
            <w:pPr>
              <w:spacing w:after="0"/>
              <w:rPr>
                <w:sz w:val="20"/>
                <w:szCs w:val="20"/>
                <w:color w:val="auto"/>
              </w:rPr>
            </w:pPr>
            <w:r>
              <w:rPr>
                <w:rFonts w:ascii="Calibri" w:cs="Calibri" w:eastAsia="Calibri" w:hAnsi="Calibri"/>
                <w:sz w:val="18"/>
                <w:szCs w:val="18"/>
                <w:color w:val="0000FF"/>
              </w:rPr>
              <w:t>Condensed Consolidated Statements of Income – Three and Nine Months Ended December 29, 2024 and</w:t>
            </w:r>
          </w:p>
        </w:tc>
        <w:tc>
          <w:tcPr>
            <w:tcW w:w="980" w:type="dxa"/>
            <w:vAlign w:val="bottom"/>
            <w:gridSpan w:val="3"/>
          </w:tcPr>
          <w:p>
            <w:pPr>
              <w:jc w:val="right"/>
              <w:spacing w:after="0"/>
              <w:rPr>
                <w:sz w:val="20"/>
                <w:szCs w:val="20"/>
                <w:color w:val="auto"/>
              </w:rPr>
            </w:pPr>
            <w:r>
              <w:rPr>
                <w:rFonts w:ascii="Calibri" w:cs="Calibri" w:eastAsia="Calibri" w:hAnsi="Calibri"/>
                <w:sz w:val="18"/>
                <w:szCs w:val="18"/>
                <w:color w:val="0000FF"/>
              </w:rPr>
              <w:t>2</w:t>
            </w:r>
          </w:p>
        </w:tc>
      </w:tr>
      <w:tr>
        <w:trPr>
          <w:trHeight w:val="156"/>
        </w:trPr>
        <w:tc>
          <w:tcPr>
            <w:tcW w:w="1120" w:type="dxa"/>
            <w:vAlign w:val="bottom"/>
          </w:tcPr>
          <w:p>
            <w:pPr>
              <w:spacing w:after="0"/>
              <w:rPr>
                <w:sz w:val="13"/>
                <w:szCs w:val="13"/>
                <w:color w:val="auto"/>
              </w:rPr>
            </w:pPr>
          </w:p>
        </w:tc>
        <w:tc>
          <w:tcPr>
            <w:tcW w:w="7460" w:type="dxa"/>
            <w:vAlign w:val="bottom"/>
            <w:tcBorders>
              <w:top w:val="single" w:sz="8" w:color="0000FF"/>
            </w:tcBorders>
            <w:gridSpan w:val="21"/>
          </w:tcPr>
          <w:p>
            <w:pPr>
              <w:spacing w:after="0" w:line="156" w:lineRule="exact"/>
              <w:rPr>
                <w:sz w:val="20"/>
                <w:szCs w:val="20"/>
                <w:color w:val="auto"/>
              </w:rPr>
            </w:pPr>
            <w:r>
              <w:rPr>
                <w:rFonts w:ascii="Calibri" w:cs="Calibri" w:eastAsia="Calibri" w:hAnsi="Calibri"/>
                <w:sz w:val="16"/>
                <w:szCs w:val="16"/>
                <w:color w:val="0000FF"/>
              </w:rPr>
              <w:t>December 31, 2023</w:t>
            </w: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77"/>
        </w:trPr>
        <w:tc>
          <w:tcPr>
            <w:tcW w:w="11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Calibri" w:cs="Calibri" w:eastAsia="Calibri" w:hAnsi="Calibri"/>
                <w:sz w:val="18"/>
                <w:szCs w:val="18"/>
                <w:color w:val="0000FF"/>
              </w:rPr>
              <w:t>Condensed Consolidated Statements of Comprehensive Income – Three and Nine Months Ended</w:t>
            </w:r>
          </w:p>
        </w:tc>
        <w:tc>
          <w:tcPr>
            <w:tcW w:w="980" w:type="dxa"/>
            <w:vAlign w:val="bottom"/>
            <w:gridSpan w:val="3"/>
          </w:tcPr>
          <w:p>
            <w:pPr>
              <w:jc w:val="right"/>
              <w:spacing w:after="0"/>
              <w:rPr>
                <w:sz w:val="20"/>
                <w:szCs w:val="20"/>
                <w:color w:val="auto"/>
              </w:rPr>
            </w:pPr>
            <w:r>
              <w:rPr>
                <w:rFonts w:ascii="Calibri" w:cs="Calibri" w:eastAsia="Calibri" w:hAnsi="Calibri"/>
                <w:sz w:val="18"/>
                <w:szCs w:val="18"/>
                <w:color w:val="0000FF"/>
              </w:rPr>
              <w:t>3</w:t>
            </w:r>
          </w:p>
        </w:tc>
      </w:tr>
      <w:tr>
        <w:trPr>
          <w:trHeight w:val="156"/>
        </w:trPr>
        <w:tc>
          <w:tcPr>
            <w:tcW w:w="1120" w:type="dxa"/>
            <w:vAlign w:val="bottom"/>
          </w:tcPr>
          <w:p>
            <w:pPr>
              <w:spacing w:after="0"/>
              <w:rPr>
                <w:sz w:val="13"/>
                <w:szCs w:val="13"/>
                <w:color w:val="auto"/>
              </w:rPr>
            </w:pPr>
          </w:p>
        </w:tc>
        <w:tc>
          <w:tcPr>
            <w:tcW w:w="6860" w:type="dxa"/>
            <w:vAlign w:val="bottom"/>
            <w:tcBorders>
              <w:top w:val="single" w:sz="8" w:color="0000FF"/>
            </w:tcBorders>
            <w:gridSpan w:val="18"/>
          </w:tcPr>
          <w:p>
            <w:pPr>
              <w:spacing w:after="0" w:line="156" w:lineRule="exact"/>
              <w:rPr>
                <w:sz w:val="20"/>
                <w:szCs w:val="20"/>
                <w:color w:val="auto"/>
              </w:rPr>
            </w:pPr>
            <w:r>
              <w:rPr>
                <w:rFonts w:ascii="Calibri" w:cs="Calibri" w:eastAsia="Calibri" w:hAnsi="Calibri"/>
                <w:sz w:val="16"/>
                <w:szCs w:val="16"/>
                <w:color w:val="0000FF"/>
              </w:rPr>
              <w:t>December 29, 2024 and December 31, 2023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77"/>
        </w:trPr>
        <w:tc>
          <w:tcPr>
            <w:tcW w:w="11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Calibri" w:cs="Calibri" w:eastAsia="Calibri" w:hAnsi="Calibri"/>
                <w:sz w:val="18"/>
                <w:szCs w:val="18"/>
                <w:color w:val="0000FF"/>
              </w:rPr>
              <w:t>Condensed Consolidated Statements of Shareholder’s Equity – Three and Nine Months Ended December</w:t>
            </w:r>
          </w:p>
        </w:tc>
        <w:tc>
          <w:tcPr>
            <w:tcW w:w="980" w:type="dxa"/>
            <w:vAlign w:val="bottom"/>
            <w:gridSpan w:val="3"/>
          </w:tcPr>
          <w:p>
            <w:pPr>
              <w:jc w:val="right"/>
              <w:spacing w:after="0"/>
              <w:rPr>
                <w:sz w:val="20"/>
                <w:szCs w:val="20"/>
                <w:color w:val="auto"/>
              </w:rPr>
            </w:pPr>
            <w:r>
              <w:rPr>
                <w:rFonts w:ascii="Calibri" w:cs="Calibri" w:eastAsia="Calibri" w:hAnsi="Calibri"/>
                <w:sz w:val="18"/>
                <w:szCs w:val="18"/>
                <w:color w:val="0000FF"/>
              </w:rPr>
              <w:t>4</w:t>
            </w:r>
          </w:p>
        </w:tc>
      </w:tr>
      <w:tr>
        <w:trPr>
          <w:trHeight w:val="156"/>
        </w:trPr>
        <w:tc>
          <w:tcPr>
            <w:tcW w:w="1120" w:type="dxa"/>
            <w:vAlign w:val="bottom"/>
          </w:tcPr>
          <w:p>
            <w:pPr>
              <w:spacing w:after="0"/>
              <w:rPr>
                <w:sz w:val="13"/>
                <w:szCs w:val="13"/>
                <w:color w:val="auto"/>
              </w:rPr>
            </w:pPr>
          </w:p>
        </w:tc>
        <w:tc>
          <w:tcPr>
            <w:tcW w:w="7440" w:type="dxa"/>
            <w:vAlign w:val="bottom"/>
            <w:tcBorders>
              <w:top w:val="single" w:sz="8" w:color="0000FF"/>
            </w:tcBorders>
            <w:gridSpan w:val="20"/>
          </w:tcPr>
          <w:p>
            <w:pPr>
              <w:spacing w:after="0" w:line="156" w:lineRule="exact"/>
              <w:rPr>
                <w:sz w:val="20"/>
                <w:szCs w:val="20"/>
                <w:color w:val="auto"/>
              </w:rPr>
            </w:pPr>
            <w:r>
              <w:rPr>
                <w:rFonts w:ascii="Calibri" w:cs="Calibri" w:eastAsia="Calibri" w:hAnsi="Calibri"/>
                <w:sz w:val="16"/>
                <w:szCs w:val="16"/>
                <w:color w:val="0000FF"/>
              </w:rPr>
              <w:t>29, 2024 and December 31, 2023</w:t>
            </w:r>
          </w:p>
        </w:tc>
        <w:tc>
          <w:tcPr>
            <w:tcW w:w="74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77"/>
        </w:trPr>
        <w:tc>
          <w:tcPr>
            <w:tcW w:w="11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Calibri" w:cs="Calibri" w:eastAsia="Calibri" w:hAnsi="Calibri"/>
                <w:sz w:val="18"/>
                <w:szCs w:val="18"/>
                <w:color w:val="0000FF"/>
              </w:rPr>
              <w:t>Condensed Consolidated Statements of Cash Flows – Nine Months Ended December 29, 2024 and</w:t>
            </w:r>
          </w:p>
        </w:tc>
        <w:tc>
          <w:tcPr>
            <w:tcW w:w="980" w:type="dxa"/>
            <w:vAlign w:val="bottom"/>
            <w:gridSpan w:val="3"/>
          </w:tcPr>
          <w:p>
            <w:pPr>
              <w:jc w:val="right"/>
              <w:spacing w:after="0"/>
              <w:rPr>
                <w:sz w:val="20"/>
                <w:szCs w:val="20"/>
                <w:color w:val="auto"/>
              </w:rPr>
            </w:pPr>
            <w:r>
              <w:rPr>
                <w:rFonts w:ascii="Calibri" w:cs="Calibri" w:eastAsia="Calibri" w:hAnsi="Calibri"/>
                <w:sz w:val="18"/>
                <w:szCs w:val="18"/>
                <w:color w:val="0000FF"/>
              </w:rPr>
              <w:t>6</w:t>
            </w:r>
          </w:p>
        </w:tc>
      </w:tr>
      <w:tr>
        <w:trPr>
          <w:trHeight w:val="156"/>
        </w:trPr>
        <w:tc>
          <w:tcPr>
            <w:tcW w:w="1120" w:type="dxa"/>
            <w:vAlign w:val="bottom"/>
          </w:tcPr>
          <w:p>
            <w:pPr>
              <w:spacing w:after="0"/>
              <w:rPr>
                <w:sz w:val="13"/>
                <w:szCs w:val="13"/>
                <w:color w:val="auto"/>
              </w:rPr>
            </w:pPr>
          </w:p>
        </w:tc>
        <w:tc>
          <w:tcPr>
            <w:tcW w:w="6960" w:type="dxa"/>
            <w:vAlign w:val="bottom"/>
            <w:tcBorders>
              <w:top w:val="single" w:sz="8" w:color="0000FF"/>
            </w:tcBorders>
            <w:gridSpan w:val="19"/>
          </w:tcPr>
          <w:p>
            <w:pPr>
              <w:spacing w:after="0" w:line="156" w:lineRule="exact"/>
              <w:rPr>
                <w:sz w:val="20"/>
                <w:szCs w:val="20"/>
                <w:color w:val="auto"/>
              </w:rPr>
            </w:pPr>
            <w:r>
              <w:rPr>
                <w:rFonts w:ascii="Calibri" w:cs="Calibri" w:eastAsia="Calibri" w:hAnsi="Calibri"/>
                <w:sz w:val="16"/>
                <w:szCs w:val="16"/>
                <w:color w:val="0000FF"/>
              </w:rPr>
              <w:t>December 31, 2023</w:t>
            </w:r>
          </w:p>
        </w:tc>
        <w:tc>
          <w:tcPr>
            <w:tcW w:w="1220" w:type="dxa"/>
            <w:vAlign w:val="bottom"/>
            <w:gridSpan w:val="3"/>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77"/>
        </w:trPr>
        <w:tc>
          <w:tcPr>
            <w:tcW w:w="11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Calibri" w:cs="Calibri" w:eastAsia="Calibri" w:hAnsi="Calibri"/>
                <w:sz w:val="18"/>
                <w:szCs w:val="18"/>
                <w:color w:val="0000FF"/>
              </w:rPr>
              <w:t>Notes to Condensed Consolidated Financial Statements</w:t>
            </w:r>
          </w:p>
        </w:tc>
        <w:tc>
          <w:tcPr>
            <w:tcW w:w="980" w:type="dxa"/>
            <w:vAlign w:val="bottom"/>
            <w:gridSpan w:val="3"/>
          </w:tcPr>
          <w:p>
            <w:pPr>
              <w:jc w:val="right"/>
              <w:spacing w:after="0"/>
              <w:rPr>
                <w:sz w:val="20"/>
                <w:szCs w:val="20"/>
                <w:color w:val="auto"/>
              </w:rPr>
            </w:pPr>
            <w:r>
              <w:rPr>
                <w:rFonts w:ascii="Calibri" w:cs="Calibri" w:eastAsia="Calibri" w:hAnsi="Calibri"/>
                <w:sz w:val="18"/>
                <w:szCs w:val="18"/>
                <w:color w:val="0000FF"/>
              </w:rPr>
              <w:t>7</w:t>
            </w:r>
          </w:p>
        </w:tc>
      </w:tr>
      <w:tr>
        <w:trPr>
          <w:trHeight w:val="20"/>
        </w:trPr>
        <w:tc>
          <w:tcPr>
            <w:tcW w:w="1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color w:val="auto"/>
              </w:rPr>
              <w:t>Item 2.</w:t>
            </w:r>
          </w:p>
        </w:tc>
        <w:tc>
          <w:tcPr>
            <w:tcW w:w="6240" w:type="dxa"/>
            <w:vAlign w:val="bottom"/>
            <w:tcBorders>
              <w:bottom w:val="single" w:sz="8" w:color="0000FF"/>
            </w:tcBorders>
            <w:gridSpan w:val="17"/>
          </w:tcPr>
          <w:p>
            <w:pPr>
              <w:spacing w:after="0"/>
              <w:rPr>
                <w:sz w:val="20"/>
                <w:szCs w:val="20"/>
                <w:color w:val="auto"/>
              </w:rPr>
            </w:pPr>
            <w:r>
              <w:rPr>
                <w:rFonts w:ascii="Calibri" w:cs="Calibri" w:eastAsia="Calibri" w:hAnsi="Calibri"/>
                <w:sz w:val="18"/>
                <w:szCs w:val="18"/>
                <w:color w:val="0000FF"/>
                <w:w w:val="98"/>
              </w:rPr>
              <w:t>Management’s Discussion and Analysis of Financial Conditon and Results of Operatons</w:t>
            </w:r>
          </w:p>
        </w:tc>
        <w:tc>
          <w:tcPr>
            <w:tcW w:w="1940" w:type="dxa"/>
            <w:vAlign w:val="bottom"/>
            <w:gridSpan w:val="5"/>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15</w:t>
            </w:r>
          </w:p>
        </w:tc>
      </w:tr>
      <w:tr>
        <w:trPr>
          <w:trHeight w:val="264"/>
        </w:trPr>
        <w:tc>
          <w:tcPr>
            <w:tcW w:w="1120" w:type="dxa"/>
            <w:vAlign w:val="bottom"/>
          </w:tcPr>
          <w:p>
            <w:pPr>
              <w:spacing w:after="0"/>
              <w:rPr>
                <w:sz w:val="20"/>
                <w:szCs w:val="20"/>
                <w:color w:val="auto"/>
              </w:rPr>
            </w:pPr>
            <w:r>
              <w:rPr>
                <w:rFonts w:ascii="Calibri" w:cs="Calibri" w:eastAsia="Calibri" w:hAnsi="Calibri"/>
                <w:sz w:val="18"/>
                <w:szCs w:val="18"/>
                <w:color w:val="auto"/>
              </w:rPr>
              <w:t>Item 3.</w:t>
            </w:r>
          </w:p>
        </w:tc>
        <w:tc>
          <w:tcPr>
            <w:tcW w:w="4200" w:type="dxa"/>
            <w:vAlign w:val="bottom"/>
            <w:tcBorders>
              <w:bottom w:val="single" w:sz="8" w:color="0000FF"/>
            </w:tcBorders>
            <w:gridSpan w:val="14"/>
          </w:tcPr>
          <w:p>
            <w:pPr>
              <w:spacing w:after="0"/>
              <w:rPr>
                <w:sz w:val="20"/>
                <w:szCs w:val="20"/>
                <w:color w:val="auto"/>
              </w:rPr>
            </w:pPr>
            <w:r>
              <w:rPr>
                <w:rFonts w:ascii="Calibri" w:cs="Calibri" w:eastAsia="Calibri" w:hAnsi="Calibri"/>
                <w:sz w:val="18"/>
                <w:szCs w:val="18"/>
                <w:color w:val="0000FF"/>
                <w:w w:val="99"/>
              </w:rPr>
              <w:t>Quanttatve and Qualitatve Disclosures about Market Risk</w:t>
            </w:r>
          </w:p>
        </w:tc>
        <w:tc>
          <w:tcPr>
            <w:tcW w:w="3980" w:type="dxa"/>
            <w:vAlign w:val="bottom"/>
            <w:gridSpan w:val="8"/>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17</w:t>
            </w: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color w:val="auto"/>
              </w:rPr>
              <w:t>Item 4.</w:t>
            </w:r>
          </w:p>
        </w:tc>
        <w:tc>
          <w:tcPr>
            <w:tcW w:w="1760" w:type="dxa"/>
            <w:vAlign w:val="bottom"/>
            <w:tcBorders>
              <w:bottom w:val="single" w:sz="8" w:color="0000FF"/>
            </w:tcBorders>
            <w:gridSpan w:val="8"/>
          </w:tcPr>
          <w:p>
            <w:pPr>
              <w:spacing w:after="0"/>
              <w:rPr>
                <w:sz w:val="20"/>
                <w:szCs w:val="20"/>
                <w:color w:val="auto"/>
              </w:rPr>
            </w:pPr>
            <w:r>
              <w:rPr>
                <w:rFonts w:ascii="Calibri" w:cs="Calibri" w:eastAsia="Calibri" w:hAnsi="Calibri"/>
                <w:sz w:val="18"/>
                <w:szCs w:val="18"/>
                <w:color w:val="0000FF"/>
                <w:w w:val="96"/>
              </w:rPr>
              <w:t>Controls and Procedures</w:t>
            </w:r>
          </w:p>
        </w:tc>
        <w:tc>
          <w:tcPr>
            <w:tcW w:w="6420" w:type="dxa"/>
            <w:vAlign w:val="bottom"/>
            <w:gridSpan w:val="14"/>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17</w:t>
            </w: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b w:val="1"/>
                <w:bCs w:val="1"/>
                <w:color w:val="auto"/>
              </w:rPr>
              <w:t>PART II.</w:t>
            </w:r>
          </w:p>
        </w:tc>
        <w:tc>
          <w:tcPr>
            <w:tcW w:w="1620" w:type="dxa"/>
            <w:vAlign w:val="bottom"/>
            <w:tcBorders>
              <w:bottom w:val="single" w:sz="8" w:color="0000FF"/>
            </w:tcBorders>
            <w:gridSpan w:val="6"/>
          </w:tcPr>
          <w:p>
            <w:pPr>
              <w:spacing w:after="0"/>
              <w:rPr>
                <w:sz w:val="20"/>
                <w:szCs w:val="20"/>
                <w:color w:val="auto"/>
              </w:rPr>
            </w:pPr>
            <w:r>
              <w:rPr>
                <w:rFonts w:ascii="Calibri" w:cs="Calibri" w:eastAsia="Calibri" w:hAnsi="Calibri"/>
                <w:sz w:val="18"/>
                <w:szCs w:val="18"/>
                <w:b w:val="1"/>
                <w:bCs w:val="1"/>
                <w:color w:val="0000FF"/>
                <w:w w:val="95"/>
              </w:rPr>
              <w:t>OTHER INFORMATION</w:t>
            </w:r>
          </w:p>
        </w:tc>
        <w:tc>
          <w:tcPr>
            <w:tcW w:w="6560" w:type="dxa"/>
            <w:vAlign w:val="bottom"/>
            <w:gridSpan w:val="16"/>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color w:val="auto"/>
              </w:rPr>
              <w:t>Item 1.</w:t>
            </w:r>
          </w:p>
        </w:tc>
        <w:tc>
          <w:tcPr>
            <w:tcW w:w="1280" w:type="dxa"/>
            <w:vAlign w:val="bottom"/>
            <w:tcBorders>
              <w:bottom w:val="single" w:sz="8" w:color="0000FF"/>
            </w:tcBorders>
            <w:gridSpan w:val="3"/>
          </w:tcPr>
          <w:p>
            <w:pPr>
              <w:spacing w:after="0"/>
              <w:rPr>
                <w:sz w:val="20"/>
                <w:szCs w:val="20"/>
                <w:color w:val="auto"/>
              </w:rPr>
            </w:pPr>
            <w:r>
              <w:rPr>
                <w:rFonts w:ascii="Calibri" w:cs="Calibri" w:eastAsia="Calibri" w:hAnsi="Calibri"/>
                <w:sz w:val="18"/>
                <w:szCs w:val="18"/>
                <w:color w:val="0000FF"/>
                <w:w w:val="96"/>
              </w:rPr>
              <w:t>Legal Proceedings</w:t>
            </w:r>
          </w:p>
        </w:tc>
        <w:tc>
          <w:tcPr>
            <w:tcW w:w="6900" w:type="dxa"/>
            <w:vAlign w:val="bottom"/>
            <w:gridSpan w:val="19"/>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18</w:t>
            </w: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color w:val="auto"/>
              </w:rPr>
              <w:t>Item 1A.</w:t>
            </w:r>
          </w:p>
        </w:tc>
        <w:tc>
          <w:tcPr>
            <w:tcW w:w="8180" w:type="dxa"/>
            <w:vAlign w:val="bottom"/>
            <w:gridSpan w:val="22"/>
          </w:tcPr>
          <w:p>
            <w:pPr>
              <w:spacing w:after="0"/>
              <w:rPr>
                <w:sz w:val="20"/>
                <w:szCs w:val="20"/>
                <w:color w:val="auto"/>
              </w:rPr>
            </w:pPr>
            <w:r>
              <w:rPr>
                <w:rFonts w:ascii="Calibri" w:cs="Calibri" w:eastAsia="Calibri" w:hAnsi="Calibri"/>
                <w:sz w:val="18"/>
                <w:szCs w:val="18"/>
                <w:color w:val="0000FF"/>
              </w:rPr>
              <w:t>Risk Factors</w:t>
            </w:r>
          </w:p>
        </w:tc>
        <w:tc>
          <w:tcPr>
            <w:tcW w:w="980" w:type="dxa"/>
            <w:vAlign w:val="bottom"/>
            <w:gridSpan w:val="3"/>
          </w:tcPr>
          <w:p>
            <w:pPr>
              <w:jc w:val="right"/>
              <w:spacing w:after="0"/>
              <w:rPr>
                <w:sz w:val="20"/>
                <w:szCs w:val="20"/>
                <w:color w:val="auto"/>
              </w:rPr>
            </w:pPr>
            <w:r>
              <w:rPr>
                <w:rFonts w:ascii="Calibri" w:cs="Calibri" w:eastAsia="Calibri" w:hAnsi="Calibri"/>
                <w:sz w:val="18"/>
                <w:szCs w:val="18"/>
                <w:color w:val="0000FF"/>
              </w:rPr>
              <w:t>18</w:t>
            </w:r>
          </w:p>
        </w:tc>
      </w:tr>
      <w:tr>
        <w:trPr>
          <w:trHeight w:val="20"/>
        </w:trPr>
        <w:tc>
          <w:tcPr>
            <w:tcW w:w="1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color w:val="auto"/>
              </w:rPr>
              <w:t>Item 2.</w:t>
            </w:r>
          </w:p>
        </w:tc>
        <w:tc>
          <w:tcPr>
            <w:tcW w:w="8180" w:type="dxa"/>
            <w:vAlign w:val="bottom"/>
            <w:gridSpan w:val="22"/>
          </w:tcPr>
          <w:p>
            <w:pPr>
              <w:spacing w:after="0"/>
              <w:rPr>
                <w:sz w:val="20"/>
                <w:szCs w:val="20"/>
                <w:color w:val="auto"/>
              </w:rPr>
            </w:pPr>
            <w:r>
              <w:rPr>
                <w:rFonts w:ascii="Calibri" w:cs="Calibri" w:eastAsia="Calibri" w:hAnsi="Calibri"/>
                <w:sz w:val="18"/>
                <w:szCs w:val="18"/>
                <w:color w:val="0000FF"/>
              </w:rPr>
              <w:t>Unregistered Sales of Equity Securites and Use of Proceeds</w:t>
            </w:r>
          </w:p>
        </w:tc>
        <w:tc>
          <w:tcPr>
            <w:tcW w:w="980" w:type="dxa"/>
            <w:vAlign w:val="bottom"/>
            <w:gridSpan w:val="3"/>
          </w:tcPr>
          <w:p>
            <w:pPr>
              <w:jc w:val="right"/>
              <w:spacing w:after="0"/>
              <w:rPr>
                <w:sz w:val="20"/>
                <w:szCs w:val="20"/>
                <w:color w:val="auto"/>
              </w:rPr>
            </w:pPr>
            <w:r>
              <w:rPr>
                <w:rFonts w:ascii="Calibri" w:cs="Calibri" w:eastAsia="Calibri" w:hAnsi="Calibri"/>
                <w:sz w:val="18"/>
                <w:szCs w:val="18"/>
                <w:color w:val="0000FF"/>
              </w:rPr>
              <w:t>18</w:t>
            </w: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color w:val="auto"/>
              </w:rPr>
              <w:t>Item 3.</w:t>
            </w:r>
          </w:p>
        </w:tc>
        <w:tc>
          <w:tcPr>
            <w:tcW w:w="4220" w:type="dxa"/>
            <w:vAlign w:val="bottom"/>
            <w:tcBorders>
              <w:top w:val="single" w:sz="8" w:color="0000FF"/>
            </w:tcBorders>
            <w:gridSpan w:val="15"/>
          </w:tcPr>
          <w:p>
            <w:pPr>
              <w:spacing w:after="0"/>
              <w:rPr>
                <w:sz w:val="20"/>
                <w:szCs w:val="20"/>
                <w:color w:val="auto"/>
              </w:rPr>
            </w:pPr>
            <w:r>
              <w:rPr>
                <w:rFonts w:ascii="Calibri" w:cs="Calibri" w:eastAsia="Calibri" w:hAnsi="Calibri"/>
                <w:sz w:val="18"/>
                <w:szCs w:val="18"/>
                <w:color w:val="0000FF"/>
              </w:rPr>
              <w:t>Defaults Upon Senior Securites</w:t>
            </w:r>
          </w:p>
        </w:tc>
        <w:tc>
          <w:tcPr>
            <w:tcW w:w="3960" w:type="dxa"/>
            <w:vAlign w:val="bottom"/>
            <w:gridSpan w:val="7"/>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18</w:t>
            </w: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color w:val="auto"/>
              </w:rPr>
              <w:t>Item 4.</w:t>
            </w:r>
          </w:p>
        </w:tc>
        <w:tc>
          <w:tcPr>
            <w:tcW w:w="1700" w:type="dxa"/>
            <w:vAlign w:val="bottom"/>
            <w:tcBorders>
              <w:top w:val="single" w:sz="8" w:color="0000FF"/>
              <w:bottom w:val="single" w:sz="8" w:color="0000FF"/>
            </w:tcBorders>
            <w:gridSpan w:val="7"/>
          </w:tcPr>
          <w:p>
            <w:pPr>
              <w:spacing w:after="0"/>
              <w:rPr>
                <w:sz w:val="20"/>
                <w:szCs w:val="20"/>
                <w:color w:val="auto"/>
              </w:rPr>
            </w:pPr>
            <w:r>
              <w:rPr>
                <w:rFonts w:ascii="Calibri" w:cs="Calibri" w:eastAsia="Calibri" w:hAnsi="Calibri"/>
                <w:sz w:val="18"/>
                <w:szCs w:val="18"/>
                <w:color w:val="0000FF"/>
                <w:w w:val="96"/>
              </w:rPr>
              <w:t>Mine Safety Disclosures</w:t>
            </w:r>
          </w:p>
        </w:tc>
        <w:tc>
          <w:tcPr>
            <w:tcW w:w="540" w:type="dxa"/>
            <w:vAlign w:val="bottom"/>
            <w:tcBorders>
              <w:top w:val="single" w:sz="8" w:color="0000FF"/>
            </w:tcBorders>
            <w:gridSpan w:val="3"/>
          </w:tcPr>
          <w:p>
            <w:pPr>
              <w:spacing w:after="0"/>
              <w:rPr>
                <w:sz w:val="22"/>
                <w:szCs w:val="22"/>
                <w:color w:val="auto"/>
              </w:rPr>
            </w:pPr>
          </w:p>
        </w:tc>
        <w:tc>
          <w:tcPr>
            <w:tcW w:w="5940" w:type="dxa"/>
            <w:vAlign w:val="bottom"/>
            <w:gridSpan w:val="12"/>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18</w:t>
            </w:r>
          </w:p>
        </w:tc>
      </w:tr>
      <w:tr>
        <w:trPr>
          <w:trHeight w:val="264"/>
        </w:trPr>
        <w:tc>
          <w:tcPr>
            <w:tcW w:w="1120" w:type="dxa"/>
            <w:vAlign w:val="bottom"/>
          </w:tcPr>
          <w:p>
            <w:pPr>
              <w:spacing w:after="0"/>
              <w:rPr>
                <w:sz w:val="20"/>
                <w:szCs w:val="20"/>
                <w:color w:val="auto"/>
              </w:rPr>
            </w:pPr>
            <w:r>
              <w:rPr>
                <w:rFonts w:ascii="Calibri" w:cs="Calibri" w:eastAsia="Calibri" w:hAnsi="Calibri"/>
                <w:sz w:val="18"/>
                <w:szCs w:val="18"/>
                <w:color w:val="auto"/>
              </w:rPr>
              <w:t>Item 5.</w:t>
            </w:r>
          </w:p>
        </w:tc>
        <w:tc>
          <w:tcPr>
            <w:tcW w:w="8180" w:type="dxa"/>
            <w:vAlign w:val="bottom"/>
            <w:gridSpan w:val="22"/>
          </w:tcPr>
          <w:p>
            <w:pPr>
              <w:spacing w:after="0"/>
              <w:rPr>
                <w:sz w:val="20"/>
                <w:szCs w:val="20"/>
                <w:color w:val="auto"/>
              </w:rPr>
            </w:pPr>
            <w:r>
              <w:rPr>
                <w:rFonts w:ascii="Calibri" w:cs="Calibri" w:eastAsia="Calibri" w:hAnsi="Calibri"/>
                <w:sz w:val="18"/>
                <w:szCs w:val="18"/>
                <w:color w:val="0000FF"/>
              </w:rPr>
              <w:t>Other Informaton</w:t>
            </w:r>
          </w:p>
        </w:tc>
        <w:tc>
          <w:tcPr>
            <w:tcW w:w="980" w:type="dxa"/>
            <w:vAlign w:val="bottom"/>
            <w:gridSpan w:val="3"/>
          </w:tcPr>
          <w:p>
            <w:pPr>
              <w:jc w:val="right"/>
              <w:spacing w:after="0"/>
              <w:rPr>
                <w:sz w:val="20"/>
                <w:szCs w:val="20"/>
                <w:color w:val="auto"/>
              </w:rPr>
            </w:pPr>
            <w:r>
              <w:rPr>
                <w:rFonts w:ascii="Calibri" w:cs="Calibri" w:eastAsia="Calibri" w:hAnsi="Calibri"/>
                <w:sz w:val="18"/>
                <w:szCs w:val="18"/>
                <w:color w:val="0000FF"/>
              </w:rPr>
              <w:t>18</w:t>
            </w: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Calibri" w:cs="Calibri" w:eastAsia="Calibri" w:hAnsi="Calibri"/>
                <w:sz w:val="18"/>
                <w:szCs w:val="18"/>
                <w:color w:val="0000FF"/>
              </w:rPr>
              <w:t>Exhibits</w:t>
            </w:r>
          </w:p>
        </w:tc>
        <w:tc>
          <w:tcPr>
            <w:tcW w:w="6880" w:type="dxa"/>
            <w:vAlign w:val="bottom"/>
            <w:gridSpan w:val="18"/>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19</w:t>
            </w:r>
          </w:p>
        </w:tc>
      </w:tr>
      <w:tr>
        <w:trPr>
          <w:trHeight w:val="20"/>
        </w:trPr>
        <w:tc>
          <w:tcPr>
            <w:tcW w:w="1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60"/>
        <w:spacing w:after="0"/>
        <w:rPr>
          <w:sz w:val="20"/>
          <w:szCs w:val="20"/>
          <w:color w:val="auto"/>
        </w:rPr>
      </w:pPr>
      <w:r>
        <w:rPr>
          <w:rFonts w:ascii="Calibri" w:cs="Calibri" w:eastAsia="Calibri" w:hAnsi="Calibri"/>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60" w:top="882" w:right="1259" w:bottom="1440" w:gutter="0" w:footer="0" w:header="0"/>
        </w:sectPr>
      </w:pPr>
    </w:p>
    <w:bookmarkStart w:id="2" w:name="page3"/>
    <w:bookmarkEnd w:id="2"/>
    <w:p>
      <w:pPr>
        <w:jc w:val="center"/>
        <w:ind w:right="-39"/>
        <w:spacing w:after="0"/>
        <w:rPr>
          <w:sz w:val="20"/>
          <w:szCs w:val="20"/>
          <w:color w:val="auto"/>
        </w:rPr>
      </w:pPr>
      <w:r>
        <w:rPr>
          <w:rFonts w:ascii="Calibri" w:cs="Calibri" w:eastAsia="Calibri" w:hAnsi="Calibri"/>
          <w:sz w:val="18"/>
          <w:szCs w:val="18"/>
          <w:b w:val="1"/>
          <w:bCs w:val="1"/>
          <w:color w:val="auto"/>
        </w:rPr>
        <w:t>PART I. FINANCIAL INFORMATION</w:t>
      </w:r>
    </w:p>
    <w:p>
      <w:pPr>
        <w:spacing w:after="0" w:line="227" w:lineRule="exact"/>
        <w:rPr>
          <w:sz w:val="20"/>
          <w:szCs w:val="20"/>
          <w:color w:val="auto"/>
        </w:rPr>
      </w:pPr>
    </w:p>
    <w:p>
      <w:pPr>
        <w:spacing w:after="0"/>
        <w:rPr>
          <w:sz w:val="20"/>
          <w:szCs w:val="20"/>
          <w:color w:val="auto"/>
        </w:rPr>
      </w:pPr>
      <w:r>
        <w:rPr>
          <w:rFonts w:ascii="Calibri" w:cs="Calibri" w:eastAsia="Calibri" w:hAnsi="Calibri"/>
          <w:sz w:val="22"/>
          <w:szCs w:val="22"/>
          <w:color w:val="auto"/>
        </w:rPr>
        <w:t>ITEM 1. FINANCIAL STATEMENTS</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CONDENSED CONSOLIDATED BALANCE SHEETS (UNAUDITED)</w:t>
      </w:r>
    </w:p>
    <w:p>
      <w:pPr>
        <w:spacing w:after="0" w:line="233" w:lineRule="auto"/>
        <w:rPr>
          <w:sz w:val="20"/>
          <w:szCs w:val="20"/>
          <w:color w:val="auto"/>
        </w:rPr>
      </w:pPr>
      <w:r>
        <w:rPr>
          <w:rFonts w:ascii="Calibri" w:cs="Calibri" w:eastAsia="Calibri" w:hAnsi="Calibri"/>
          <w:sz w:val="14"/>
          <w:szCs w:val="14"/>
          <w:b w:val="1"/>
          <w:bCs w:val="1"/>
          <w:color w:val="auto"/>
        </w:rPr>
        <w:t>(In thousands, except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Calibri" w:cs="Calibri" w:eastAsia="Calibri" w:hAnsi="Calibri"/>
                <w:sz w:val="16"/>
                <w:szCs w:val="16"/>
                <w:b w:val="1"/>
                <w:bCs w:val="1"/>
                <w:color w:val="auto"/>
              </w:rPr>
              <w:t>December 29,</w:t>
            </w:r>
          </w:p>
        </w:tc>
        <w:tc>
          <w:tcPr>
            <w:tcW w:w="240" w:type="dxa"/>
            <w:vAlign w:val="bottom"/>
          </w:tcPr>
          <w:p>
            <w:pPr>
              <w:spacing w:after="0"/>
              <w:rPr>
                <w:sz w:val="16"/>
                <w:szCs w:val="16"/>
                <w:color w:val="auto"/>
              </w:rPr>
            </w:pPr>
          </w:p>
        </w:tc>
        <w:tc>
          <w:tcPr>
            <w:tcW w:w="1200" w:type="dxa"/>
            <w:vAlign w:val="bottom"/>
          </w:tcPr>
          <w:p>
            <w:pPr>
              <w:jc w:val="right"/>
              <w:ind w:right="299"/>
              <w:spacing w:after="0"/>
              <w:rPr>
                <w:sz w:val="20"/>
                <w:szCs w:val="20"/>
                <w:color w:val="auto"/>
              </w:rPr>
            </w:pPr>
            <w:r>
              <w:rPr>
                <w:rFonts w:ascii="Calibri" w:cs="Calibri" w:eastAsia="Calibri" w:hAnsi="Calibri"/>
                <w:sz w:val="16"/>
                <w:szCs w:val="16"/>
                <w:b w:val="1"/>
                <w:bCs w:val="1"/>
                <w:color w:val="auto"/>
              </w:rPr>
              <w:t>March 31,</w:t>
            </w:r>
          </w:p>
        </w:tc>
      </w:tr>
      <w:tr>
        <w:trPr>
          <w:trHeight w:val="193"/>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479"/>
              <w:spacing w:after="0" w:line="193" w:lineRule="exact"/>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79"/>
              <w:spacing w:after="0" w:line="193" w:lineRule="exact"/>
              <w:rPr>
                <w:sz w:val="20"/>
                <w:szCs w:val="20"/>
                <w:color w:val="auto"/>
              </w:rPr>
            </w:pPr>
            <w:r>
              <w:rPr>
                <w:rFonts w:ascii="Calibri" w:cs="Calibri" w:eastAsia="Calibri" w:hAnsi="Calibri"/>
                <w:sz w:val="16"/>
                <w:szCs w:val="16"/>
                <w:b w:val="1"/>
                <w:bCs w:val="1"/>
                <w:color w:val="auto"/>
              </w:rPr>
              <w:t>2024</w:t>
            </w:r>
          </w:p>
        </w:tc>
      </w:tr>
      <w:tr>
        <w:trPr>
          <w:trHeight w:val="28"/>
        </w:trPr>
        <w:tc>
          <w:tcPr>
            <w:tcW w:w="8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6"/>
        </w:trPr>
        <w:tc>
          <w:tcPr>
            <w:tcW w:w="824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b w:val="1"/>
                <w:bCs w:val="1"/>
                <w:color w:val="auto"/>
              </w:rPr>
              <w:t>ASSETS</w:t>
            </w:r>
          </w:p>
        </w:tc>
        <w:tc>
          <w:tcPr>
            <w:tcW w:w="1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ASSETS: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and cash equivalents</w:t>
            </w:r>
          </w:p>
        </w:tc>
        <w:tc>
          <w:tcPr>
            <w:tcW w:w="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8,305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59"/>
              <w:spacing w:after="0" w:line="193" w:lineRule="exact"/>
              <w:rPr>
                <w:sz w:val="20"/>
                <w:szCs w:val="20"/>
                <w:color w:val="auto"/>
              </w:rPr>
            </w:pPr>
            <w:r>
              <w:rPr>
                <w:rFonts w:ascii="Calibri" w:cs="Calibri" w:eastAsia="Calibri" w:hAnsi="Calibri"/>
                <w:sz w:val="16"/>
                <w:szCs w:val="16"/>
                <w:color w:val="auto"/>
                <w:w w:val="97"/>
              </w:rPr>
              <w:t>$</w:t>
            </w: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7,153</w:t>
            </w: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Trade accounts receivables, net</w:t>
            </w:r>
          </w:p>
        </w:tc>
        <w:tc>
          <w:tcPr>
            <w:tcW w:w="18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111,521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114,477</w:t>
            </w: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Inventories</w:t>
            </w: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81,634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74,600</w:t>
            </w: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Prepaid expenses and other current assets</w:t>
            </w:r>
          </w:p>
        </w:tc>
        <w:tc>
          <w:tcPr>
            <w:tcW w:w="18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8,895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6,596</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9"/>
        </w:trPr>
        <w:tc>
          <w:tcPr>
            <w:tcW w:w="8240" w:type="dxa"/>
            <w:vAlign w:val="bottom"/>
            <w:tcBorders>
              <w:bottom w:val="single" w:sz="8" w:color="CCEEFF"/>
            </w:tcBorders>
            <w:shd w:val="clear" w:color="auto" w:fill="CCEEFF"/>
          </w:tcPr>
          <w:p>
            <w:pPr>
              <w:ind w:left="800"/>
              <w:spacing w:after="0" w:line="174" w:lineRule="exact"/>
              <w:rPr>
                <w:sz w:val="20"/>
                <w:szCs w:val="20"/>
                <w:color w:val="auto"/>
              </w:rPr>
            </w:pPr>
            <w:r>
              <w:rPr>
                <w:rFonts w:ascii="Calibri" w:cs="Calibri" w:eastAsia="Calibri" w:hAnsi="Calibri"/>
                <w:sz w:val="16"/>
                <w:szCs w:val="16"/>
                <w:color w:val="auto"/>
              </w:rPr>
              <w:t>Total current assets</w:t>
            </w: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210,355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202,826</w:t>
            </w: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PROPERTY, PLANT, AND EQUIPMENT:</w:t>
            </w:r>
          </w:p>
        </w:tc>
        <w:tc>
          <w:tcPr>
            <w:tcW w:w="18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410,427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386,648</w:t>
            </w: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Less accumulated depreciaton</w:t>
            </w: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189,984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177,774</w:t>
            </w:r>
          </w:p>
        </w:tc>
      </w:tr>
      <w:tr>
        <w:trPr>
          <w:trHeight w:val="187"/>
        </w:trPr>
        <w:tc>
          <w:tcPr>
            <w:tcW w:w="8240" w:type="dxa"/>
            <w:vAlign w:val="bottom"/>
          </w:tcPr>
          <w:p>
            <w:pPr>
              <w:ind w:left="800"/>
              <w:spacing w:after="0" w:line="174" w:lineRule="exact"/>
              <w:rPr>
                <w:sz w:val="20"/>
                <w:szCs w:val="20"/>
                <w:color w:val="auto"/>
              </w:rPr>
            </w:pPr>
            <w:r>
              <w:rPr>
                <w:rFonts w:ascii="Calibri" w:cs="Calibri" w:eastAsia="Calibri" w:hAnsi="Calibri"/>
                <w:sz w:val="16"/>
                <w:szCs w:val="16"/>
                <w:color w:val="auto"/>
              </w:rPr>
              <w:t>Net property, plant, and equipment</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220,443</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208,874</w:t>
            </w: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OTHER ASSETS:</w:t>
            </w: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Right-of-use assets</w:t>
            </w:r>
          </w:p>
        </w:tc>
        <w:tc>
          <w:tcPr>
            <w:tcW w:w="18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13,096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11,713</w:t>
            </w: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Goodwill</w:t>
            </w: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116,738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103,399</w:t>
            </w: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Intangible assets, net of accumulated amortzaton</w:t>
            </w:r>
          </w:p>
        </w:tc>
        <w:tc>
          <w:tcPr>
            <w:tcW w:w="18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130,474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116,626</w:t>
            </w: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Deferred compensaton plan asset</w:t>
            </w: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11,892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9,584</w:t>
            </w: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Other</w:t>
            </w:r>
          </w:p>
        </w:tc>
        <w:tc>
          <w:tcPr>
            <w:tcW w:w="18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4,242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4,912</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8240" w:type="dxa"/>
            <w:vAlign w:val="bottom"/>
            <w:tcBorders>
              <w:bottom w:val="single" w:sz="8" w:color="CCEEFF"/>
            </w:tcBorders>
            <w:shd w:val="clear" w:color="auto" w:fill="CCEEFF"/>
          </w:tcPr>
          <w:p>
            <w:pPr>
              <w:ind w:left="800"/>
              <w:spacing w:after="0" w:line="174" w:lineRule="exact"/>
              <w:rPr>
                <w:sz w:val="20"/>
                <w:szCs w:val="20"/>
                <w:color w:val="auto"/>
              </w:rPr>
            </w:pPr>
            <w:r>
              <w:rPr>
                <w:rFonts w:ascii="Calibri" w:cs="Calibri" w:eastAsia="Calibri" w:hAnsi="Calibri"/>
                <w:sz w:val="16"/>
                <w:szCs w:val="16"/>
                <w:color w:val="auto"/>
              </w:rPr>
              <w:t>Total other assets</w:t>
            </w: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276,442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246,234</w:t>
            </w:r>
          </w:p>
        </w:tc>
      </w:tr>
      <w:tr>
        <w:trPr>
          <w:trHeight w:val="187"/>
        </w:trPr>
        <w:tc>
          <w:tcPr>
            <w:tcW w:w="8240" w:type="dxa"/>
            <w:vAlign w:val="bottom"/>
          </w:tcPr>
          <w:p>
            <w:pPr>
              <w:ind w:left="800"/>
              <w:spacing w:after="0" w:line="182" w:lineRule="exact"/>
              <w:rPr>
                <w:sz w:val="20"/>
                <w:szCs w:val="20"/>
                <w:color w:val="auto"/>
              </w:rPr>
            </w:pPr>
            <w:r>
              <w:rPr>
                <w:rFonts w:ascii="Calibri" w:cs="Calibri" w:eastAsia="Calibri" w:hAnsi="Calibri"/>
                <w:sz w:val="16"/>
                <w:szCs w:val="16"/>
                <w:color w:val="auto"/>
              </w:rPr>
              <w:t>Total assets</w:t>
            </w:r>
          </w:p>
        </w:tc>
        <w:tc>
          <w:tcPr>
            <w:tcW w:w="1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2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707,240</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59"/>
              <w:spacing w:after="0" w:line="187" w:lineRule="exact"/>
              <w:rPr>
                <w:sz w:val="20"/>
                <w:szCs w:val="20"/>
                <w:color w:val="auto"/>
              </w:rPr>
            </w:pPr>
            <w:r>
              <w:rPr>
                <w:rFonts w:ascii="Calibri" w:cs="Calibri" w:eastAsia="Calibri" w:hAnsi="Calibri"/>
                <w:sz w:val="16"/>
                <w:szCs w:val="16"/>
                <w:color w:val="auto"/>
                <w:w w:val="97"/>
              </w:rPr>
              <w:t>$</w:t>
            </w:r>
          </w:p>
        </w:tc>
        <w:tc>
          <w:tcPr>
            <w:tcW w:w="12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657,934</w:t>
            </w:r>
          </w:p>
        </w:tc>
      </w:tr>
      <w:tr>
        <w:trPr>
          <w:trHeight w:val="23"/>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63"/>
        </w:trPr>
        <w:tc>
          <w:tcPr>
            <w:tcW w:w="8240" w:type="dxa"/>
            <w:vAlign w:val="bottom"/>
            <w:tcBorders>
              <w:bottom w:val="single" w:sz="8" w:color="CCEEFF"/>
            </w:tcBorders>
            <w:shd w:val="clear" w:color="auto" w:fill="CCEEFF"/>
          </w:tcPr>
          <w:p>
            <w:pPr>
              <w:ind w:left="20"/>
              <w:spacing w:after="0" w:line="161" w:lineRule="exact"/>
              <w:rPr>
                <w:sz w:val="20"/>
                <w:szCs w:val="20"/>
                <w:color w:val="auto"/>
              </w:rPr>
            </w:pPr>
            <w:r>
              <w:rPr>
                <w:rFonts w:ascii="Calibri" w:cs="Calibri" w:eastAsia="Calibri" w:hAnsi="Calibri"/>
                <w:sz w:val="16"/>
                <w:szCs w:val="16"/>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r>
      <w:tr>
        <w:trPr>
          <w:trHeight w:val="194"/>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LIABILITIES: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Accounts payable — trade</w:t>
            </w:r>
          </w:p>
        </w:tc>
        <w:tc>
          <w:tcPr>
            <w:tcW w:w="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39,891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59"/>
              <w:spacing w:after="0" w:line="193" w:lineRule="exact"/>
              <w:rPr>
                <w:sz w:val="20"/>
                <w:szCs w:val="20"/>
                <w:color w:val="auto"/>
              </w:rPr>
            </w:pPr>
            <w:r>
              <w:rPr>
                <w:rFonts w:ascii="Calibri" w:cs="Calibri" w:eastAsia="Calibri" w:hAnsi="Calibri"/>
                <w:sz w:val="16"/>
                <w:szCs w:val="16"/>
                <w:color w:val="auto"/>
                <w:w w:val="97"/>
              </w:rPr>
              <w:t>$</w:t>
            </w: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56,387</w:t>
            </w: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Accrued payroll and employee benefts</w:t>
            </w:r>
          </w:p>
        </w:tc>
        <w:tc>
          <w:tcPr>
            <w:tcW w:w="18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18,371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19,532</w:t>
            </w: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Income tax payable</w:t>
            </w: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1,943</w:t>
            </w: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Current porton of long-term debt</w:t>
            </w:r>
          </w:p>
        </w:tc>
        <w:tc>
          <w:tcPr>
            <w:tcW w:w="18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9,913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9,913</w:t>
            </w: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Environmental remediaton</w:t>
            </w: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7,700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7,700</w:t>
            </w:r>
          </w:p>
        </w:tc>
      </w:tr>
      <w:tr>
        <w:trPr>
          <w:trHeight w:val="194"/>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Other current liabilites</w:t>
            </w:r>
          </w:p>
        </w:tc>
        <w:tc>
          <w:tcPr>
            <w:tcW w:w="18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8,379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7,832</w:t>
            </w:r>
          </w:p>
        </w:tc>
      </w:tr>
      <w:tr>
        <w:trPr>
          <w:trHeight w:val="22"/>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0"/>
        </w:trPr>
        <w:tc>
          <w:tcPr>
            <w:tcW w:w="8240" w:type="dxa"/>
            <w:vAlign w:val="bottom"/>
            <w:tcBorders>
              <w:bottom w:val="single" w:sz="8" w:color="CCEEFF"/>
            </w:tcBorders>
            <w:shd w:val="clear" w:color="auto" w:fill="CCEEFF"/>
          </w:tcPr>
          <w:p>
            <w:pPr>
              <w:ind w:left="800"/>
              <w:spacing w:after="0" w:line="174" w:lineRule="exact"/>
              <w:rPr>
                <w:sz w:val="20"/>
                <w:szCs w:val="20"/>
                <w:color w:val="auto"/>
              </w:rPr>
            </w:pPr>
            <w:r>
              <w:rPr>
                <w:rFonts w:ascii="Calibri" w:cs="Calibri" w:eastAsia="Calibri" w:hAnsi="Calibri"/>
                <w:sz w:val="16"/>
                <w:szCs w:val="16"/>
                <w:color w:val="auto"/>
              </w:rPr>
              <w:t>Total current liabilites</w:t>
            </w: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84,254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103,307</w:t>
            </w:r>
          </w:p>
        </w:tc>
      </w:tr>
      <w:tr>
        <w:trPr>
          <w:trHeight w:val="194"/>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LONG-TERM LIABILITIES: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Long-term debt, less current porton</w:t>
            </w: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103,884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88,818</w:t>
            </w:r>
          </w:p>
        </w:tc>
      </w:tr>
      <w:tr>
        <w:trPr>
          <w:trHeight w:val="194"/>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Long-term lease liability</w:t>
            </w:r>
          </w:p>
        </w:tc>
        <w:tc>
          <w:tcPr>
            <w:tcW w:w="18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10,613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9,530</w:t>
            </w: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Pension withdrawal liability</w:t>
            </w: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3,252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3,538</w:t>
            </w: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Deferred income taxes</w:t>
            </w:r>
          </w:p>
        </w:tc>
        <w:tc>
          <w:tcPr>
            <w:tcW w:w="18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22,120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22,406</w:t>
            </w: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Deferred compensaton liability</w:t>
            </w: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13,413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11,764</w:t>
            </w: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Earnout liability</w:t>
            </w:r>
          </w:p>
        </w:tc>
        <w:tc>
          <w:tcPr>
            <w:tcW w:w="18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12,262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11,235</w:t>
            </w: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Other long-term liabilites</w:t>
            </w: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461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1,310</w:t>
            </w:r>
          </w:p>
        </w:tc>
      </w:tr>
      <w:tr>
        <w:trPr>
          <w:trHeight w:val="187"/>
        </w:trPr>
        <w:tc>
          <w:tcPr>
            <w:tcW w:w="8240" w:type="dxa"/>
            <w:vAlign w:val="bottom"/>
          </w:tcPr>
          <w:p>
            <w:pPr>
              <w:ind w:left="800"/>
              <w:spacing w:after="0" w:line="174" w:lineRule="exact"/>
              <w:rPr>
                <w:sz w:val="20"/>
                <w:szCs w:val="20"/>
                <w:color w:val="auto"/>
              </w:rPr>
            </w:pPr>
            <w:r>
              <w:rPr>
                <w:rFonts w:ascii="Calibri" w:cs="Calibri" w:eastAsia="Calibri" w:hAnsi="Calibri"/>
                <w:sz w:val="16"/>
                <w:szCs w:val="16"/>
                <w:color w:val="auto"/>
              </w:rPr>
              <w:t>Total long-term liabilites</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166,005</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148,601</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0"/>
        </w:trPr>
        <w:tc>
          <w:tcPr>
            <w:tcW w:w="8240" w:type="dxa"/>
            <w:vAlign w:val="bottom"/>
            <w:tcBorders>
              <w:bottom w:val="single" w:sz="8" w:color="CCEEFF"/>
            </w:tcBorders>
            <w:shd w:val="clear" w:color="auto" w:fill="CCEEFF"/>
          </w:tcPr>
          <w:p>
            <w:pPr>
              <w:ind w:left="800"/>
              <w:spacing w:after="0" w:line="174" w:lineRule="exact"/>
              <w:rPr>
                <w:sz w:val="20"/>
                <w:szCs w:val="20"/>
                <w:color w:val="auto"/>
              </w:rPr>
            </w:pPr>
            <w:r>
              <w:rPr>
                <w:rFonts w:ascii="Calibri" w:cs="Calibri" w:eastAsia="Calibri" w:hAnsi="Calibri"/>
                <w:sz w:val="16"/>
                <w:szCs w:val="16"/>
                <w:color w:val="auto"/>
              </w:rPr>
              <w:t>Total liabilites</w:t>
            </w: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250,259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251,908</w:t>
            </w: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COMMITMENTS AND CONTINGENCIES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SHAREHOLDERS' EQUITY:</w:t>
            </w: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157"/>
        </w:trPr>
        <w:tc>
          <w:tcPr>
            <w:tcW w:w="8240" w:type="dxa"/>
            <w:vAlign w:val="bottom"/>
          </w:tcPr>
          <w:p>
            <w:pPr>
              <w:ind w:left="360"/>
              <w:spacing w:after="0" w:line="157" w:lineRule="exact"/>
              <w:rPr>
                <w:sz w:val="20"/>
                <w:szCs w:val="20"/>
                <w:color w:val="auto"/>
              </w:rPr>
            </w:pPr>
            <w:r>
              <w:rPr>
                <w:rFonts w:ascii="Calibri" w:cs="Calibri" w:eastAsia="Calibri" w:hAnsi="Calibri"/>
                <w:sz w:val="16"/>
                <w:szCs w:val="16"/>
                <w:color w:val="auto"/>
              </w:rPr>
              <w:t>Common stock; authorized: 60,000,000 shares of $0.01 par value; 20,766,764 and 20,790,261 shares issued and</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94"/>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outstanding as of December 29, 2024 and March 31, 2024, respectvely</w:t>
            </w:r>
          </w:p>
        </w:tc>
        <w:tc>
          <w:tcPr>
            <w:tcW w:w="18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208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208</w:t>
            </w:r>
          </w:p>
        </w:tc>
      </w:tr>
      <w:tr>
        <w:trPr>
          <w:trHeight w:val="28"/>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Additonal paid-in capital</w:t>
            </w: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32,783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38,154</w:t>
            </w:r>
          </w:p>
        </w:tc>
      </w:tr>
      <w:tr>
        <w:trPr>
          <w:trHeight w:val="194"/>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Retained earnings</w:t>
            </w:r>
          </w:p>
        </w:tc>
        <w:tc>
          <w:tcPr>
            <w:tcW w:w="18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421,682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364,549</w:t>
            </w:r>
          </w:p>
        </w:tc>
      </w:tr>
      <w:tr>
        <w:trPr>
          <w:trHeight w:val="22"/>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Accumulated other comprehensive income</w:t>
            </w: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2,308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3,115</w:t>
            </w:r>
          </w:p>
        </w:tc>
      </w:tr>
      <w:tr>
        <w:trPr>
          <w:trHeight w:val="187"/>
        </w:trPr>
        <w:tc>
          <w:tcPr>
            <w:tcW w:w="8240" w:type="dxa"/>
            <w:vAlign w:val="bottom"/>
          </w:tcPr>
          <w:p>
            <w:pPr>
              <w:ind w:left="800"/>
              <w:spacing w:after="0" w:line="174" w:lineRule="exact"/>
              <w:rPr>
                <w:sz w:val="20"/>
                <w:szCs w:val="20"/>
                <w:color w:val="auto"/>
              </w:rPr>
            </w:pPr>
            <w:r>
              <w:rPr>
                <w:rFonts w:ascii="Calibri" w:cs="Calibri" w:eastAsia="Calibri" w:hAnsi="Calibri"/>
                <w:sz w:val="16"/>
                <w:szCs w:val="16"/>
                <w:color w:val="auto"/>
              </w:rPr>
              <w:t>Total shareholders’ equity</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456,981</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406,026</w:t>
            </w:r>
          </w:p>
        </w:tc>
      </w:tr>
      <w:tr>
        <w:trPr>
          <w:trHeight w:val="22"/>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5"/>
        </w:trPr>
        <w:tc>
          <w:tcPr>
            <w:tcW w:w="8240" w:type="dxa"/>
            <w:vAlign w:val="bottom"/>
            <w:tcBorders>
              <w:bottom w:val="single" w:sz="8" w:color="CCEEFF"/>
            </w:tcBorders>
            <w:shd w:val="clear" w:color="auto" w:fill="CCEEFF"/>
          </w:tcPr>
          <w:p>
            <w:pPr>
              <w:ind w:left="800"/>
              <w:spacing w:after="0" w:line="182" w:lineRule="exact"/>
              <w:rPr>
                <w:sz w:val="20"/>
                <w:szCs w:val="20"/>
                <w:color w:val="auto"/>
              </w:rPr>
            </w:pPr>
            <w:r>
              <w:rPr>
                <w:rFonts w:ascii="Calibri" w:cs="Calibri" w:eastAsia="Calibri" w:hAnsi="Calibri"/>
                <w:sz w:val="16"/>
                <w:szCs w:val="16"/>
                <w:color w:val="auto"/>
              </w:rPr>
              <w:t>Total liabilites and shareholders’ equity</w:t>
            </w:r>
          </w:p>
        </w:tc>
        <w:tc>
          <w:tcPr>
            <w:tcW w:w="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2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707,240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line="187" w:lineRule="exact"/>
              <w:rPr>
                <w:sz w:val="20"/>
                <w:szCs w:val="20"/>
                <w:color w:val="auto"/>
              </w:rPr>
            </w:pPr>
            <w:r>
              <w:rPr>
                <w:rFonts w:ascii="Calibri" w:cs="Calibri" w:eastAsia="Calibri" w:hAnsi="Calibri"/>
                <w:sz w:val="16"/>
                <w:szCs w:val="16"/>
                <w:color w:val="auto"/>
                <w:w w:val="97"/>
              </w:rPr>
              <w:t>$</w:t>
            </w:r>
          </w:p>
        </w:tc>
        <w:tc>
          <w:tcPr>
            <w:tcW w:w="12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657,934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See accompanying notes to condensed consolidated fnancial statements.</w:t>
      </w:r>
    </w:p>
    <w:p>
      <w:pPr>
        <w:sectPr>
          <w:pgSz w:w="11900" w:h="16838" w:orient="portrait"/>
          <w:cols w:equalWidth="0" w:num="1">
            <w:col w:w="11220"/>
          </w:cols>
          <w:pgMar w:left="320" w:top="882" w:right="35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CONDENSED CONSOLIDATED STATEMENTS OF INCOME (UNAUDITED)</w:t>
      </w:r>
    </w:p>
    <w:p>
      <w:pPr>
        <w:spacing w:after="0" w:line="4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(In thousands, except share and per-share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5"/>
          </w:tcPr>
          <w:p>
            <w:pPr>
              <w:ind w:left="480"/>
              <w:spacing w:after="0"/>
              <w:rPr>
                <w:sz w:val="20"/>
                <w:szCs w:val="20"/>
                <w:color w:val="auto"/>
              </w:rPr>
            </w:pPr>
            <w:r>
              <w:rPr>
                <w:rFonts w:ascii="Calibri" w:cs="Calibri" w:eastAsia="Calibri" w:hAnsi="Calibri"/>
                <w:sz w:val="16"/>
                <w:szCs w:val="16"/>
                <w:b w:val="1"/>
                <w:bCs w:val="1"/>
                <w:color w:val="auto"/>
              </w:rPr>
              <w:t>Three Months Ended</w:t>
            </w:r>
          </w:p>
        </w:tc>
        <w:tc>
          <w:tcPr>
            <w:tcW w:w="180" w:type="dxa"/>
            <w:vAlign w:val="bottom"/>
          </w:tcPr>
          <w:p>
            <w:pPr>
              <w:spacing w:after="0"/>
              <w:rPr>
                <w:sz w:val="16"/>
                <w:szCs w:val="16"/>
                <w:color w:val="auto"/>
              </w:rPr>
            </w:pPr>
          </w:p>
        </w:tc>
        <w:tc>
          <w:tcPr>
            <w:tcW w:w="2580" w:type="dxa"/>
            <w:vAlign w:val="bottom"/>
            <w:gridSpan w:val="4"/>
          </w:tcPr>
          <w:p>
            <w:pPr>
              <w:jc w:val="right"/>
              <w:ind w:right="632"/>
              <w:spacing w:after="0"/>
              <w:rPr>
                <w:sz w:val="20"/>
                <w:szCs w:val="20"/>
                <w:color w:val="auto"/>
              </w:rPr>
            </w:pPr>
            <w:r>
              <w:rPr>
                <w:rFonts w:ascii="Calibri" w:cs="Calibri" w:eastAsia="Calibri" w:hAnsi="Calibri"/>
                <w:sz w:val="16"/>
                <w:szCs w:val="16"/>
                <w:b w:val="1"/>
                <w:bCs w:val="1"/>
                <w:color w:val="auto"/>
              </w:rPr>
              <w:t>Nine Months Ended</w:t>
            </w:r>
          </w:p>
        </w:tc>
        <w:tc>
          <w:tcPr>
            <w:tcW w:w="0" w:type="dxa"/>
            <w:vAlign w:val="bottom"/>
          </w:tcPr>
          <w:p>
            <w:pPr>
              <w:spacing w:after="0"/>
              <w:rPr>
                <w:sz w:val="1"/>
                <w:szCs w:val="1"/>
                <w:color w:val="auto"/>
              </w:rPr>
            </w:pPr>
          </w:p>
        </w:tc>
      </w:tr>
      <w:tr>
        <w:trPr>
          <w:trHeight w:val="28"/>
        </w:trPr>
        <w:tc>
          <w:tcPr>
            <w:tcW w:w="5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27" w:lineRule="exact"/>
              <w:rPr>
                <w:sz w:val="20"/>
                <w:szCs w:val="20"/>
                <w:color w:val="auto"/>
              </w:rPr>
            </w:pPr>
            <w:r>
              <w:rPr>
                <w:rFonts w:ascii="Calibri" w:cs="Calibri" w:eastAsia="Calibri" w:hAnsi="Calibri"/>
                <w:sz w:val="13"/>
                <w:szCs w:val="13"/>
                <w:b w:val="1"/>
                <w:bCs w:val="1"/>
                <w:color w:val="auto"/>
              </w:rPr>
              <w:t>December 29,</w:t>
            </w:r>
          </w:p>
        </w:tc>
        <w:tc>
          <w:tcPr>
            <w:tcW w:w="180" w:type="dxa"/>
            <w:vAlign w:val="bottom"/>
          </w:tcPr>
          <w:p>
            <w:pPr>
              <w:spacing w:after="0"/>
              <w:rPr>
                <w:sz w:val="11"/>
                <w:szCs w:val="11"/>
                <w:color w:val="auto"/>
              </w:rPr>
            </w:pPr>
          </w:p>
        </w:tc>
        <w:tc>
          <w:tcPr>
            <w:tcW w:w="1120" w:type="dxa"/>
            <w:vAlign w:val="bottom"/>
          </w:tcPr>
          <w:p>
            <w:pPr>
              <w:jc w:val="right"/>
              <w:ind w:right="152"/>
              <w:spacing w:after="0" w:line="127" w:lineRule="exact"/>
              <w:rPr>
                <w:sz w:val="20"/>
                <w:szCs w:val="20"/>
                <w:color w:val="auto"/>
              </w:rPr>
            </w:pPr>
            <w:r>
              <w:rPr>
                <w:rFonts w:ascii="Calibri" w:cs="Calibri" w:eastAsia="Calibri" w:hAnsi="Calibri"/>
                <w:sz w:val="13"/>
                <w:szCs w:val="13"/>
                <w:b w:val="1"/>
                <w:bCs w:val="1"/>
                <w:color w:val="auto"/>
              </w:rPr>
              <w:t>December 31,</w:t>
            </w:r>
          </w:p>
        </w:tc>
        <w:tc>
          <w:tcPr>
            <w:tcW w:w="1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27" w:lineRule="exact"/>
              <w:rPr>
                <w:sz w:val="20"/>
                <w:szCs w:val="20"/>
                <w:color w:val="auto"/>
              </w:rPr>
            </w:pPr>
            <w:r>
              <w:rPr>
                <w:rFonts w:ascii="Calibri" w:cs="Calibri" w:eastAsia="Calibri" w:hAnsi="Calibri"/>
                <w:sz w:val="13"/>
                <w:szCs w:val="13"/>
                <w:b w:val="1"/>
                <w:bCs w:val="1"/>
                <w:color w:val="auto"/>
              </w:rPr>
              <w:t>December 29,</w:t>
            </w:r>
          </w:p>
        </w:tc>
        <w:tc>
          <w:tcPr>
            <w:tcW w:w="180" w:type="dxa"/>
            <w:vAlign w:val="bottom"/>
          </w:tcPr>
          <w:p>
            <w:pPr>
              <w:spacing w:after="0"/>
              <w:rPr>
                <w:sz w:val="11"/>
                <w:szCs w:val="11"/>
                <w:color w:val="auto"/>
              </w:rPr>
            </w:pPr>
          </w:p>
        </w:tc>
        <w:tc>
          <w:tcPr>
            <w:tcW w:w="1140" w:type="dxa"/>
            <w:vAlign w:val="bottom"/>
          </w:tcPr>
          <w:p>
            <w:pPr>
              <w:jc w:val="right"/>
              <w:ind w:right="152"/>
              <w:spacing w:after="0" w:line="127" w:lineRule="exact"/>
              <w:rPr>
                <w:sz w:val="20"/>
                <w:szCs w:val="20"/>
                <w:color w:val="auto"/>
              </w:rPr>
            </w:pPr>
            <w:r>
              <w:rPr>
                <w:rFonts w:ascii="Calibri" w:cs="Calibri" w:eastAsia="Calibri" w:hAnsi="Calibri"/>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413"/>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412"/>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413"/>
              <w:spacing w:after="0"/>
              <w:rPr>
                <w:sz w:val="20"/>
                <w:szCs w:val="20"/>
                <w:color w:val="auto"/>
              </w:rPr>
            </w:pPr>
            <w:r>
              <w:rPr>
                <w:rFonts w:ascii="Calibri" w:cs="Calibri" w:eastAsia="Calibri" w:hAnsi="Calibri"/>
                <w:sz w:val="14"/>
                <w:szCs w:val="14"/>
                <w:b w:val="1"/>
                <w:bCs w:val="1"/>
                <w:color w:val="auto"/>
              </w:rPr>
              <w:t>2024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432"/>
              <w:spacing w:after="0"/>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5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Sales</w:t>
            </w: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226,205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208,496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729,113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696,142</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(177,781)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(166,248)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(555,812)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(548,017)</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Gross proft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48,424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42,248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173,301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148,125</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(27,361)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(23,774)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(78,702)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(64,173)</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Operatng income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21,063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18,474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94,599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83,952</w:t>
            </w:r>
          </w:p>
        </w:tc>
        <w:tc>
          <w:tcPr>
            <w:tcW w:w="0" w:type="dxa"/>
            <w:vAlign w:val="bottom"/>
          </w:tcPr>
          <w:p>
            <w:pPr>
              <w:spacing w:after="0"/>
              <w:rPr>
                <w:sz w:val="1"/>
                <w:szCs w:val="1"/>
                <w:color w:val="auto"/>
              </w:rPr>
            </w:pPr>
          </w:p>
        </w:tc>
      </w:tr>
      <w:tr>
        <w:trPr>
          <w:trHeight w:val="222"/>
        </w:trPr>
        <w:tc>
          <w:tcPr>
            <w:tcW w:w="568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expense, net</w:t>
            </w:r>
          </w:p>
        </w:tc>
        <w:tc>
          <w:tcPr>
            <w:tcW w:w="16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(1,216)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(1,168)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(3,906)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(3,033)</w:t>
            </w:r>
          </w:p>
        </w:tc>
        <w:tc>
          <w:tcPr>
            <w:tcW w:w="0" w:type="dxa"/>
            <w:vAlign w:val="bottom"/>
          </w:tcPr>
          <w:p>
            <w:pPr>
              <w:spacing w:after="0"/>
              <w:rPr>
                <w:sz w:val="1"/>
                <w:szCs w:val="1"/>
                <w:color w:val="auto"/>
              </w:rPr>
            </w:pPr>
          </w:p>
        </w:tc>
      </w:tr>
      <w:tr>
        <w:trPr>
          <w:trHeight w:val="237"/>
        </w:trPr>
        <w:tc>
          <w:tcPr>
            <w:tcW w:w="56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 income</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436</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853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1,268</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901</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line="195" w:lineRule="exact"/>
              <w:rPr>
                <w:sz w:val="20"/>
                <w:szCs w:val="20"/>
                <w:color w:val="auto"/>
              </w:rPr>
            </w:pPr>
            <w:r>
              <w:rPr>
                <w:rFonts w:ascii="Calibri" w:cs="Calibri" w:eastAsia="Calibri" w:hAnsi="Calibri"/>
                <w:sz w:val="18"/>
                <w:szCs w:val="18"/>
                <w:color w:val="auto"/>
              </w:rPr>
              <w:t>Income before income taxes</w:t>
            </w:r>
          </w:p>
        </w:tc>
        <w:tc>
          <w:tcPr>
            <w:tcW w:w="16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20,283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18,159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91,961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81,820</w:t>
            </w:r>
          </w:p>
        </w:tc>
        <w:tc>
          <w:tcPr>
            <w:tcW w:w="0" w:type="dxa"/>
            <w:vAlign w:val="bottom"/>
          </w:tcPr>
          <w:p>
            <w:pPr>
              <w:spacing w:after="0"/>
              <w:rPr>
                <w:sz w:val="1"/>
                <w:szCs w:val="1"/>
                <w:color w:val="auto"/>
              </w:rPr>
            </w:pPr>
          </w:p>
        </w:tc>
      </w:tr>
      <w:tr>
        <w:trPr>
          <w:trHeight w:val="237"/>
        </w:trPr>
        <w:tc>
          <w:tcPr>
            <w:tcW w:w="56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Income tax expense</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(5,262)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(3,274)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(23,943)</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(20,289)</w:t>
            </w:r>
          </w:p>
        </w:tc>
        <w:tc>
          <w:tcPr>
            <w:tcW w:w="0" w:type="dxa"/>
            <w:vAlign w:val="bottom"/>
          </w:tcPr>
          <w:p>
            <w:pPr>
              <w:spacing w:after="0"/>
              <w:rPr>
                <w:sz w:val="1"/>
                <w:szCs w:val="1"/>
                <w:color w:val="auto"/>
              </w:rPr>
            </w:pPr>
          </w:p>
        </w:tc>
      </w:tr>
      <w:tr>
        <w:trPr>
          <w:trHeight w:val="217"/>
        </w:trPr>
        <w:tc>
          <w:tcPr>
            <w:tcW w:w="5680" w:type="dxa"/>
            <w:vAlign w:val="bottom"/>
          </w:tcPr>
          <w:p>
            <w:pPr>
              <w:ind w:left="20"/>
              <w:spacing w:after="0" w:line="195" w:lineRule="exact"/>
              <w:rPr>
                <w:sz w:val="20"/>
                <w:szCs w:val="20"/>
                <w:color w:val="auto"/>
              </w:rPr>
            </w:pPr>
            <w:r>
              <w:rPr>
                <w:rFonts w:ascii="Calibri" w:cs="Calibri" w:eastAsia="Calibri" w:hAnsi="Calibri"/>
                <w:sz w:val="18"/>
                <w:szCs w:val="18"/>
                <w:color w:val="auto"/>
              </w:rPr>
              <w:t>Net income</w:t>
            </w:r>
          </w:p>
        </w:tc>
        <w:tc>
          <w:tcPr>
            <w:tcW w:w="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15,021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14,885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68,018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61,531</w:t>
            </w:r>
          </w:p>
        </w:tc>
        <w:tc>
          <w:tcPr>
            <w:tcW w:w="0" w:type="dxa"/>
            <w:vAlign w:val="bottom"/>
          </w:tcPr>
          <w:p>
            <w:pPr>
              <w:spacing w:after="0"/>
              <w:rPr>
                <w:sz w:val="1"/>
                <w:szCs w:val="1"/>
                <w:color w:val="auto"/>
              </w:rPr>
            </w:pPr>
          </w:p>
        </w:tc>
      </w:tr>
      <w:tr>
        <w:trPr>
          <w:trHeight w:val="21"/>
        </w:trPr>
        <w:tc>
          <w:tcPr>
            <w:tcW w:w="5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5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20"/>
              <w:spacing w:after="0" w:line="215" w:lineRule="exact"/>
              <w:rPr>
                <w:sz w:val="20"/>
                <w:szCs w:val="20"/>
                <w:color w:val="auto"/>
              </w:rPr>
            </w:pPr>
            <w:r>
              <w:rPr>
                <w:rFonts w:ascii="Calibri" w:cs="Calibri" w:eastAsia="Calibri" w:hAnsi="Calibri"/>
                <w:sz w:val="18"/>
                <w:szCs w:val="18"/>
                <w:color w:val="auto"/>
              </w:rPr>
              <w:t>Weighted average number of shares outstanding - basic</w:t>
            </w:r>
          </w:p>
        </w:tc>
        <w:tc>
          <w:tcPr>
            <w:tcW w:w="16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20,766,764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20,781,632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20,780,213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20,864,349</w:t>
            </w:r>
          </w:p>
        </w:tc>
        <w:tc>
          <w:tcPr>
            <w:tcW w:w="0" w:type="dxa"/>
            <w:vAlign w:val="bottom"/>
          </w:tcPr>
          <w:p>
            <w:pPr>
              <w:spacing w:after="0"/>
              <w:rPr>
                <w:sz w:val="1"/>
                <w:szCs w:val="1"/>
                <w:color w:val="auto"/>
              </w:rPr>
            </w:pPr>
          </w:p>
        </w:tc>
      </w:tr>
      <w:tr>
        <w:trPr>
          <w:trHeight w:val="237"/>
        </w:trPr>
        <w:tc>
          <w:tcPr>
            <w:tcW w:w="56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Weighted average number of shares outstanding - diluted</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20,875,387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20,907,321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20,902,456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21,004,077</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Basic earnings per share</w:t>
            </w: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0.72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0.72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2.95</w:t>
            </w:r>
          </w:p>
        </w:tc>
        <w:tc>
          <w:tcPr>
            <w:tcW w:w="0" w:type="dxa"/>
            <w:vAlign w:val="bottom"/>
          </w:tcPr>
          <w:p>
            <w:pPr>
              <w:spacing w:after="0"/>
              <w:rPr>
                <w:sz w:val="1"/>
                <w:szCs w:val="1"/>
                <w:color w:val="auto"/>
              </w:rPr>
            </w:pPr>
          </w:p>
        </w:tc>
      </w:tr>
      <w:tr>
        <w:trPr>
          <w:trHeight w:val="222"/>
        </w:trPr>
        <w:tc>
          <w:tcPr>
            <w:tcW w:w="5680" w:type="dxa"/>
            <w:vAlign w:val="bottom"/>
          </w:tcPr>
          <w:p>
            <w:pPr>
              <w:ind w:left="20"/>
              <w:spacing w:after="0" w:line="215" w:lineRule="exact"/>
              <w:rPr>
                <w:sz w:val="20"/>
                <w:szCs w:val="20"/>
                <w:color w:val="auto"/>
              </w:rPr>
            </w:pPr>
            <w:r>
              <w:rPr>
                <w:rFonts w:ascii="Calibri" w:cs="Calibri" w:eastAsia="Calibri" w:hAnsi="Calibri"/>
                <w:sz w:val="18"/>
                <w:szCs w:val="18"/>
                <w:color w:val="auto"/>
              </w:rPr>
              <w:t>Diluted earnings per share</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0.72</w:t>
            </w:r>
          </w:p>
        </w:tc>
        <w:tc>
          <w:tcPr>
            <w:tcW w:w="10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0.71</w:t>
            </w:r>
          </w:p>
        </w:tc>
        <w:tc>
          <w:tcPr>
            <w:tcW w:w="10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3.25</w:t>
            </w:r>
          </w:p>
        </w:tc>
        <w:tc>
          <w:tcPr>
            <w:tcW w:w="12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2.93</w:t>
            </w:r>
          </w:p>
        </w:tc>
        <w:tc>
          <w:tcPr>
            <w:tcW w:w="0" w:type="dxa"/>
            <w:vAlign w:val="bottom"/>
          </w:tcPr>
          <w:p>
            <w:pPr>
              <w:spacing w:after="0"/>
              <w:rPr>
                <w:sz w:val="1"/>
                <w:szCs w:val="1"/>
                <w:color w:val="auto"/>
              </w:rPr>
            </w:pPr>
          </w:p>
        </w:tc>
      </w:tr>
      <w:tr>
        <w:trPr>
          <w:trHeight w:val="277"/>
        </w:trPr>
        <w:tc>
          <w:tcPr>
            <w:tcW w:w="5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680" w:type="dxa"/>
            <w:vAlign w:val="bottom"/>
          </w:tcPr>
          <w:p>
            <w:pPr>
              <w:ind w:left="20"/>
              <w:spacing w:after="0" w:line="215" w:lineRule="exact"/>
              <w:rPr>
                <w:sz w:val="20"/>
                <w:szCs w:val="20"/>
                <w:color w:val="auto"/>
              </w:rPr>
            </w:pPr>
            <w:r>
              <w:rPr>
                <w:rFonts w:ascii="Calibri" w:cs="Calibri" w:eastAsia="Calibri" w:hAnsi="Calibri"/>
                <w:sz w:val="18"/>
                <w:szCs w:val="18"/>
                <w:color w:val="auto"/>
              </w:rPr>
              <w:t>Cash dividends declared per common share</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0.18</w:t>
            </w:r>
          </w:p>
        </w:tc>
        <w:tc>
          <w:tcPr>
            <w:tcW w:w="100" w:type="dxa"/>
            <w:vAlign w:val="bottom"/>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0.16</w:t>
            </w:r>
          </w:p>
        </w:tc>
        <w:tc>
          <w:tcPr>
            <w:tcW w:w="100" w:type="dxa"/>
            <w:vAlign w:val="bottom"/>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0.52</w:t>
            </w:r>
          </w:p>
        </w:tc>
        <w:tc>
          <w:tcPr>
            <w:tcW w:w="120" w:type="dxa"/>
            <w:vAlign w:val="bottom"/>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0.47</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See accompanying notes to condensed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 w:name="page5"/>
    <w:bookmarkEnd w:id="4"/>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CONDENSED CONSOLIDATED STATEMENTS OF COMPREHENSIVE INCOME (UNAUDITED)</w:t>
      </w:r>
    </w:p>
    <w:p>
      <w:pPr>
        <w:spacing w:after="0" w:line="233" w:lineRule="auto"/>
        <w:rPr>
          <w:sz w:val="20"/>
          <w:szCs w:val="20"/>
          <w:color w:val="auto"/>
        </w:rPr>
      </w:pPr>
      <w:r>
        <w:rPr>
          <w:rFonts w:ascii="Calibri" w:cs="Calibri" w:eastAsia="Calibri" w:hAnsi="Calibri"/>
          <w:sz w:val="14"/>
          <w:szCs w:val="14"/>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tcPr>
          <w:p>
            <w:pPr>
              <w:ind w:left="560"/>
              <w:spacing w:after="0"/>
              <w:rPr>
                <w:sz w:val="20"/>
                <w:szCs w:val="20"/>
                <w:color w:val="auto"/>
              </w:rPr>
            </w:pPr>
            <w:r>
              <w:rPr>
                <w:rFonts w:ascii="Calibri" w:cs="Calibri" w:eastAsia="Calibri" w:hAnsi="Calibri"/>
                <w:sz w:val="14"/>
                <w:szCs w:val="14"/>
                <w:b w:val="1"/>
                <w:bCs w:val="1"/>
                <w:color w:val="auto"/>
              </w:rPr>
              <w:t>Three Months Ended</w:t>
            </w:r>
          </w:p>
        </w:tc>
        <w:tc>
          <w:tcPr>
            <w:tcW w:w="180" w:type="dxa"/>
            <w:vAlign w:val="bottom"/>
          </w:tcPr>
          <w:p>
            <w:pPr>
              <w:spacing w:after="0"/>
              <w:rPr>
                <w:sz w:val="14"/>
                <w:szCs w:val="14"/>
                <w:color w:val="auto"/>
              </w:rPr>
            </w:pPr>
          </w:p>
        </w:tc>
        <w:tc>
          <w:tcPr>
            <w:tcW w:w="2560" w:type="dxa"/>
            <w:vAlign w:val="bottom"/>
            <w:gridSpan w:val="4"/>
          </w:tcPr>
          <w:p>
            <w:pPr>
              <w:jc w:val="right"/>
              <w:ind w:right="698"/>
              <w:spacing w:after="0"/>
              <w:rPr>
                <w:sz w:val="20"/>
                <w:szCs w:val="20"/>
                <w:color w:val="auto"/>
              </w:rPr>
            </w:pPr>
            <w:r>
              <w:rPr>
                <w:rFonts w:ascii="Calibri" w:cs="Calibri" w:eastAsia="Calibri" w:hAnsi="Calibri"/>
                <w:sz w:val="14"/>
                <w:szCs w:val="14"/>
                <w:b w:val="1"/>
                <w:bCs w:val="1"/>
                <w:color w:val="auto"/>
              </w:rPr>
              <w:t>Nine Months Ended</w:t>
            </w:r>
          </w:p>
        </w:tc>
        <w:tc>
          <w:tcPr>
            <w:tcW w:w="0" w:type="dxa"/>
            <w:vAlign w:val="bottom"/>
          </w:tcPr>
          <w:p>
            <w:pPr>
              <w:spacing w:after="0"/>
              <w:rPr>
                <w:sz w:val="1"/>
                <w:szCs w:val="1"/>
                <w:color w:val="auto"/>
              </w:rPr>
            </w:pPr>
          </w:p>
        </w:tc>
      </w:tr>
      <w:tr>
        <w:trPr>
          <w:trHeight w:val="47"/>
        </w:trPr>
        <w:tc>
          <w:tcPr>
            <w:tcW w:w="56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5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27" w:lineRule="exact"/>
              <w:rPr>
                <w:sz w:val="20"/>
                <w:szCs w:val="20"/>
                <w:color w:val="auto"/>
              </w:rPr>
            </w:pPr>
            <w:r>
              <w:rPr>
                <w:rFonts w:ascii="Calibri" w:cs="Calibri" w:eastAsia="Calibri" w:hAnsi="Calibri"/>
                <w:sz w:val="13"/>
                <w:szCs w:val="13"/>
                <w:b w:val="1"/>
                <w:bCs w:val="1"/>
                <w:color w:val="auto"/>
              </w:rPr>
              <w:t>December 29,</w:t>
            </w:r>
          </w:p>
        </w:tc>
        <w:tc>
          <w:tcPr>
            <w:tcW w:w="180" w:type="dxa"/>
            <w:vAlign w:val="bottom"/>
          </w:tcPr>
          <w:p>
            <w:pPr>
              <w:spacing w:after="0"/>
              <w:rPr>
                <w:sz w:val="11"/>
                <w:szCs w:val="11"/>
                <w:color w:val="auto"/>
              </w:rPr>
            </w:pPr>
          </w:p>
        </w:tc>
        <w:tc>
          <w:tcPr>
            <w:tcW w:w="1140" w:type="dxa"/>
            <w:vAlign w:val="bottom"/>
          </w:tcPr>
          <w:p>
            <w:pPr>
              <w:jc w:val="right"/>
              <w:ind w:right="158"/>
              <w:spacing w:after="0" w:line="127" w:lineRule="exact"/>
              <w:rPr>
                <w:sz w:val="20"/>
                <w:szCs w:val="20"/>
                <w:color w:val="auto"/>
              </w:rPr>
            </w:pPr>
            <w:r>
              <w:rPr>
                <w:rFonts w:ascii="Calibri" w:cs="Calibri" w:eastAsia="Calibri" w:hAnsi="Calibri"/>
                <w:sz w:val="13"/>
                <w:szCs w:val="13"/>
                <w:b w:val="1"/>
                <w:bCs w:val="1"/>
                <w:color w:val="auto"/>
              </w:rPr>
              <w:t>December 31,</w:t>
            </w:r>
          </w:p>
        </w:tc>
        <w:tc>
          <w:tcPr>
            <w:tcW w:w="1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27" w:lineRule="exact"/>
              <w:rPr>
                <w:sz w:val="20"/>
                <w:szCs w:val="20"/>
                <w:color w:val="auto"/>
              </w:rPr>
            </w:pPr>
            <w:r>
              <w:rPr>
                <w:rFonts w:ascii="Calibri" w:cs="Calibri" w:eastAsia="Calibri" w:hAnsi="Calibri"/>
                <w:sz w:val="13"/>
                <w:szCs w:val="13"/>
                <w:b w:val="1"/>
                <w:bCs w:val="1"/>
                <w:color w:val="auto"/>
              </w:rPr>
              <w:t>December 29,</w:t>
            </w:r>
          </w:p>
        </w:tc>
        <w:tc>
          <w:tcPr>
            <w:tcW w:w="180" w:type="dxa"/>
            <w:vAlign w:val="bottom"/>
          </w:tcPr>
          <w:p>
            <w:pPr>
              <w:spacing w:after="0"/>
              <w:rPr>
                <w:sz w:val="11"/>
                <w:szCs w:val="11"/>
                <w:color w:val="auto"/>
              </w:rPr>
            </w:pPr>
          </w:p>
        </w:tc>
        <w:tc>
          <w:tcPr>
            <w:tcW w:w="1140" w:type="dxa"/>
            <w:vAlign w:val="bottom"/>
          </w:tcPr>
          <w:p>
            <w:pPr>
              <w:jc w:val="right"/>
              <w:ind w:right="158"/>
              <w:spacing w:after="0" w:line="127" w:lineRule="exact"/>
              <w:rPr>
                <w:sz w:val="20"/>
                <w:szCs w:val="20"/>
                <w:color w:val="auto"/>
              </w:rPr>
            </w:pPr>
            <w:r>
              <w:rPr>
                <w:rFonts w:ascii="Calibri" w:cs="Calibri" w:eastAsia="Calibri" w:hAnsi="Calibri"/>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5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440"/>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438"/>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420"/>
              <w:spacing w:after="0"/>
              <w:rPr>
                <w:sz w:val="20"/>
                <w:szCs w:val="20"/>
                <w:color w:val="auto"/>
              </w:rPr>
            </w:pPr>
            <w:r>
              <w:rPr>
                <w:rFonts w:ascii="Calibri" w:cs="Calibri" w:eastAsia="Calibri" w:hAnsi="Calibri"/>
                <w:sz w:val="14"/>
                <w:szCs w:val="14"/>
                <w:b w:val="1"/>
                <w:bCs w:val="1"/>
                <w:color w:val="auto"/>
              </w:rPr>
              <w:t>2024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438"/>
              <w:spacing w:after="0"/>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5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Net income</w:t>
            </w: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15,021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14,885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68,018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61,531</w:t>
            </w:r>
          </w:p>
        </w:tc>
        <w:tc>
          <w:tcPr>
            <w:tcW w:w="0" w:type="dxa"/>
            <w:vAlign w:val="bottom"/>
          </w:tcPr>
          <w:p>
            <w:pPr>
              <w:spacing w:after="0"/>
              <w:rPr>
                <w:sz w:val="1"/>
                <w:szCs w:val="1"/>
                <w:color w:val="auto"/>
              </w:rPr>
            </w:pPr>
          </w:p>
        </w:tc>
      </w:tr>
      <w:tr>
        <w:trPr>
          <w:trHeight w:val="222"/>
        </w:trPr>
        <w:tc>
          <w:tcPr>
            <w:tcW w:w="566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net of tax:</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6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Unrealized gain (loss) on interest rate swap</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629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(1,299)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(807)</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(244)</w:t>
            </w:r>
          </w:p>
        </w:tc>
        <w:tc>
          <w:tcPr>
            <w:tcW w:w="0" w:type="dxa"/>
            <w:vAlign w:val="bottom"/>
          </w:tcPr>
          <w:p>
            <w:pPr>
              <w:spacing w:after="0"/>
              <w:rPr>
                <w:sz w:val="1"/>
                <w:szCs w:val="1"/>
                <w:color w:val="auto"/>
              </w:rPr>
            </w:pPr>
          </w:p>
        </w:tc>
      </w:tr>
      <w:tr>
        <w:trPr>
          <w:trHeight w:val="217"/>
        </w:trPr>
        <w:tc>
          <w:tcPr>
            <w:tcW w:w="5660" w:type="dxa"/>
            <w:vAlign w:val="bottom"/>
          </w:tcPr>
          <w:p>
            <w:pPr>
              <w:ind w:left="20"/>
              <w:spacing w:after="0" w:line="195" w:lineRule="exact"/>
              <w:rPr>
                <w:sz w:val="20"/>
                <w:szCs w:val="20"/>
                <w:color w:val="auto"/>
              </w:rPr>
            </w:pPr>
            <w:r>
              <w:rPr>
                <w:rFonts w:ascii="Calibri" w:cs="Calibri" w:eastAsia="Calibri" w:hAnsi="Calibri"/>
                <w:sz w:val="18"/>
                <w:szCs w:val="18"/>
                <w:color w:val="auto"/>
              </w:rPr>
              <w:t>Total comprehensive income</w:t>
            </w: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15,650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13,586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67,211</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61,287</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See accompanying notes to condensed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 w:name="page6"/>
    <w:bookmarkEnd w:id="5"/>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CONDENSED CONSOLIDATED STATEMENTS OF SHAREHOLDERS’ EQUITY (UNAUDITED)</w:t>
      </w:r>
    </w:p>
    <w:p>
      <w:pPr>
        <w:spacing w:after="0" w:line="233" w:lineRule="auto"/>
        <w:rPr>
          <w:sz w:val="20"/>
          <w:szCs w:val="20"/>
          <w:color w:val="auto"/>
        </w:rPr>
      </w:pPr>
      <w:r>
        <w:rPr>
          <w:rFonts w:ascii="Calibri" w:cs="Calibri" w:eastAsia="Calibri" w:hAnsi="Calibri"/>
          <w:sz w:val="14"/>
          <w:szCs w:val="14"/>
          <w:b w:val="1"/>
          <w:bCs w:val="1"/>
          <w:color w:val="auto"/>
        </w:rPr>
        <w:t>(In thousands, except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80" w:type="dxa"/>
            <w:vAlign w:val="bottom"/>
          </w:tcPr>
          <w:p>
            <w:pPr>
              <w:spacing w:after="0"/>
              <w:rPr>
                <w:sz w:val="16"/>
                <w:szCs w:val="16"/>
                <w:color w:val="auto"/>
              </w:rPr>
            </w:pPr>
          </w:p>
        </w:tc>
        <w:tc>
          <w:tcPr>
            <w:tcW w:w="2400" w:type="dxa"/>
            <w:vAlign w:val="bottom"/>
            <w:gridSpan w:val="5"/>
            <w:vMerge w:val="restart"/>
          </w:tcPr>
          <w:p>
            <w:pPr>
              <w:ind w:left="640"/>
              <w:spacing w:after="0"/>
              <w:rPr>
                <w:sz w:val="20"/>
                <w:szCs w:val="20"/>
                <w:color w:val="auto"/>
              </w:rPr>
            </w:pPr>
            <w:r>
              <w:rPr>
                <w:rFonts w:ascii="Calibri" w:cs="Calibri" w:eastAsia="Calibri" w:hAnsi="Calibri"/>
                <w:sz w:val="16"/>
                <w:szCs w:val="16"/>
                <w:b w:val="1"/>
                <w:bCs w:val="1"/>
                <w:color w:val="auto"/>
              </w:rPr>
              <w:t>Common Stock</w:t>
            </w: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Calibri" w:cs="Calibri" w:eastAsia="Calibri" w:hAnsi="Calibri"/>
                <w:sz w:val="16"/>
                <w:szCs w:val="16"/>
                <w:b w:val="1"/>
                <w:bCs w:val="1"/>
                <w:color w:val="auto"/>
              </w:rPr>
              <w:t>Additonal</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jc w:val="center"/>
              <w:ind w:right="120"/>
              <w:spacing w:after="0"/>
              <w:rPr>
                <w:sz w:val="20"/>
                <w:szCs w:val="20"/>
                <w:color w:val="auto"/>
              </w:rPr>
            </w:pPr>
            <w:r>
              <w:rPr>
                <w:rFonts w:ascii="Calibri" w:cs="Calibri" w:eastAsia="Calibri" w:hAnsi="Calibri"/>
                <w:sz w:val="16"/>
                <w:szCs w:val="16"/>
                <w:b w:val="1"/>
                <w:bCs w:val="1"/>
                <w:color w:val="auto"/>
              </w:rPr>
              <w:t>Accumulated Other</w:t>
            </w:r>
          </w:p>
        </w:tc>
        <w:tc>
          <w:tcPr>
            <w:tcW w:w="140" w:type="dxa"/>
            <w:vAlign w:val="bottom"/>
          </w:tcPr>
          <w:p>
            <w:pPr>
              <w:spacing w:after="0"/>
              <w:rPr>
                <w:sz w:val="16"/>
                <w:szCs w:val="16"/>
                <w:color w:val="auto"/>
              </w:rPr>
            </w:pPr>
          </w:p>
        </w:tc>
        <w:tc>
          <w:tcPr>
            <w:tcW w:w="1120" w:type="dxa"/>
            <w:vAlign w:val="bottom"/>
          </w:tcPr>
          <w:p>
            <w:pPr>
              <w:jc w:val="center"/>
              <w:ind w:right="59"/>
              <w:spacing w:after="0"/>
              <w:rPr>
                <w:sz w:val="20"/>
                <w:szCs w:val="20"/>
                <w:color w:val="auto"/>
              </w:rPr>
            </w:pPr>
            <w:r>
              <w:rPr>
                <w:rFonts w:ascii="Calibri" w:cs="Calibri" w:eastAsia="Calibri" w:hAnsi="Calibri"/>
                <w:sz w:val="16"/>
                <w:szCs w:val="16"/>
                <w:b w:val="1"/>
                <w:bCs w:val="1"/>
                <w:color w:val="auto"/>
              </w:rPr>
              <w:t>Total</w:t>
            </w:r>
          </w:p>
        </w:tc>
        <w:tc>
          <w:tcPr>
            <w:tcW w:w="0" w:type="dxa"/>
            <w:vAlign w:val="bottom"/>
          </w:tcPr>
          <w:p>
            <w:pPr>
              <w:spacing w:after="0"/>
              <w:rPr>
                <w:sz w:val="1"/>
                <w:szCs w:val="1"/>
                <w:color w:val="auto"/>
              </w:rPr>
            </w:pPr>
          </w:p>
        </w:tc>
      </w:tr>
      <w:tr>
        <w:trPr>
          <w:trHeight w:val="85"/>
        </w:trPr>
        <w:tc>
          <w:tcPr>
            <w:tcW w:w="3580" w:type="dxa"/>
            <w:vAlign w:val="bottom"/>
          </w:tcPr>
          <w:p>
            <w:pPr>
              <w:spacing w:after="0"/>
              <w:rPr>
                <w:sz w:val="7"/>
                <w:szCs w:val="7"/>
                <w:color w:val="auto"/>
              </w:rPr>
            </w:pPr>
          </w:p>
        </w:tc>
        <w:tc>
          <w:tcPr>
            <w:tcW w:w="2400" w:type="dxa"/>
            <w:vAlign w:val="bottom"/>
            <w:gridSpan w:val="5"/>
            <w:vMerge w:val="continue"/>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2"/>
            <w:vMerge w:val="restart"/>
          </w:tcPr>
          <w:p>
            <w:pPr>
              <w:jc w:val="center"/>
              <w:ind w:right="280"/>
              <w:spacing w:after="0" w:line="162" w:lineRule="exact"/>
              <w:rPr>
                <w:sz w:val="20"/>
                <w:szCs w:val="20"/>
                <w:color w:val="auto"/>
              </w:rPr>
            </w:pPr>
            <w:r>
              <w:rPr>
                <w:rFonts w:ascii="Calibri" w:cs="Calibri" w:eastAsia="Calibri" w:hAnsi="Calibri"/>
                <w:sz w:val="16"/>
                <w:szCs w:val="16"/>
                <w:b w:val="1"/>
                <w:bCs w:val="1"/>
                <w:color w:val="auto"/>
                <w:w w:val="99"/>
              </w:rPr>
              <w:t>Paid-in</w:t>
            </w:r>
          </w:p>
        </w:tc>
        <w:tc>
          <w:tcPr>
            <w:tcW w:w="200" w:type="dxa"/>
            <w:vAlign w:val="bottom"/>
          </w:tcPr>
          <w:p>
            <w:pPr>
              <w:spacing w:after="0"/>
              <w:rPr>
                <w:sz w:val="7"/>
                <w:szCs w:val="7"/>
                <w:color w:val="auto"/>
              </w:rPr>
            </w:pPr>
          </w:p>
        </w:tc>
        <w:tc>
          <w:tcPr>
            <w:tcW w:w="1000" w:type="dxa"/>
            <w:vAlign w:val="bottom"/>
            <w:gridSpan w:val="2"/>
            <w:vMerge w:val="restart"/>
          </w:tcPr>
          <w:p>
            <w:pPr>
              <w:ind w:left="40"/>
              <w:spacing w:after="0" w:line="162" w:lineRule="exact"/>
              <w:rPr>
                <w:sz w:val="20"/>
                <w:szCs w:val="20"/>
                <w:color w:val="auto"/>
              </w:rPr>
            </w:pPr>
            <w:r>
              <w:rPr>
                <w:rFonts w:ascii="Calibri" w:cs="Calibri" w:eastAsia="Calibri" w:hAnsi="Calibri"/>
                <w:sz w:val="16"/>
                <w:szCs w:val="16"/>
                <w:b w:val="1"/>
                <w:bCs w:val="1"/>
                <w:color w:val="auto"/>
              </w:rPr>
              <w:t>Retained</w:t>
            </w:r>
          </w:p>
        </w:tc>
        <w:tc>
          <w:tcPr>
            <w:tcW w:w="140" w:type="dxa"/>
            <w:vAlign w:val="bottom"/>
          </w:tcPr>
          <w:p>
            <w:pPr>
              <w:spacing w:after="0"/>
              <w:rPr>
                <w:sz w:val="7"/>
                <w:szCs w:val="7"/>
                <w:color w:val="auto"/>
              </w:rPr>
            </w:pPr>
          </w:p>
        </w:tc>
        <w:tc>
          <w:tcPr>
            <w:tcW w:w="1360" w:type="dxa"/>
            <w:vAlign w:val="bottom"/>
            <w:gridSpan w:val="2"/>
            <w:vMerge w:val="restart"/>
          </w:tcPr>
          <w:p>
            <w:pPr>
              <w:jc w:val="center"/>
              <w:ind w:right="240"/>
              <w:spacing w:after="0" w:line="162" w:lineRule="exact"/>
              <w:rPr>
                <w:sz w:val="20"/>
                <w:szCs w:val="20"/>
                <w:color w:val="auto"/>
              </w:rPr>
            </w:pPr>
            <w:r>
              <w:rPr>
                <w:rFonts w:ascii="Calibri" w:cs="Calibri" w:eastAsia="Calibri" w:hAnsi="Calibri"/>
                <w:sz w:val="16"/>
                <w:szCs w:val="16"/>
                <w:b w:val="1"/>
                <w:bCs w:val="1"/>
                <w:color w:val="auto"/>
              </w:rPr>
              <w:t>Comprehensive</w:t>
            </w:r>
          </w:p>
        </w:tc>
        <w:tc>
          <w:tcPr>
            <w:tcW w:w="140" w:type="dxa"/>
            <w:vAlign w:val="bottom"/>
          </w:tcPr>
          <w:p>
            <w:pPr>
              <w:spacing w:after="0"/>
              <w:rPr>
                <w:sz w:val="7"/>
                <w:szCs w:val="7"/>
                <w:color w:val="auto"/>
              </w:rPr>
            </w:pPr>
          </w:p>
        </w:tc>
        <w:tc>
          <w:tcPr>
            <w:tcW w:w="1120" w:type="dxa"/>
            <w:vAlign w:val="bottom"/>
            <w:vMerge w:val="restart"/>
          </w:tcPr>
          <w:p>
            <w:pPr>
              <w:jc w:val="center"/>
              <w:ind w:right="59"/>
              <w:spacing w:after="0" w:line="162" w:lineRule="exact"/>
              <w:rPr>
                <w:sz w:val="20"/>
                <w:szCs w:val="20"/>
                <w:color w:val="auto"/>
              </w:rPr>
            </w:pPr>
            <w:r>
              <w:rPr>
                <w:rFonts w:ascii="Calibri" w:cs="Calibri" w:eastAsia="Calibri" w:hAnsi="Calibri"/>
                <w:sz w:val="16"/>
                <w:szCs w:val="16"/>
                <w:b w:val="1"/>
                <w:bCs w:val="1"/>
                <w:color w:val="auto"/>
              </w:rPr>
              <w:t>Shareholders’</w:t>
            </w:r>
          </w:p>
        </w:tc>
        <w:tc>
          <w:tcPr>
            <w:tcW w:w="0" w:type="dxa"/>
            <w:vAlign w:val="bottom"/>
          </w:tcPr>
          <w:p>
            <w:pPr>
              <w:spacing w:after="0"/>
              <w:rPr>
                <w:sz w:val="1"/>
                <w:szCs w:val="1"/>
                <w:color w:val="auto"/>
              </w:rPr>
            </w:pPr>
          </w:p>
        </w:tc>
      </w:tr>
      <w:tr>
        <w:trPr>
          <w:trHeight w:val="28"/>
        </w:trPr>
        <w:tc>
          <w:tcPr>
            <w:tcW w:w="35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9"/>
        </w:trPr>
        <w:tc>
          <w:tcPr>
            <w:tcW w:w="3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580" w:type="dxa"/>
            <w:vAlign w:val="bottom"/>
          </w:tcPr>
          <w:p>
            <w:pPr>
              <w:spacing w:after="0"/>
              <w:rPr>
                <w:sz w:val="16"/>
                <w:szCs w:val="16"/>
                <w:color w:val="auto"/>
              </w:rPr>
            </w:pPr>
          </w:p>
        </w:tc>
        <w:tc>
          <w:tcPr>
            <w:tcW w:w="1200" w:type="dxa"/>
            <w:vAlign w:val="bottom"/>
            <w:gridSpan w:val="2"/>
          </w:tcPr>
          <w:p>
            <w:pPr>
              <w:ind w:left="320"/>
              <w:spacing w:after="0" w:line="193" w:lineRule="exact"/>
              <w:rPr>
                <w:sz w:val="20"/>
                <w:szCs w:val="20"/>
                <w:color w:val="auto"/>
              </w:rPr>
            </w:pPr>
            <w:r>
              <w:rPr>
                <w:rFonts w:ascii="Calibri" w:cs="Calibri" w:eastAsia="Calibri" w:hAnsi="Calibri"/>
                <w:sz w:val="16"/>
                <w:szCs w:val="16"/>
                <w:b w:val="1"/>
                <w:bCs w:val="1"/>
                <w:color w:val="auto"/>
              </w:rPr>
              <w:t>Shares</w:t>
            </w:r>
          </w:p>
        </w:tc>
        <w:tc>
          <w:tcPr>
            <w:tcW w:w="200" w:type="dxa"/>
            <w:vAlign w:val="bottom"/>
          </w:tcPr>
          <w:p>
            <w:pPr>
              <w:spacing w:after="0"/>
              <w:rPr>
                <w:sz w:val="16"/>
                <w:szCs w:val="16"/>
                <w:color w:val="auto"/>
              </w:rPr>
            </w:pPr>
          </w:p>
        </w:tc>
        <w:tc>
          <w:tcPr>
            <w:tcW w:w="1000" w:type="dxa"/>
            <w:vAlign w:val="bottom"/>
            <w:gridSpan w:val="2"/>
          </w:tcPr>
          <w:p>
            <w:pPr>
              <w:ind w:left="80"/>
              <w:spacing w:after="0" w:line="193" w:lineRule="exact"/>
              <w:rPr>
                <w:sz w:val="20"/>
                <w:szCs w:val="20"/>
                <w:color w:val="auto"/>
              </w:rPr>
            </w:pPr>
            <w:r>
              <w:rPr>
                <w:rFonts w:ascii="Calibri" w:cs="Calibri" w:eastAsia="Calibri" w:hAnsi="Calibri"/>
                <w:sz w:val="16"/>
                <w:szCs w:val="16"/>
                <w:b w:val="1"/>
                <w:bCs w:val="1"/>
                <w:color w:val="auto"/>
              </w:rPr>
              <w:t>Amount</w:t>
            </w:r>
          </w:p>
        </w:tc>
        <w:tc>
          <w:tcPr>
            <w:tcW w:w="180" w:type="dxa"/>
            <w:vAlign w:val="bottom"/>
          </w:tcPr>
          <w:p>
            <w:pPr>
              <w:spacing w:after="0"/>
              <w:rPr>
                <w:sz w:val="16"/>
                <w:szCs w:val="16"/>
                <w:color w:val="auto"/>
              </w:rPr>
            </w:pPr>
          </w:p>
        </w:tc>
        <w:tc>
          <w:tcPr>
            <w:tcW w:w="1100" w:type="dxa"/>
            <w:vAlign w:val="bottom"/>
            <w:gridSpan w:val="2"/>
          </w:tcPr>
          <w:p>
            <w:pPr>
              <w:jc w:val="center"/>
              <w:ind w:right="280"/>
              <w:spacing w:after="0" w:line="193" w:lineRule="exact"/>
              <w:rPr>
                <w:sz w:val="20"/>
                <w:szCs w:val="20"/>
                <w:color w:val="auto"/>
              </w:rPr>
            </w:pPr>
            <w:r>
              <w:rPr>
                <w:rFonts w:ascii="Calibri" w:cs="Calibri" w:eastAsia="Calibri" w:hAnsi="Calibri"/>
                <w:sz w:val="16"/>
                <w:szCs w:val="16"/>
                <w:b w:val="1"/>
                <w:bCs w:val="1"/>
                <w:color w:val="auto"/>
                <w:w w:val="99"/>
              </w:rPr>
              <w:t>Capital</w:t>
            </w:r>
          </w:p>
        </w:tc>
        <w:tc>
          <w:tcPr>
            <w:tcW w:w="200" w:type="dxa"/>
            <w:vAlign w:val="bottom"/>
          </w:tcPr>
          <w:p>
            <w:pPr>
              <w:spacing w:after="0"/>
              <w:rPr>
                <w:sz w:val="16"/>
                <w:szCs w:val="16"/>
                <w:color w:val="auto"/>
              </w:rPr>
            </w:pPr>
          </w:p>
        </w:tc>
        <w:tc>
          <w:tcPr>
            <w:tcW w:w="1000" w:type="dxa"/>
            <w:vAlign w:val="bottom"/>
            <w:gridSpan w:val="2"/>
          </w:tcPr>
          <w:p>
            <w:pPr>
              <w:ind w:left="60"/>
              <w:spacing w:after="0" w:line="193" w:lineRule="exact"/>
              <w:rPr>
                <w:sz w:val="20"/>
                <w:szCs w:val="20"/>
                <w:color w:val="auto"/>
              </w:rPr>
            </w:pPr>
            <w:r>
              <w:rPr>
                <w:rFonts w:ascii="Calibri" w:cs="Calibri" w:eastAsia="Calibri" w:hAnsi="Calibri"/>
                <w:sz w:val="16"/>
                <w:szCs w:val="16"/>
                <w:b w:val="1"/>
                <w:bCs w:val="1"/>
                <w:color w:val="auto"/>
              </w:rPr>
              <w:t>Earnings</w:t>
            </w:r>
          </w:p>
        </w:tc>
        <w:tc>
          <w:tcPr>
            <w:tcW w:w="140" w:type="dxa"/>
            <w:vAlign w:val="bottom"/>
          </w:tcPr>
          <w:p>
            <w:pPr>
              <w:spacing w:after="0"/>
              <w:rPr>
                <w:sz w:val="16"/>
                <w:szCs w:val="16"/>
                <w:color w:val="auto"/>
              </w:rPr>
            </w:pPr>
          </w:p>
        </w:tc>
        <w:tc>
          <w:tcPr>
            <w:tcW w:w="1360" w:type="dxa"/>
            <w:vAlign w:val="bottom"/>
            <w:gridSpan w:val="2"/>
          </w:tcPr>
          <w:p>
            <w:pPr>
              <w:jc w:val="center"/>
              <w:ind w:right="240"/>
              <w:spacing w:after="0" w:line="193" w:lineRule="exact"/>
              <w:rPr>
                <w:sz w:val="20"/>
                <w:szCs w:val="20"/>
                <w:color w:val="auto"/>
              </w:rPr>
            </w:pPr>
            <w:r>
              <w:rPr>
                <w:rFonts w:ascii="Calibri" w:cs="Calibri" w:eastAsia="Calibri" w:hAnsi="Calibri"/>
                <w:sz w:val="16"/>
                <w:szCs w:val="16"/>
                <w:b w:val="1"/>
                <w:bCs w:val="1"/>
                <w:color w:val="auto"/>
              </w:rPr>
              <w:t>Income (Loss)</w:t>
            </w:r>
          </w:p>
        </w:tc>
        <w:tc>
          <w:tcPr>
            <w:tcW w:w="140" w:type="dxa"/>
            <w:vAlign w:val="bottom"/>
          </w:tcPr>
          <w:p>
            <w:pPr>
              <w:spacing w:after="0"/>
              <w:rPr>
                <w:sz w:val="16"/>
                <w:szCs w:val="16"/>
                <w:color w:val="auto"/>
              </w:rPr>
            </w:pPr>
          </w:p>
        </w:tc>
        <w:tc>
          <w:tcPr>
            <w:tcW w:w="1120" w:type="dxa"/>
            <w:vAlign w:val="bottom"/>
          </w:tcPr>
          <w:p>
            <w:pPr>
              <w:jc w:val="center"/>
              <w:ind w:right="59"/>
              <w:spacing w:after="0" w:line="193" w:lineRule="exact"/>
              <w:rPr>
                <w:sz w:val="20"/>
                <w:szCs w:val="20"/>
                <w:color w:val="auto"/>
              </w:rPr>
            </w:pPr>
            <w:r>
              <w:rPr>
                <w:rFonts w:ascii="Calibri" w:cs="Calibri" w:eastAsia="Calibri" w:hAnsi="Calibri"/>
                <w:sz w:val="16"/>
                <w:szCs w:val="16"/>
                <w:b w:val="1"/>
                <w:bCs w:val="1"/>
                <w:color w:val="auto"/>
                <w:w w:val="99"/>
              </w:rPr>
              <w:t>Equity</w:t>
            </w:r>
          </w:p>
        </w:tc>
        <w:tc>
          <w:tcPr>
            <w:tcW w:w="0" w:type="dxa"/>
            <w:vAlign w:val="bottom"/>
          </w:tcPr>
          <w:p>
            <w:pPr>
              <w:spacing w:after="0"/>
              <w:rPr>
                <w:sz w:val="1"/>
                <w:szCs w:val="1"/>
                <w:color w:val="auto"/>
              </w:rPr>
            </w:pPr>
          </w:p>
        </w:tc>
      </w:tr>
      <w:tr>
        <w:trPr>
          <w:trHeight w:val="28"/>
        </w:trPr>
        <w:tc>
          <w:tcPr>
            <w:tcW w:w="35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58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BALANCE — March 31, 2024</w:t>
            </w:r>
          </w:p>
        </w:tc>
        <w:tc>
          <w:tcPr>
            <w:tcW w:w="11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20,790,261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line="187" w:lineRule="exact"/>
              <w:rPr>
                <w:sz w:val="20"/>
                <w:szCs w:val="20"/>
                <w:color w:val="auto"/>
              </w:rPr>
            </w:pPr>
            <w:r>
              <w:rPr>
                <w:rFonts w:ascii="Calibri" w:cs="Calibri" w:eastAsia="Calibri" w:hAnsi="Calibri"/>
                <w:sz w:val="16"/>
                <w:szCs w:val="16"/>
                <w:color w:val="auto"/>
                <w:w w:val="97"/>
              </w:rPr>
              <w:t>$</w:t>
            </w:r>
          </w:p>
        </w:tc>
        <w:tc>
          <w:tcPr>
            <w:tcW w:w="9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38,154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ind w:left="20"/>
              <w:spacing w:after="0" w:line="187" w:lineRule="exact"/>
              <w:rPr>
                <w:sz w:val="20"/>
                <w:szCs w:val="20"/>
                <w:color w:val="auto"/>
              </w:rPr>
            </w:pPr>
            <w:r>
              <w:rPr>
                <w:rFonts w:ascii="Calibri" w:cs="Calibri" w:eastAsia="Calibri" w:hAnsi="Calibri"/>
                <w:sz w:val="16"/>
                <w:szCs w:val="16"/>
                <w:color w:val="auto"/>
              </w:rPr>
              <w:t>$</w:t>
            </w:r>
          </w:p>
        </w:tc>
        <w:tc>
          <w:tcPr>
            <w:tcW w:w="9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364,549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2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3,115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1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406,026</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360"/>
              <w:spacing w:after="0" w:line="144" w:lineRule="exact"/>
              <w:rPr>
                <w:sz w:val="20"/>
                <w:szCs w:val="20"/>
                <w:color w:val="auto"/>
              </w:rPr>
            </w:pPr>
            <w:r>
              <w:rPr>
                <w:rFonts w:ascii="Calibri" w:cs="Calibri" w:eastAsia="Calibri" w:hAnsi="Calibri"/>
                <w:sz w:val="15"/>
                <w:szCs w:val="15"/>
                <w:color w:val="auto"/>
              </w:rPr>
              <w:t>Cash dividends declared and paid ($0.16 per</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5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580" w:type="dxa"/>
            <w:vAlign w:val="bottom"/>
          </w:tcPr>
          <w:p>
            <w:pPr>
              <w:ind w:left="360"/>
              <w:spacing w:after="0" w:line="193" w:lineRule="exact"/>
              <w:rPr>
                <w:sz w:val="20"/>
                <w:szCs w:val="20"/>
                <w:color w:val="auto"/>
              </w:rPr>
            </w:pPr>
            <w:r>
              <w:rPr>
                <w:rFonts w:ascii="Calibri" w:cs="Calibri" w:eastAsia="Calibri" w:hAnsi="Calibri"/>
                <w:sz w:val="16"/>
                <w:szCs w:val="16"/>
                <w:color w:val="auto"/>
              </w:rPr>
              <w:t>share)</w:t>
            </w:r>
          </w:p>
        </w:tc>
        <w:tc>
          <w:tcPr>
            <w:tcW w:w="12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Calibri" w:cs="Calibri" w:eastAsia="Calibri" w:hAnsi="Calibri"/>
                <w:sz w:val="16"/>
                <w:szCs w:val="16"/>
                <w:color w:val="auto"/>
              </w:rPr>
              <w:t>(3,358)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(3,358)</w:t>
            </w:r>
          </w:p>
        </w:tc>
        <w:tc>
          <w:tcPr>
            <w:tcW w:w="0" w:type="dxa"/>
            <w:vAlign w:val="bottom"/>
          </w:tcPr>
          <w:p>
            <w:pPr>
              <w:spacing w:after="0"/>
              <w:rPr>
                <w:sz w:val="1"/>
                <w:szCs w:val="1"/>
                <w:color w:val="auto"/>
              </w:rPr>
            </w:pPr>
          </w:p>
        </w:tc>
      </w:tr>
      <w:tr>
        <w:trPr>
          <w:trHeight w:val="28"/>
        </w:trPr>
        <w:tc>
          <w:tcPr>
            <w:tcW w:w="3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Share-based compensaton expense</w:t>
            </w:r>
          </w:p>
        </w:tc>
        <w:tc>
          <w:tcPr>
            <w:tcW w:w="12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1,467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1,467</w:t>
            </w:r>
          </w:p>
        </w:tc>
        <w:tc>
          <w:tcPr>
            <w:tcW w:w="0" w:type="dxa"/>
            <w:vAlign w:val="bottom"/>
          </w:tcPr>
          <w:p>
            <w:pPr>
              <w:spacing w:after="0"/>
              <w:rPr>
                <w:sz w:val="1"/>
                <w:szCs w:val="1"/>
                <w:color w:val="auto"/>
              </w:rPr>
            </w:pPr>
          </w:p>
        </w:tc>
      </w:tr>
      <w:tr>
        <w:trPr>
          <w:trHeight w:val="193"/>
        </w:trPr>
        <w:tc>
          <w:tcPr>
            <w:tcW w:w="3580" w:type="dxa"/>
            <w:vAlign w:val="bottom"/>
          </w:tcPr>
          <w:p>
            <w:pPr>
              <w:ind w:left="360"/>
              <w:spacing w:after="0" w:line="193" w:lineRule="exact"/>
              <w:rPr>
                <w:sz w:val="20"/>
                <w:szCs w:val="20"/>
                <w:color w:val="auto"/>
              </w:rPr>
            </w:pPr>
            <w:r>
              <w:rPr>
                <w:rFonts w:ascii="Calibri" w:cs="Calibri" w:eastAsia="Calibri" w:hAnsi="Calibri"/>
                <w:sz w:val="16"/>
                <w:szCs w:val="16"/>
                <w:color w:val="auto"/>
              </w:rPr>
              <w:t>Vestng of restricted stock</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83,658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36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3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Shares surrendered for payroll taxes</w:t>
            </w:r>
          </w:p>
        </w:tc>
        <w:tc>
          <w:tcPr>
            <w:tcW w:w="11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(34,047)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(2,540)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(2,541)</w:t>
            </w:r>
          </w:p>
        </w:tc>
        <w:tc>
          <w:tcPr>
            <w:tcW w:w="0" w:type="dxa"/>
            <w:vAlign w:val="bottom"/>
          </w:tcPr>
          <w:p>
            <w:pPr>
              <w:spacing w:after="0"/>
              <w:rPr>
                <w:sz w:val="1"/>
                <w:szCs w:val="1"/>
                <w:color w:val="auto"/>
              </w:rPr>
            </w:pPr>
          </w:p>
        </w:tc>
      </w:tr>
      <w:tr>
        <w:trPr>
          <w:trHeight w:val="193"/>
        </w:trPr>
        <w:tc>
          <w:tcPr>
            <w:tcW w:w="3580" w:type="dxa"/>
            <w:vAlign w:val="bottom"/>
          </w:tcPr>
          <w:p>
            <w:pPr>
              <w:ind w:left="360"/>
              <w:spacing w:after="0" w:line="193" w:lineRule="exact"/>
              <w:rPr>
                <w:sz w:val="20"/>
                <w:szCs w:val="20"/>
                <w:color w:val="auto"/>
              </w:rPr>
            </w:pPr>
            <w:r>
              <w:rPr>
                <w:rFonts w:ascii="Calibri" w:cs="Calibri" w:eastAsia="Calibri" w:hAnsi="Calibri"/>
                <w:sz w:val="16"/>
                <w:szCs w:val="16"/>
                <w:color w:val="auto"/>
              </w:rPr>
              <w:t>Shares repurchased</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(105,541)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line="193" w:lineRule="exact"/>
              <w:rPr>
                <w:sz w:val="20"/>
                <w:szCs w:val="20"/>
                <w:color w:val="auto"/>
              </w:rPr>
            </w:pPr>
            <w:r>
              <w:rPr>
                <w:rFonts w:ascii="Calibri" w:cs="Calibri" w:eastAsia="Calibri" w:hAnsi="Calibri"/>
                <w:sz w:val="16"/>
                <w:szCs w:val="16"/>
                <w:color w:val="auto"/>
              </w:rPr>
              <w:t>(9,148)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36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(9,149)</w:t>
            </w:r>
          </w:p>
        </w:tc>
        <w:tc>
          <w:tcPr>
            <w:tcW w:w="0" w:type="dxa"/>
            <w:vAlign w:val="bottom"/>
          </w:tcPr>
          <w:p>
            <w:pPr>
              <w:spacing w:after="0"/>
              <w:rPr>
                <w:sz w:val="1"/>
                <w:szCs w:val="1"/>
                <w:color w:val="auto"/>
              </w:rPr>
            </w:pPr>
          </w:p>
        </w:tc>
      </w:tr>
      <w:tr>
        <w:trPr>
          <w:trHeight w:val="23"/>
        </w:trPr>
        <w:tc>
          <w:tcPr>
            <w:tcW w:w="3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Other comprehensive income, net of tax</w:t>
            </w:r>
          </w:p>
        </w:tc>
        <w:tc>
          <w:tcPr>
            <w:tcW w:w="12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(106)</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(106)</w:t>
            </w:r>
          </w:p>
        </w:tc>
        <w:tc>
          <w:tcPr>
            <w:tcW w:w="0" w:type="dxa"/>
            <w:vAlign w:val="bottom"/>
          </w:tcPr>
          <w:p>
            <w:pPr>
              <w:spacing w:after="0"/>
              <w:rPr>
                <w:sz w:val="1"/>
                <w:szCs w:val="1"/>
                <w:color w:val="auto"/>
              </w:rPr>
            </w:pPr>
          </w:p>
        </w:tc>
      </w:tr>
      <w:tr>
        <w:trPr>
          <w:trHeight w:val="193"/>
        </w:trPr>
        <w:tc>
          <w:tcPr>
            <w:tcW w:w="3580" w:type="dxa"/>
            <w:vAlign w:val="bottom"/>
          </w:tcPr>
          <w:p>
            <w:pPr>
              <w:ind w:left="360"/>
              <w:spacing w:after="0" w:line="193" w:lineRule="exact"/>
              <w:rPr>
                <w:sz w:val="20"/>
                <w:szCs w:val="20"/>
                <w:color w:val="auto"/>
              </w:rPr>
            </w:pPr>
            <w:r>
              <w:rPr>
                <w:rFonts w:ascii="Calibri" w:cs="Calibri" w:eastAsia="Calibri" w:hAnsi="Calibri"/>
                <w:sz w:val="16"/>
                <w:szCs w:val="16"/>
                <w:color w:val="auto"/>
              </w:rPr>
              <w:t>Net income</w:t>
            </w:r>
          </w:p>
        </w:tc>
        <w:tc>
          <w:tcPr>
            <w:tcW w:w="12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Calibri" w:cs="Calibri" w:eastAsia="Calibri" w:hAnsi="Calibri"/>
                <w:sz w:val="16"/>
                <w:szCs w:val="16"/>
                <w:color w:val="auto"/>
              </w:rPr>
              <w:t>28,879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28,879</w:t>
            </w:r>
          </w:p>
        </w:tc>
        <w:tc>
          <w:tcPr>
            <w:tcW w:w="0" w:type="dxa"/>
            <w:vAlign w:val="bottom"/>
          </w:tcPr>
          <w:p>
            <w:pPr>
              <w:spacing w:after="0"/>
              <w:rPr>
                <w:sz w:val="1"/>
                <w:szCs w:val="1"/>
                <w:color w:val="auto"/>
              </w:rPr>
            </w:pPr>
          </w:p>
        </w:tc>
      </w:tr>
      <w:tr>
        <w:trPr>
          <w:trHeight w:val="23"/>
        </w:trPr>
        <w:tc>
          <w:tcPr>
            <w:tcW w:w="35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358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BALANCE — June 30, 2024</w:t>
            </w:r>
          </w:p>
        </w:tc>
        <w:tc>
          <w:tcPr>
            <w:tcW w:w="11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20,734,331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line="187" w:lineRule="exact"/>
              <w:rPr>
                <w:sz w:val="20"/>
                <w:szCs w:val="20"/>
                <w:color w:val="auto"/>
              </w:rPr>
            </w:pPr>
            <w:r>
              <w:rPr>
                <w:rFonts w:ascii="Calibri" w:cs="Calibri" w:eastAsia="Calibri" w:hAnsi="Calibri"/>
                <w:sz w:val="16"/>
                <w:szCs w:val="16"/>
                <w:color w:val="auto"/>
                <w:w w:val="97"/>
              </w:rPr>
              <w:t>$</w:t>
            </w:r>
          </w:p>
        </w:tc>
        <w:tc>
          <w:tcPr>
            <w:tcW w:w="9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27,932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ind w:left="20"/>
              <w:spacing w:after="0" w:line="187" w:lineRule="exact"/>
              <w:rPr>
                <w:sz w:val="20"/>
                <w:szCs w:val="20"/>
                <w:color w:val="auto"/>
              </w:rPr>
            </w:pPr>
            <w:r>
              <w:rPr>
                <w:rFonts w:ascii="Calibri" w:cs="Calibri" w:eastAsia="Calibri" w:hAnsi="Calibri"/>
                <w:sz w:val="16"/>
                <w:szCs w:val="16"/>
                <w:color w:val="auto"/>
              </w:rPr>
              <w:t>$</w:t>
            </w:r>
          </w:p>
        </w:tc>
        <w:tc>
          <w:tcPr>
            <w:tcW w:w="9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390,070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2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3,009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1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421,218</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360"/>
              <w:spacing w:after="0" w:line="144" w:lineRule="exact"/>
              <w:rPr>
                <w:sz w:val="20"/>
                <w:szCs w:val="20"/>
                <w:color w:val="auto"/>
              </w:rPr>
            </w:pPr>
            <w:r>
              <w:rPr>
                <w:rFonts w:ascii="Calibri" w:cs="Calibri" w:eastAsia="Calibri" w:hAnsi="Calibri"/>
                <w:sz w:val="15"/>
                <w:szCs w:val="15"/>
                <w:color w:val="auto"/>
              </w:rPr>
              <w:t>Cash dividends declared and paid ($0.18 per</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5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580" w:type="dxa"/>
            <w:vAlign w:val="bottom"/>
          </w:tcPr>
          <w:p>
            <w:pPr>
              <w:ind w:left="360"/>
              <w:spacing w:after="0" w:line="193" w:lineRule="exact"/>
              <w:rPr>
                <w:sz w:val="20"/>
                <w:szCs w:val="20"/>
                <w:color w:val="auto"/>
              </w:rPr>
            </w:pPr>
            <w:r>
              <w:rPr>
                <w:rFonts w:ascii="Calibri" w:cs="Calibri" w:eastAsia="Calibri" w:hAnsi="Calibri"/>
                <w:sz w:val="16"/>
                <w:szCs w:val="16"/>
                <w:color w:val="auto"/>
              </w:rPr>
              <w:t>share)</w:t>
            </w:r>
          </w:p>
        </w:tc>
        <w:tc>
          <w:tcPr>
            <w:tcW w:w="12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Calibri" w:cs="Calibri" w:eastAsia="Calibri" w:hAnsi="Calibri"/>
                <w:sz w:val="16"/>
                <w:szCs w:val="16"/>
                <w:color w:val="auto"/>
              </w:rPr>
              <w:t>(3,763)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(3,763)</w:t>
            </w:r>
          </w:p>
        </w:tc>
        <w:tc>
          <w:tcPr>
            <w:tcW w:w="0" w:type="dxa"/>
            <w:vAlign w:val="bottom"/>
          </w:tcPr>
          <w:p>
            <w:pPr>
              <w:spacing w:after="0"/>
              <w:rPr>
                <w:sz w:val="1"/>
                <w:szCs w:val="1"/>
                <w:color w:val="auto"/>
              </w:rPr>
            </w:pPr>
          </w:p>
        </w:tc>
      </w:tr>
      <w:tr>
        <w:trPr>
          <w:trHeight w:val="28"/>
        </w:trPr>
        <w:tc>
          <w:tcPr>
            <w:tcW w:w="3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Share-based compensaton expense</w:t>
            </w:r>
          </w:p>
        </w:tc>
        <w:tc>
          <w:tcPr>
            <w:tcW w:w="12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1,832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1,832</w:t>
            </w:r>
          </w:p>
        </w:tc>
        <w:tc>
          <w:tcPr>
            <w:tcW w:w="0" w:type="dxa"/>
            <w:vAlign w:val="bottom"/>
          </w:tcPr>
          <w:p>
            <w:pPr>
              <w:spacing w:after="0"/>
              <w:rPr>
                <w:sz w:val="1"/>
                <w:szCs w:val="1"/>
                <w:color w:val="auto"/>
              </w:rPr>
            </w:pPr>
          </w:p>
        </w:tc>
      </w:tr>
      <w:tr>
        <w:trPr>
          <w:trHeight w:val="193"/>
        </w:trPr>
        <w:tc>
          <w:tcPr>
            <w:tcW w:w="3580" w:type="dxa"/>
            <w:vAlign w:val="bottom"/>
          </w:tcPr>
          <w:p>
            <w:pPr>
              <w:ind w:left="360"/>
              <w:spacing w:after="0" w:line="193" w:lineRule="exact"/>
              <w:rPr>
                <w:sz w:val="20"/>
                <w:szCs w:val="20"/>
                <w:color w:val="auto"/>
              </w:rPr>
            </w:pPr>
            <w:r>
              <w:rPr>
                <w:rFonts w:ascii="Calibri" w:cs="Calibri" w:eastAsia="Calibri" w:hAnsi="Calibri"/>
                <w:sz w:val="16"/>
                <w:szCs w:val="16"/>
                <w:color w:val="auto"/>
              </w:rPr>
              <w:t>Vestng of restricted stock</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10,647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36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3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ESPP shares issued</w:t>
            </w:r>
          </w:p>
        </w:tc>
        <w:tc>
          <w:tcPr>
            <w:tcW w:w="11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21,786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1,296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1,297</w:t>
            </w:r>
          </w:p>
        </w:tc>
        <w:tc>
          <w:tcPr>
            <w:tcW w:w="0" w:type="dxa"/>
            <w:vAlign w:val="bottom"/>
          </w:tcPr>
          <w:p>
            <w:pPr>
              <w:spacing w:after="0"/>
              <w:rPr>
                <w:sz w:val="1"/>
                <w:szCs w:val="1"/>
                <w:color w:val="auto"/>
              </w:rPr>
            </w:pPr>
          </w:p>
        </w:tc>
      </w:tr>
      <w:tr>
        <w:trPr>
          <w:trHeight w:val="193"/>
        </w:trPr>
        <w:tc>
          <w:tcPr>
            <w:tcW w:w="3580" w:type="dxa"/>
            <w:vAlign w:val="bottom"/>
          </w:tcPr>
          <w:p>
            <w:pPr>
              <w:ind w:left="360"/>
              <w:spacing w:after="0" w:line="193" w:lineRule="exact"/>
              <w:rPr>
                <w:sz w:val="20"/>
                <w:szCs w:val="20"/>
                <w:color w:val="auto"/>
              </w:rPr>
            </w:pPr>
            <w:r>
              <w:rPr>
                <w:rFonts w:ascii="Calibri" w:cs="Calibri" w:eastAsia="Calibri" w:hAnsi="Calibri"/>
                <w:sz w:val="16"/>
                <w:szCs w:val="16"/>
                <w:color w:val="auto"/>
              </w:rPr>
              <w:t>Other comprehensive income, net of tax</w:t>
            </w:r>
          </w:p>
        </w:tc>
        <w:tc>
          <w:tcPr>
            <w:tcW w:w="12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ind w:left="20"/>
              <w:spacing w:after="0" w:line="193" w:lineRule="exact"/>
              <w:rPr>
                <w:sz w:val="20"/>
                <w:szCs w:val="20"/>
                <w:color w:val="auto"/>
              </w:rPr>
            </w:pPr>
            <w:r>
              <w:rPr>
                <w:rFonts w:ascii="Calibri" w:cs="Calibri" w:eastAsia="Calibri" w:hAnsi="Calibri"/>
                <w:sz w:val="16"/>
                <w:szCs w:val="16"/>
                <w:color w:val="auto"/>
              </w:rPr>
              <w:t>—</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93" w:lineRule="exact"/>
              <w:rPr>
                <w:sz w:val="20"/>
                <w:szCs w:val="20"/>
                <w:color w:val="auto"/>
              </w:rPr>
            </w:pPr>
            <w:r>
              <w:rPr>
                <w:rFonts w:ascii="Calibri" w:cs="Calibri" w:eastAsia="Calibri" w:hAnsi="Calibri"/>
                <w:sz w:val="16"/>
                <w:szCs w:val="16"/>
                <w:color w:val="auto"/>
              </w:rPr>
              <w:t>(1,330)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(1,330)</w:t>
            </w:r>
          </w:p>
        </w:tc>
        <w:tc>
          <w:tcPr>
            <w:tcW w:w="0" w:type="dxa"/>
            <w:vAlign w:val="bottom"/>
          </w:tcPr>
          <w:p>
            <w:pPr>
              <w:spacing w:after="0"/>
              <w:rPr>
                <w:sz w:val="1"/>
                <w:szCs w:val="1"/>
                <w:color w:val="auto"/>
              </w:rPr>
            </w:pPr>
          </w:p>
        </w:tc>
      </w:tr>
      <w:tr>
        <w:trPr>
          <w:trHeight w:val="23"/>
        </w:trPr>
        <w:tc>
          <w:tcPr>
            <w:tcW w:w="3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Net income</w:t>
            </w:r>
          </w:p>
        </w:tc>
        <w:tc>
          <w:tcPr>
            <w:tcW w:w="12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24,118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24,118</w:t>
            </w:r>
          </w:p>
        </w:tc>
        <w:tc>
          <w:tcPr>
            <w:tcW w:w="0" w:type="dxa"/>
            <w:vAlign w:val="bottom"/>
          </w:tcPr>
          <w:p>
            <w:pPr>
              <w:spacing w:after="0"/>
              <w:rPr>
                <w:sz w:val="1"/>
                <w:szCs w:val="1"/>
                <w:color w:val="auto"/>
              </w:rPr>
            </w:pPr>
          </w:p>
        </w:tc>
      </w:tr>
      <w:tr>
        <w:trPr>
          <w:trHeight w:val="187"/>
        </w:trPr>
        <w:tc>
          <w:tcPr>
            <w:tcW w:w="3580" w:type="dxa"/>
            <w:vAlign w:val="bottom"/>
          </w:tcPr>
          <w:p>
            <w:pPr>
              <w:ind w:left="20"/>
              <w:spacing w:after="0" w:line="174" w:lineRule="exact"/>
              <w:rPr>
                <w:sz w:val="20"/>
                <w:szCs w:val="20"/>
                <w:color w:val="auto"/>
              </w:rPr>
            </w:pPr>
            <w:r>
              <w:rPr>
                <w:rFonts w:ascii="Calibri" w:cs="Calibri" w:eastAsia="Calibri" w:hAnsi="Calibri"/>
                <w:sz w:val="16"/>
                <w:szCs w:val="16"/>
                <w:color w:val="auto"/>
              </w:rPr>
              <w:t>BALANCE — September 29, 2024</w:t>
            </w: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20,766,764</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19"/>
              <w:spacing w:after="0" w:line="187" w:lineRule="exact"/>
              <w:rPr>
                <w:sz w:val="20"/>
                <w:szCs w:val="20"/>
                <w:color w:val="auto"/>
              </w:rPr>
            </w:pPr>
            <w:r>
              <w:rPr>
                <w:rFonts w:ascii="Calibri" w:cs="Calibri" w:eastAsia="Calibri" w:hAnsi="Calibri"/>
                <w:sz w:val="16"/>
                <w:szCs w:val="16"/>
                <w:color w:val="auto"/>
                <w:w w:val="97"/>
              </w:rPr>
              <w:t>$</w:t>
            </w:r>
          </w:p>
        </w:tc>
        <w:tc>
          <w:tcPr>
            <w:tcW w:w="9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208</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31,060</w:t>
            </w:r>
          </w:p>
        </w:tc>
        <w:tc>
          <w:tcPr>
            <w:tcW w:w="120" w:type="dxa"/>
            <w:vAlign w:val="bottom"/>
          </w:tcPr>
          <w:p>
            <w:pPr>
              <w:spacing w:after="0"/>
              <w:rPr>
                <w:sz w:val="16"/>
                <w:szCs w:val="16"/>
                <w:color w:val="auto"/>
              </w:rPr>
            </w:pPr>
          </w:p>
        </w:tc>
        <w:tc>
          <w:tcPr>
            <w:tcW w:w="20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w:t>
            </w:r>
          </w:p>
        </w:tc>
        <w:tc>
          <w:tcPr>
            <w:tcW w:w="9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410,425</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2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1,679</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1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443,372</w:t>
            </w:r>
          </w:p>
        </w:tc>
        <w:tc>
          <w:tcPr>
            <w:tcW w:w="0" w:type="dxa"/>
            <w:vAlign w:val="bottom"/>
          </w:tcPr>
          <w:p>
            <w:pPr>
              <w:spacing w:after="0"/>
              <w:rPr>
                <w:sz w:val="1"/>
                <w:szCs w:val="1"/>
                <w:color w:val="auto"/>
              </w:rPr>
            </w:pPr>
          </w:p>
        </w:tc>
      </w:tr>
      <w:tr>
        <w:trPr>
          <w:trHeight w:val="23"/>
        </w:trPr>
        <w:tc>
          <w:tcPr>
            <w:tcW w:w="3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shd w:val="clear" w:color="auto" w:fill="CCEEFF"/>
          </w:tcPr>
          <w:p>
            <w:pPr>
              <w:ind w:left="360"/>
              <w:spacing w:after="0" w:line="124" w:lineRule="exact"/>
              <w:rPr>
                <w:sz w:val="20"/>
                <w:szCs w:val="20"/>
                <w:color w:val="auto"/>
              </w:rPr>
            </w:pPr>
            <w:r>
              <w:rPr>
                <w:rFonts w:ascii="Calibri" w:cs="Calibri" w:eastAsia="Calibri" w:hAnsi="Calibri"/>
                <w:sz w:val="13"/>
                <w:szCs w:val="13"/>
                <w:color w:val="auto"/>
              </w:rPr>
              <w:t>Cash dividends declared and paid ($0.18 per</w:t>
            </w: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35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w:t>
            </w:r>
          </w:p>
        </w:tc>
        <w:tc>
          <w:tcPr>
            <w:tcW w:w="12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(3,764)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(3,764)</w:t>
            </w:r>
          </w:p>
        </w:tc>
        <w:tc>
          <w:tcPr>
            <w:tcW w:w="0" w:type="dxa"/>
            <w:vAlign w:val="bottom"/>
          </w:tcPr>
          <w:p>
            <w:pPr>
              <w:spacing w:after="0"/>
              <w:rPr>
                <w:sz w:val="1"/>
                <w:szCs w:val="1"/>
                <w:color w:val="auto"/>
              </w:rPr>
            </w:pPr>
          </w:p>
        </w:tc>
      </w:tr>
      <w:tr>
        <w:trPr>
          <w:trHeight w:val="194"/>
        </w:trPr>
        <w:tc>
          <w:tcPr>
            <w:tcW w:w="3580" w:type="dxa"/>
            <w:vAlign w:val="bottom"/>
          </w:tcPr>
          <w:p>
            <w:pPr>
              <w:ind w:left="360"/>
              <w:spacing w:after="0" w:line="193" w:lineRule="exact"/>
              <w:rPr>
                <w:sz w:val="20"/>
                <w:szCs w:val="20"/>
                <w:color w:val="auto"/>
              </w:rPr>
            </w:pPr>
            <w:r>
              <w:rPr>
                <w:rFonts w:ascii="Calibri" w:cs="Calibri" w:eastAsia="Calibri" w:hAnsi="Calibri"/>
                <w:sz w:val="16"/>
                <w:szCs w:val="16"/>
                <w:color w:val="auto"/>
              </w:rPr>
              <w:t>Share-based compensaton expense</w:t>
            </w:r>
          </w:p>
        </w:tc>
        <w:tc>
          <w:tcPr>
            <w:tcW w:w="12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980" w:type="dxa"/>
            <w:vAlign w:val="bottom"/>
          </w:tcPr>
          <w:p>
            <w:pPr>
              <w:jc w:val="right"/>
              <w:spacing w:after="0" w:line="193" w:lineRule="exact"/>
              <w:rPr>
                <w:sz w:val="20"/>
                <w:szCs w:val="20"/>
                <w:color w:val="auto"/>
              </w:rPr>
            </w:pPr>
            <w:r>
              <w:rPr>
                <w:rFonts w:ascii="Calibri" w:cs="Calibri" w:eastAsia="Calibri" w:hAnsi="Calibri"/>
                <w:sz w:val="16"/>
                <w:szCs w:val="16"/>
                <w:color w:val="auto"/>
              </w:rPr>
              <w:t>1,723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36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1,723</w:t>
            </w:r>
          </w:p>
        </w:tc>
        <w:tc>
          <w:tcPr>
            <w:tcW w:w="0" w:type="dxa"/>
            <w:vAlign w:val="bottom"/>
          </w:tcPr>
          <w:p>
            <w:pPr>
              <w:spacing w:after="0"/>
              <w:rPr>
                <w:sz w:val="1"/>
                <w:szCs w:val="1"/>
                <w:color w:val="auto"/>
              </w:rPr>
            </w:pPr>
          </w:p>
        </w:tc>
      </w:tr>
      <w:tr>
        <w:trPr>
          <w:trHeight w:val="23"/>
        </w:trPr>
        <w:tc>
          <w:tcPr>
            <w:tcW w:w="3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Other comprehensive loss, net of tax</w:t>
            </w:r>
          </w:p>
        </w:tc>
        <w:tc>
          <w:tcPr>
            <w:tcW w:w="12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629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629</w:t>
            </w:r>
          </w:p>
        </w:tc>
        <w:tc>
          <w:tcPr>
            <w:tcW w:w="0" w:type="dxa"/>
            <w:vAlign w:val="bottom"/>
          </w:tcPr>
          <w:p>
            <w:pPr>
              <w:spacing w:after="0"/>
              <w:rPr>
                <w:sz w:val="1"/>
                <w:szCs w:val="1"/>
                <w:color w:val="auto"/>
              </w:rPr>
            </w:pPr>
          </w:p>
        </w:tc>
      </w:tr>
      <w:tr>
        <w:trPr>
          <w:trHeight w:val="194"/>
        </w:trPr>
        <w:tc>
          <w:tcPr>
            <w:tcW w:w="3580" w:type="dxa"/>
            <w:vAlign w:val="bottom"/>
          </w:tcPr>
          <w:p>
            <w:pPr>
              <w:ind w:left="360"/>
              <w:spacing w:after="0" w:line="193" w:lineRule="exact"/>
              <w:rPr>
                <w:sz w:val="20"/>
                <w:szCs w:val="20"/>
                <w:color w:val="auto"/>
              </w:rPr>
            </w:pPr>
            <w:r>
              <w:rPr>
                <w:rFonts w:ascii="Calibri" w:cs="Calibri" w:eastAsia="Calibri" w:hAnsi="Calibri"/>
                <w:sz w:val="16"/>
                <w:szCs w:val="16"/>
                <w:color w:val="auto"/>
              </w:rPr>
              <w:t>Net income</w:t>
            </w:r>
          </w:p>
        </w:tc>
        <w:tc>
          <w:tcPr>
            <w:tcW w:w="12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Calibri" w:cs="Calibri" w:eastAsia="Calibri" w:hAnsi="Calibri"/>
                <w:sz w:val="16"/>
                <w:szCs w:val="16"/>
                <w:color w:val="auto"/>
              </w:rPr>
              <w:t>15,021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15,021</w:t>
            </w:r>
          </w:p>
        </w:tc>
        <w:tc>
          <w:tcPr>
            <w:tcW w:w="0" w:type="dxa"/>
            <w:vAlign w:val="bottom"/>
          </w:tcPr>
          <w:p>
            <w:pPr>
              <w:spacing w:after="0"/>
              <w:rPr>
                <w:sz w:val="1"/>
                <w:szCs w:val="1"/>
                <w:color w:val="auto"/>
              </w:rPr>
            </w:pPr>
          </w:p>
        </w:tc>
      </w:tr>
      <w:tr>
        <w:trPr>
          <w:trHeight w:val="23"/>
        </w:trPr>
        <w:tc>
          <w:tcPr>
            <w:tcW w:w="35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3580" w:type="dxa"/>
            <w:vAlign w:val="bottom"/>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BALANCE — December 29, 2024</w:t>
            </w:r>
          </w:p>
        </w:tc>
        <w:tc>
          <w:tcPr>
            <w:tcW w:w="1100" w:type="dxa"/>
            <w:vAlign w:val="bottom"/>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20,766,764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9"/>
              <w:spacing w:after="0" w:line="187" w:lineRule="exact"/>
              <w:rPr>
                <w:sz w:val="20"/>
                <w:szCs w:val="20"/>
                <w:color w:val="auto"/>
              </w:rPr>
            </w:pPr>
            <w:r>
              <w:rPr>
                <w:rFonts w:ascii="Calibri" w:cs="Calibri" w:eastAsia="Calibri" w:hAnsi="Calibri"/>
                <w:sz w:val="16"/>
                <w:szCs w:val="16"/>
                <w:color w:val="auto"/>
                <w:w w:val="97"/>
              </w:rPr>
              <w:t>$</w:t>
            </w:r>
          </w:p>
        </w:tc>
        <w:tc>
          <w:tcPr>
            <w:tcW w:w="900" w:type="dxa"/>
            <w:vAlign w:val="bottom"/>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80" w:type="dxa"/>
            <w:vAlign w:val="bottom"/>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32,783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line="187" w:lineRule="exact"/>
              <w:rPr>
                <w:sz w:val="20"/>
                <w:szCs w:val="20"/>
                <w:color w:val="auto"/>
              </w:rPr>
            </w:pPr>
            <w:r>
              <w:rPr>
                <w:rFonts w:ascii="Calibri" w:cs="Calibri" w:eastAsia="Calibri" w:hAnsi="Calibri"/>
                <w:sz w:val="16"/>
                <w:szCs w:val="16"/>
                <w:color w:val="auto"/>
              </w:rPr>
              <w:t>$</w:t>
            </w:r>
          </w:p>
        </w:tc>
        <w:tc>
          <w:tcPr>
            <w:tcW w:w="900" w:type="dxa"/>
            <w:vAlign w:val="bottom"/>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421,682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240" w:type="dxa"/>
            <w:vAlign w:val="bottom"/>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2,308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120" w:type="dxa"/>
            <w:vAlign w:val="bottom"/>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456,981</w:t>
            </w:r>
          </w:p>
        </w:tc>
        <w:tc>
          <w:tcPr>
            <w:tcW w:w="0" w:type="dxa"/>
            <w:vAlign w:val="bottom"/>
          </w:tcPr>
          <w:p>
            <w:pPr>
              <w:spacing w:after="0"/>
              <w:rPr>
                <w:sz w:val="1"/>
                <w:szCs w:val="1"/>
                <w:color w:val="auto"/>
              </w:rPr>
            </w:pPr>
          </w:p>
        </w:tc>
      </w:tr>
      <w:tr>
        <w:trPr>
          <w:trHeight w:val="23"/>
        </w:trPr>
        <w:tc>
          <w:tcPr>
            <w:tcW w:w="35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3580" w:type="dxa"/>
            <w:vAlign w:val="bottom"/>
          </w:tcPr>
          <w:p>
            <w:pPr>
              <w:spacing w:after="0"/>
              <w:rPr>
                <w:sz w:val="16"/>
                <w:szCs w:val="16"/>
                <w:color w:val="auto"/>
              </w:rPr>
            </w:pPr>
          </w:p>
        </w:tc>
        <w:tc>
          <w:tcPr>
            <w:tcW w:w="2400" w:type="dxa"/>
            <w:vAlign w:val="bottom"/>
            <w:gridSpan w:val="5"/>
            <w:vMerge w:val="restart"/>
          </w:tcPr>
          <w:p>
            <w:pPr>
              <w:ind w:left="640"/>
              <w:spacing w:after="0"/>
              <w:rPr>
                <w:sz w:val="20"/>
                <w:szCs w:val="20"/>
                <w:color w:val="auto"/>
              </w:rPr>
            </w:pPr>
            <w:r>
              <w:rPr>
                <w:rFonts w:ascii="Calibri" w:cs="Calibri" w:eastAsia="Calibri" w:hAnsi="Calibri"/>
                <w:sz w:val="16"/>
                <w:szCs w:val="16"/>
                <w:b w:val="1"/>
                <w:bCs w:val="1"/>
                <w:color w:val="auto"/>
              </w:rPr>
              <w:t>Common Stock</w:t>
            </w: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Calibri" w:cs="Calibri" w:eastAsia="Calibri" w:hAnsi="Calibri"/>
                <w:sz w:val="16"/>
                <w:szCs w:val="16"/>
                <w:b w:val="1"/>
                <w:bCs w:val="1"/>
                <w:color w:val="auto"/>
              </w:rPr>
              <w:t>Additonal</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jc w:val="center"/>
              <w:ind w:right="120"/>
              <w:spacing w:after="0"/>
              <w:rPr>
                <w:sz w:val="20"/>
                <w:szCs w:val="20"/>
                <w:color w:val="auto"/>
              </w:rPr>
            </w:pPr>
            <w:r>
              <w:rPr>
                <w:rFonts w:ascii="Calibri" w:cs="Calibri" w:eastAsia="Calibri" w:hAnsi="Calibri"/>
                <w:sz w:val="16"/>
                <w:szCs w:val="16"/>
                <w:b w:val="1"/>
                <w:bCs w:val="1"/>
                <w:color w:val="auto"/>
              </w:rPr>
              <w:t>Accumulated Other</w:t>
            </w:r>
          </w:p>
        </w:tc>
        <w:tc>
          <w:tcPr>
            <w:tcW w:w="140" w:type="dxa"/>
            <w:vAlign w:val="bottom"/>
          </w:tcPr>
          <w:p>
            <w:pPr>
              <w:spacing w:after="0"/>
              <w:rPr>
                <w:sz w:val="16"/>
                <w:szCs w:val="16"/>
                <w:color w:val="auto"/>
              </w:rPr>
            </w:pPr>
          </w:p>
        </w:tc>
        <w:tc>
          <w:tcPr>
            <w:tcW w:w="1120" w:type="dxa"/>
            <w:vAlign w:val="bottom"/>
          </w:tcPr>
          <w:p>
            <w:pPr>
              <w:jc w:val="center"/>
              <w:ind w:right="59"/>
              <w:spacing w:after="0"/>
              <w:rPr>
                <w:sz w:val="20"/>
                <w:szCs w:val="20"/>
                <w:color w:val="auto"/>
              </w:rPr>
            </w:pPr>
            <w:r>
              <w:rPr>
                <w:rFonts w:ascii="Calibri" w:cs="Calibri" w:eastAsia="Calibri" w:hAnsi="Calibri"/>
                <w:sz w:val="16"/>
                <w:szCs w:val="16"/>
                <w:b w:val="1"/>
                <w:bCs w:val="1"/>
                <w:color w:val="auto"/>
              </w:rPr>
              <w:t>Total</w:t>
            </w:r>
          </w:p>
        </w:tc>
        <w:tc>
          <w:tcPr>
            <w:tcW w:w="0" w:type="dxa"/>
            <w:vAlign w:val="bottom"/>
          </w:tcPr>
          <w:p>
            <w:pPr>
              <w:spacing w:after="0"/>
              <w:rPr>
                <w:sz w:val="1"/>
                <w:szCs w:val="1"/>
                <w:color w:val="auto"/>
              </w:rPr>
            </w:pPr>
          </w:p>
        </w:tc>
      </w:tr>
      <w:tr>
        <w:trPr>
          <w:trHeight w:val="112"/>
        </w:trPr>
        <w:tc>
          <w:tcPr>
            <w:tcW w:w="358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restart"/>
          </w:tcPr>
          <w:p>
            <w:pPr>
              <w:jc w:val="center"/>
              <w:ind w:right="280"/>
              <w:spacing w:after="0" w:line="134" w:lineRule="exact"/>
              <w:rPr>
                <w:sz w:val="20"/>
                <w:szCs w:val="20"/>
                <w:color w:val="auto"/>
              </w:rPr>
            </w:pPr>
            <w:r>
              <w:rPr>
                <w:rFonts w:ascii="Calibri" w:cs="Calibri" w:eastAsia="Calibri" w:hAnsi="Calibri"/>
                <w:sz w:val="14"/>
                <w:szCs w:val="14"/>
                <w:b w:val="1"/>
                <w:bCs w:val="1"/>
                <w:color w:val="auto"/>
              </w:rPr>
              <w:t>Paid-in</w:t>
            </w:r>
          </w:p>
        </w:tc>
        <w:tc>
          <w:tcPr>
            <w:tcW w:w="180" w:type="dxa"/>
            <w:vAlign w:val="bottom"/>
          </w:tcPr>
          <w:p>
            <w:pPr>
              <w:spacing w:after="0"/>
              <w:rPr>
                <w:sz w:val="9"/>
                <w:szCs w:val="9"/>
                <w:color w:val="auto"/>
              </w:rPr>
            </w:pPr>
          </w:p>
        </w:tc>
        <w:tc>
          <w:tcPr>
            <w:tcW w:w="1020" w:type="dxa"/>
            <w:vAlign w:val="bottom"/>
            <w:gridSpan w:val="2"/>
            <w:vMerge w:val="restart"/>
          </w:tcPr>
          <w:p>
            <w:pPr>
              <w:ind w:left="60"/>
              <w:spacing w:after="0" w:line="134" w:lineRule="exact"/>
              <w:rPr>
                <w:sz w:val="20"/>
                <w:szCs w:val="20"/>
                <w:color w:val="auto"/>
              </w:rPr>
            </w:pPr>
            <w:r>
              <w:rPr>
                <w:rFonts w:ascii="Calibri" w:cs="Calibri" w:eastAsia="Calibri" w:hAnsi="Calibri"/>
                <w:sz w:val="14"/>
                <w:szCs w:val="14"/>
                <w:b w:val="1"/>
                <w:bCs w:val="1"/>
                <w:color w:val="auto"/>
              </w:rPr>
              <w:t>Retained</w:t>
            </w:r>
          </w:p>
        </w:tc>
        <w:tc>
          <w:tcPr>
            <w:tcW w:w="140" w:type="dxa"/>
            <w:vAlign w:val="bottom"/>
          </w:tcPr>
          <w:p>
            <w:pPr>
              <w:spacing w:after="0"/>
              <w:rPr>
                <w:sz w:val="9"/>
                <w:szCs w:val="9"/>
                <w:color w:val="auto"/>
              </w:rPr>
            </w:pPr>
          </w:p>
        </w:tc>
        <w:tc>
          <w:tcPr>
            <w:tcW w:w="1360" w:type="dxa"/>
            <w:vAlign w:val="bottom"/>
            <w:gridSpan w:val="2"/>
            <w:vMerge w:val="restart"/>
          </w:tcPr>
          <w:p>
            <w:pPr>
              <w:jc w:val="center"/>
              <w:ind w:right="240"/>
              <w:spacing w:after="0" w:line="134" w:lineRule="exact"/>
              <w:rPr>
                <w:sz w:val="20"/>
                <w:szCs w:val="20"/>
                <w:color w:val="auto"/>
              </w:rPr>
            </w:pPr>
            <w:r>
              <w:rPr>
                <w:rFonts w:ascii="Calibri" w:cs="Calibri" w:eastAsia="Calibri" w:hAnsi="Calibri"/>
                <w:sz w:val="14"/>
                <w:szCs w:val="14"/>
                <w:b w:val="1"/>
                <w:bCs w:val="1"/>
                <w:color w:val="auto"/>
              </w:rPr>
              <w:t>Comprehensive</w:t>
            </w:r>
          </w:p>
        </w:tc>
        <w:tc>
          <w:tcPr>
            <w:tcW w:w="140" w:type="dxa"/>
            <w:vAlign w:val="bottom"/>
          </w:tcPr>
          <w:p>
            <w:pPr>
              <w:spacing w:after="0"/>
              <w:rPr>
                <w:sz w:val="9"/>
                <w:szCs w:val="9"/>
                <w:color w:val="auto"/>
              </w:rPr>
            </w:pPr>
          </w:p>
        </w:tc>
        <w:tc>
          <w:tcPr>
            <w:tcW w:w="1120" w:type="dxa"/>
            <w:vAlign w:val="bottom"/>
            <w:vMerge w:val="restart"/>
          </w:tcPr>
          <w:p>
            <w:pPr>
              <w:jc w:val="center"/>
              <w:ind w:right="59"/>
              <w:spacing w:after="0" w:line="134" w:lineRule="exact"/>
              <w:rPr>
                <w:sz w:val="20"/>
                <w:szCs w:val="20"/>
                <w:color w:val="auto"/>
              </w:rPr>
            </w:pPr>
            <w:r>
              <w:rPr>
                <w:rFonts w:ascii="Calibri" w:cs="Calibri" w:eastAsia="Calibri" w:hAnsi="Calibri"/>
                <w:sz w:val="14"/>
                <w:szCs w:val="14"/>
                <w:b w:val="1"/>
                <w:bCs w:val="1"/>
                <w:color w:val="auto"/>
              </w:rPr>
              <w:t>Shareholders’</w:t>
            </w:r>
          </w:p>
        </w:tc>
        <w:tc>
          <w:tcPr>
            <w:tcW w:w="0" w:type="dxa"/>
            <w:vAlign w:val="bottom"/>
          </w:tcPr>
          <w:p>
            <w:pPr>
              <w:spacing w:after="0"/>
              <w:rPr>
                <w:sz w:val="1"/>
                <w:szCs w:val="1"/>
                <w:color w:val="auto"/>
              </w:rPr>
            </w:pPr>
          </w:p>
        </w:tc>
      </w:tr>
      <w:tr>
        <w:trPr>
          <w:trHeight w:val="28"/>
        </w:trPr>
        <w:tc>
          <w:tcPr>
            <w:tcW w:w="35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1200" w:type="dxa"/>
            <w:vAlign w:val="bottom"/>
            <w:gridSpan w:val="2"/>
          </w:tcPr>
          <w:p>
            <w:pPr>
              <w:ind w:left="320"/>
              <w:spacing w:after="0"/>
              <w:rPr>
                <w:sz w:val="20"/>
                <w:szCs w:val="20"/>
                <w:color w:val="auto"/>
              </w:rPr>
            </w:pPr>
            <w:r>
              <w:rPr>
                <w:rFonts w:ascii="Calibri" w:cs="Calibri" w:eastAsia="Calibri" w:hAnsi="Calibri"/>
                <w:sz w:val="16"/>
                <w:szCs w:val="16"/>
                <w:b w:val="1"/>
                <w:bCs w:val="1"/>
                <w:color w:val="auto"/>
              </w:rPr>
              <w:t>Shares</w:t>
            </w:r>
          </w:p>
        </w:tc>
        <w:tc>
          <w:tcPr>
            <w:tcW w:w="20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Calibri" w:cs="Calibri" w:eastAsia="Calibri" w:hAnsi="Calibri"/>
                <w:sz w:val="16"/>
                <w:szCs w:val="16"/>
                <w:b w:val="1"/>
                <w:bCs w:val="1"/>
                <w:color w:val="auto"/>
              </w:rPr>
              <w:t>Amount</w:t>
            </w: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Calibri" w:cs="Calibri" w:eastAsia="Calibri" w:hAnsi="Calibri"/>
                <w:sz w:val="16"/>
                <w:szCs w:val="16"/>
                <w:b w:val="1"/>
                <w:bCs w:val="1"/>
                <w:color w:val="auto"/>
                <w:w w:val="99"/>
              </w:rPr>
              <w:t>Capital</w:t>
            </w:r>
          </w:p>
        </w:tc>
        <w:tc>
          <w:tcPr>
            <w:tcW w:w="18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Calibri" w:cs="Calibri" w:eastAsia="Calibri" w:hAnsi="Calibri"/>
                <w:sz w:val="16"/>
                <w:szCs w:val="16"/>
                <w:b w:val="1"/>
                <w:bCs w:val="1"/>
                <w:color w:val="auto"/>
              </w:rPr>
              <w:t>Earnings</w:t>
            </w: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Calibri" w:cs="Calibri" w:eastAsia="Calibri" w:hAnsi="Calibri"/>
                <w:sz w:val="16"/>
                <w:szCs w:val="16"/>
                <w:b w:val="1"/>
                <w:bCs w:val="1"/>
                <w:color w:val="auto"/>
              </w:rPr>
              <w:t>Income (Loss)</w:t>
            </w:r>
          </w:p>
        </w:tc>
        <w:tc>
          <w:tcPr>
            <w:tcW w:w="140" w:type="dxa"/>
            <w:vAlign w:val="bottom"/>
          </w:tcPr>
          <w:p>
            <w:pPr>
              <w:spacing w:after="0"/>
              <w:rPr>
                <w:sz w:val="17"/>
                <w:szCs w:val="17"/>
                <w:color w:val="auto"/>
              </w:rPr>
            </w:pPr>
          </w:p>
        </w:tc>
        <w:tc>
          <w:tcPr>
            <w:tcW w:w="1120" w:type="dxa"/>
            <w:vAlign w:val="bottom"/>
          </w:tcPr>
          <w:p>
            <w:pPr>
              <w:jc w:val="center"/>
              <w:ind w:right="59"/>
              <w:spacing w:after="0"/>
              <w:rPr>
                <w:sz w:val="20"/>
                <w:szCs w:val="20"/>
                <w:color w:val="auto"/>
              </w:rPr>
            </w:pPr>
            <w:r>
              <w:rPr>
                <w:rFonts w:ascii="Calibri" w:cs="Calibri" w:eastAsia="Calibri" w:hAnsi="Calibri"/>
                <w:sz w:val="16"/>
                <w:szCs w:val="16"/>
                <w:b w:val="1"/>
                <w:bCs w:val="1"/>
                <w:color w:val="auto"/>
                <w:w w:val="99"/>
              </w:rPr>
              <w:t>Equity</w:t>
            </w:r>
          </w:p>
        </w:tc>
        <w:tc>
          <w:tcPr>
            <w:tcW w:w="0" w:type="dxa"/>
            <w:vAlign w:val="bottom"/>
          </w:tcPr>
          <w:p>
            <w:pPr>
              <w:spacing w:after="0"/>
              <w:rPr>
                <w:sz w:val="1"/>
                <w:szCs w:val="1"/>
                <w:color w:val="auto"/>
              </w:rPr>
            </w:pPr>
          </w:p>
        </w:tc>
      </w:tr>
      <w:tr>
        <w:trPr>
          <w:trHeight w:val="28"/>
        </w:trPr>
        <w:tc>
          <w:tcPr>
            <w:tcW w:w="35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58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BALANCE — April 2, 2023</w:t>
            </w:r>
          </w:p>
        </w:tc>
        <w:tc>
          <w:tcPr>
            <w:tcW w:w="1100" w:type="dxa"/>
            <w:vAlign w:val="bottom"/>
            <w:tcBorders>
              <w:bottom w:val="single" w:sz="8" w:color="CCEEFF"/>
            </w:tcBorders>
            <w:shd w:val="clear" w:color="auto" w:fill="CCEEFF"/>
          </w:tcPr>
          <w:p>
            <w:pPr>
              <w:jc w:val="right"/>
              <w:spacing w:after="0" w:line="188" w:lineRule="exact"/>
              <w:rPr>
                <w:sz w:val="20"/>
                <w:szCs w:val="20"/>
                <w:color w:val="auto"/>
              </w:rPr>
            </w:pPr>
            <w:r>
              <w:rPr>
                <w:rFonts w:ascii="Calibri" w:cs="Calibri" w:eastAsia="Calibri" w:hAnsi="Calibri"/>
                <w:sz w:val="16"/>
                <w:szCs w:val="16"/>
                <w:color w:val="auto"/>
              </w:rPr>
              <w:t>20,850,454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line="188" w:lineRule="exact"/>
              <w:rPr>
                <w:sz w:val="20"/>
                <w:szCs w:val="20"/>
                <w:color w:val="auto"/>
              </w:rPr>
            </w:pPr>
            <w:r>
              <w:rPr>
                <w:rFonts w:ascii="Calibri" w:cs="Calibri" w:eastAsia="Calibri" w:hAnsi="Calibri"/>
                <w:sz w:val="16"/>
                <w:szCs w:val="16"/>
                <w:color w:val="auto"/>
                <w:w w:val="97"/>
              </w:rPr>
              <w:t>$</w:t>
            </w:r>
          </w:p>
        </w:tc>
        <w:tc>
          <w:tcPr>
            <w:tcW w:w="900" w:type="dxa"/>
            <w:vAlign w:val="bottom"/>
            <w:tcBorders>
              <w:bottom w:val="single" w:sz="8" w:color="CCEEFF"/>
            </w:tcBorders>
            <w:shd w:val="clear" w:color="auto" w:fill="CCEEFF"/>
          </w:tcPr>
          <w:p>
            <w:pPr>
              <w:jc w:val="right"/>
              <w:spacing w:after="0" w:line="188" w:lineRule="exact"/>
              <w:rPr>
                <w:sz w:val="20"/>
                <w:szCs w:val="20"/>
                <w:color w:val="auto"/>
              </w:rPr>
            </w:pPr>
            <w:r>
              <w:rPr>
                <w:rFonts w:ascii="Calibri" w:cs="Calibri" w:eastAsia="Calibri" w:hAnsi="Calibri"/>
                <w:sz w:val="16"/>
                <w:szCs w:val="16"/>
                <w:color w:val="auto"/>
              </w:rPr>
              <w:t>209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line="188" w:lineRule="exact"/>
              <w:rPr>
                <w:sz w:val="20"/>
                <w:szCs w:val="20"/>
                <w:color w:val="auto"/>
              </w:rPr>
            </w:pPr>
            <w:r>
              <w:rPr>
                <w:rFonts w:ascii="Calibri" w:cs="Calibri" w:eastAsia="Calibri" w:hAnsi="Calibri"/>
                <w:sz w:val="16"/>
                <w:szCs w:val="16"/>
                <w:color w:val="auto"/>
                <w:w w:val="97"/>
              </w:rPr>
              <w:t>$</w:t>
            </w:r>
          </w:p>
        </w:tc>
        <w:tc>
          <w:tcPr>
            <w:tcW w:w="980" w:type="dxa"/>
            <w:vAlign w:val="bottom"/>
            <w:tcBorders>
              <w:bottom w:val="single" w:sz="8" w:color="CCEEFF"/>
            </w:tcBorders>
            <w:shd w:val="clear" w:color="auto" w:fill="CCEEFF"/>
          </w:tcPr>
          <w:p>
            <w:pPr>
              <w:jc w:val="right"/>
              <w:spacing w:after="0" w:line="188" w:lineRule="exact"/>
              <w:rPr>
                <w:sz w:val="20"/>
                <w:szCs w:val="20"/>
                <w:color w:val="auto"/>
              </w:rPr>
            </w:pPr>
            <w:r>
              <w:rPr>
                <w:rFonts w:ascii="Calibri" w:cs="Calibri" w:eastAsia="Calibri" w:hAnsi="Calibri"/>
                <w:sz w:val="16"/>
                <w:szCs w:val="16"/>
                <w:color w:val="auto"/>
              </w:rPr>
              <w:t>44,443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line="188" w:lineRule="exact"/>
              <w:rPr>
                <w:sz w:val="20"/>
                <w:szCs w:val="20"/>
                <w:color w:val="auto"/>
              </w:rPr>
            </w:pPr>
            <w:r>
              <w:rPr>
                <w:rFonts w:ascii="Calibri" w:cs="Calibri" w:eastAsia="Calibri" w:hAnsi="Calibri"/>
                <w:sz w:val="16"/>
                <w:szCs w:val="16"/>
                <w:color w:val="auto"/>
                <w:w w:val="97"/>
              </w:rPr>
              <w:t>$</w:t>
            </w:r>
          </w:p>
        </w:tc>
        <w:tc>
          <w:tcPr>
            <w:tcW w:w="920" w:type="dxa"/>
            <w:vAlign w:val="bottom"/>
            <w:tcBorders>
              <w:bottom w:val="single" w:sz="8" w:color="CCEEFF"/>
            </w:tcBorders>
            <w:shd w:val="clear" w:color="auto" w:fill="CCEEFF"/>
          </w:tcPr>
          <w:p>
            <w:pPr>
              <w:jc w:val="right"/>
              <w:spacing w:after="0" w:line="188" w:lineRule="exact"/>
              <w:rPr>
                <w:sz w:val="20"/>
                <w:szCs w:val="20"/>
                <w:color w:val="auto"/>
              </w:rPr>
            </w:pPr>
            <w:r>
              <w:rPr>
                <w:rFonts w:ascii="Calibri" w:cs="Calibri" w:eastAsia="Calibri" w:hAnsi="Calibri"/>
                <w:sz w:val="16"/>
                <w:szCs w:val="16"/>
                <w:color w:val="auto"/>
              </w:rPr>
              <w:t>302,424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line="188" w:lineRule="exact"/>
              <w:rPr>
                <w:sz w:val="20"/>
                <w:szCs w:val="20"/>
                <w:color w:val="auto"/>
              </w:rPr>
            </w:pPr>
            <w:r>
              <w:rPr>
                <w:rFonts w:ascii="Calibri" w:cs="Calibri" w:eastAsia="Calibri" w:hAnsi="Calibri"/>
                <w:sz w:val="16"/>
                <w:szCs w:val="16"/>
                <w:color w:val="auto"/>
                <w:w w:val="97"/>
              </w:rPr>
              <w:t>$</w:t>
            </w:r>
          </w:p>
        </w:tc>
        <w:tc>
          <w:tcPr>
            <w:tcW w:w="1240" w:type="dxa"/>
            <w:vAlign w:val="bottom"/>
            <w:tcBorders>
              <w:bottom w:val="single" w:sz="8" w:color="CCEEFF"/>
            </w:tcBorders>
            <w:shd w:val="clear" w:color="auto" w:fill="CCEEFF"/>
          </w:tcPr>
          <w:p>
            <w:pPr>
              <w:jc w:val="right"/>
              <w:spacing w:after="0" w:line="188" w:lineRule="exact"/>
              <w:rPr>
                <w:sz w:val="20"/>
                <w:szCs w:val="20"/>
                <w:color w:val="auto"/>
              </w:rPr>
            </w:pPr>
            <w:r>
              <w:rPr>
                <w:rFonts w:ascii="Calibri" w:cs="Calibri" w:eastAsia="Calibri" w:hAnsi="Calibri"/>
                <w:sz w:val="16"/>
                <w:szCs w:val="16"/>
                <w:color w:val="auto"/>
              </w:rPr>
              <w:t>2,940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line="188" w:lineRule="exact"/>
              <w:rPr>
                <w:sz w:val="20"/>
                <w:szCs w:val="20"/>
                <w:color w:val="auto"/>
              </w:rPr>
            </w:pPr>
            <w:r>
              <w:rPr>
                <w:rFonts w:ascii="Calibri" w:cs="Calibri" w:eastAsia="Calibri" w:hAnsi="Calibri"/>
                <w:sz w:val="16"/>
                <w:szCs w:val="16"/>
                <w:color w:val="auto"/>
                <w:w w:val="97"/>
              </w:rPr>
              <w:t>$</w:t>
            </w:r>
          </w:p>
        </w:tc>
        <w:tc>
          <w:tcPr>
            <w:tcW w:w="1120" w:type="dxa"/>
            <w:vAlign w:val="bottom"/>
            <w:tcBorders>
              <w:bottom w:val="single" w:sz="8" w:color="CCEEFF"/>
            </w:tcBorders>
            <w:shd w:val="clear" w:color="auto" w:fill="CCEEFF"/>
          </w:tcPr>
          <w:p>
            <w:pPr>
              <w:jc w:val="right"/>
              <w:spacing w:after="0" w:line="188" w:lineRule="exact"/>
              <w:rPr>
                <w:sz w:val="20"/>
                <w:szCs w:val="20"/>
                <w:color w:val="auto"/>
              </w:rPr>
            </w:pPr>
            <w:r>
              <w:rPr>
                <w:rFonts w:ascii="Calibri" w:cs="Calibri" w:eastAsia="Calibri" w:hAnsi="Calibri"/>
                <w:sz w:val="16"/>
                <w:szCs w:val="16"/>
                <w:color w:val="auto"/>
              </w:rPr>
              <w:t>350,016</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360"/>
              <w:spacing w:after="0" w:line="144" w:lineRule="exact"/>
              <w:rPr>
                <w:sz w:val="20"/>
                <w:szCs w:val="20"/>
                <w:color w:val="auto"/>
              </w:rPr>
            </w:pPr>
            <w:r>
              <w:rPr>
                <w:rFonts w:ascii="Calibri" w:cs="Calibri" w:eastAsia="Calibri" w:hAnsi="Calibri"/>
                <w:sz w:val="15"/>
                <w:szCs w:val="15"/>
                <w:color w:val="auto"/>
              </w:rPr>
              <w:t>Cash dividends declared and paid ($0.15 per</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5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580" w:type="dxa"/>
            <w:vAlign w:val="bottom"/>
          </w:tcPr>
          <w:p>
            <w:pPr>
              <w:ind w:left="360"/>
              <w:spacing w:after="0" w:line="193" w:lineRule="exact"/>
              <w:rPr>
                <w:sz w:val="20"/>
                <w:szCs w:val="20"/>
                <w:color w:val="auto"/>
              </w:rPr>
            </w:pPr>
            <w:r>
              <w:rPr>
                <w:rFonts w:ascii="Calibri" w:cs="Calibri" w:eastAsia="Calibri" w:hAnsi="Calibri"/>
                <w:sz w:val="16"/>
                <w:szCs w:val="16"/>
                <w:color w:val="auto"/>
              </w:rPr>
              <w:t>share)</w:t>
            </w:r>
          </w:p>
        </w:tc>
        <w:tc>
          <w:tcPr>
            <w:tcW w:w="12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(3,160)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(3,160)</w:t>
            </w:r>
          </w:p>
        </w:tc>
        <w:tc>
          <w:tcPr>
            <w:tcW w:w="0" w:type="dxa"/>
            <w:vAlign w:val="bottom"/>
          </w:tcPr>
          <w:p>
            <w:pPr>
              <w:spacing w:after="0"/>
              <w:rPr>
                <w:sz w:val="1"/>
                <w:szCs w:val="1"/>
                <w:color w:val="auto"/>
              </w:rPr>
            </w:pPr>
          </w:p>
        </w:tc>
      </w:tr>
      <w:tr>
        <w:trPr>
          <w:trHeight w:val="28"/>
        </w:trPr>
        <w:tc>
          <w:tcPr>
            <w:tcW w:w="3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Share-based compensaton expense</w:t>
            </w:r>
          </w:p>
        </w:tc>
        <w:tc>
          <w:tcPr>
            <w:tcW w:w="12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959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959</w:t>
            </w:r>
          </w:p>
        </w:tc>
        <w:tc>
          <w:tcPr>
            <w:tcW w:w="0" w:type="dxa"/>
            <w:vAlign w:val="bottom"/>
          </w:tcPr>
          <w:p>
            <w:pPr>
              <w:spacing w:after="0"/>
              <w:rPr>
                <w:sz w:val="1"/>
                <w:szCs w:val="1"/>
                <w:color w:val="auto"/>
              </w:rPr>
            </w:pPr>
          </w:p>
        </w:tc>
      </w:tr>
      <w:tr>
        <w:trPr>
          <w:trHeight w:val="193"/>
        </w:trPr>
        <w:tc>
          <w:tcPr>
            <w:tcW w:w="3580" w:type="dxa"/>
            <w:vAlign w:val="bottom"/>
          </w:tcPr>
          <w:p>
            <w:pPr>
              <w:ind w:left="360"/>
              <w:spacing w:after="0" w:line="193" w:lineRule="exact"/>
              <w:rPr>
                <w:sz w:val="20"/>
                <w:szCs w:val="20"/>
                <w:color w:val="auto"/>
              </w:rPr>
            </w:pPr>
            <w:r>
              <w:rPr>
                <w:rFonts w:ascii="Calibri" w:cs="Calibri" w:eastAsia="Calibri" w:hAnsi="Calibri"/>
                <w:sz w:val="16"/>
                <w:szCs w:val="16"/>
                <w:color w:val="auto"/>
              </w:rPr>
              <w:t>Vestng of restricted stock</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105,600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36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3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Shares surrendered for payroll taxes</w:t>
            </w:r>
          </w:p>
        </w:tc>
        <w:tc>
          <w:tcPr>
            <w:tcW w:w="11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(48,478)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(2,139)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(2,140)</w:t>
            </w:r>
          </w:p>
        </w:tc>
        <w:tc>
          <w:tcPr>
            <w:tcW w:w="0" w:type="dxa"/>
            <w:vAlign w:val="bottom"/>
          </w:tcPr>
          <w:p>
            <w:pPr>
              <w:spacing w:after="0"/>
              <w:rPr>
                <w:sz w:val="1"/>
                <w:szCs w:val="1"/>
                <w:color w:val="auto"/>
              </w:rPr>
            </w:pPr>
          </w:p>
        </w:tc>
      </w:tr>
      <w:tr>
        <w:trPr>
          <w:trHeight w:val="193"/>
        </w:trPr>
        <w:tc>
          <w:tcPr>
            <w:tcW w:w="3580" w:type="dxa"/>
            <w:vAlign w:val="bottom"/>
          </w:tcPr>
          <w:p>
            <w:pPr>
              <w:ind w:left="360"/>
              <w:spacing w:after="0" w:line="193" w:lineRule="exact"/>
              <w:rPr>
                <w:sz w:val="20"/>
                <w:szCs w:val="20"/>
                <w:color w:val="auto"/>
              </w:rPr>
            </w:pPr>
            <w:r>
              <w:rPr>
                <w:rFonts w:ascii="Calibri" w:cs="Calibri" w:eastAsia="Calibri" w:hAnsi="Calibri"/>
                <w:sz w:val="16"/>
                <w:szCs w:val="16"/>
                <w:color w:val="auto"/>
              </w:rPr>
              <w:t>ESPP shares issued</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35,281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980" w:type="dxa"/>
            <w:vAlign w:val="bottom"/>
          </w:tcPr>
          <w:p>
            <w:pPr>
              <w:jc w:val="right"/>
              <w:spacing w:after="0" w:line="193" w:lineRule="exact"/>
              <w:rPr>
                <w:sz w:val="20"/>
                <w:szCs w:val="20"/>
                <w:color w:val="auto"/>
              </w:rPr>
            </w:pPr>
            <w:r>
              <w:rPr>
                <w:rFonts w:ascii="Calibri" w:cs="Calibri" w:eastAsia="Calibri" w:hAnsi="Calibri"/>
                <w:sz w:val="16"/>
                <w:szCs w:val="16"/>
                <w:color w:val="auto"/>
              </w:rPr>
              <w:t>1,147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36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1,147</w:t>
            </w:r>
          </w:p>
        </w:tc>
        <w:tc>
          <w:tcPr>
            <w:tcW w:w="0" w:type="dxa"/>
            <w:vAlign w:val="bottom"/>
          </w:tcPr>
          <w:p>
            <w:pPr>
              <w:spacing w:after="0"/>
              <w:rPr>
                <w:sz w:val="1"/>
                <w:szCs w:val="1"/>
                <w:color w:val="auto"/>
              </w:rPr>
            </w:pPr>
          </w:p>
        </w:tc>
      </w:tr>
      <w:tr>
        <w:trPr>
          <w:trHeight w:val="23"/>
        </w:trPr>
        <w:tc>
          <w:tcPr>
            <w:tcW w:w="3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Other comprehensive income, net of tax</w:t>
            </w:r>
          </w:p>
        </w:tc>
        <w:tc>
          <w:tcPr>
            <w:tcW w:w="12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749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749</w:t>
            </w:r>
          </w:p>
        </w:tc>
        <w:tc>
          <w:tcPr>
            <w:tcW w:w="0" w:type="dxa"/>
            <w:vAlign w:val="bottom"/>
          </w:tcPr>
          <w:p>
            <w:pPr>
              <w:spacing w:after="0"/>
              <w:rPr>
                <w:sz w:val="1"/>
                <w:szCs w:val="1"/>
                <w:color w:val="auto"/>
              </w:rPr>
            </w:pPr>
          </w:p>
        </w:tc>
      </w:tr>
      <w:tr>
        <w:trPr>
          <w:trHeight w:val="193"/>
        </w:trPr>
        <w:tc>
          <w:tcPr>
            <w:tcW w:w="3580" w:type="dxa"/>
            <w:vAlign w:val="bottom"/>
          </w:tcPr>
          <w:p>
            <w:pPr>
              <w:ind w:left="360"/>
              <w:spacing w:after="0" w:line="193" w:lineRule="exact"/>
              <w:rPr>
                <w:sz w:val="20"/>
                <w:szCs w:val="20"/>
                <w:color w:val="auto"/>
              </w:rPr>
            </w:pPr>
            <w:r>
              <w:rPr>
                <w:rFonts w:ascii="Calibri" w:cs="Calibri" w:eastAsia="Calibri" w:hAnsi="Calibri"/>
                <w:sz w:val="16"/>
                <w:szCs w:val="16"/>
                <w:color w:val="auto"/>
              </w:rPr>
              <w:t>Net income</w:t>
            </w:r>
          </w:p>
        </w:tc>
        <w:tc>
          <w:tcPr>
            <w:tcW w:w="12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23,430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23,430</w:t>
            </w:r>
          </w:p>
        </w:tc>
        <w:tc>
          <w:tcPr>
            <w:tcW w:w="0" w:type="dxa"/>
            <w:vAlign w:val="bottom"/>
          </w:tcPr>
          <w:p>
            <w:pPr>
              <w:spacing w:after="0"/>
              <w:rPr>
                <w:sz w:val="1"/>
                <w:szCs w:val="1"/>
                <w:color w:val="auto"/>
              </w:rPr>
            </w:pPr>
          </w:p>
        </w:tc>
      </w:tr>
      <w:tr>
        <w:trPr>
          <w:trHeight w:val="23"/>
        </w:trPr>
        <w:tc>
          <w:tcPr>
            <w:tcW w:w="35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358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BALANCE — July 2, 2023</w:t>
            </w:r>
          </w:p>
        </w:tc>
        <w:tc>
          <w:tcPr>
            <w:tcW w:w="11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20,942,857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line="187" w:lineRule="exact"/>
              <w:rPr>
                <w:sz w:val="20"/>
                <w:szCs w:val="20"/>
                <w:color w:val="auto"/>
              </w:rPr>
            </w:pPr>
            <w:r>
              <w:rPr>
                <w:rFonts w:ascii="Calibri" w:cs="Calibri" w:eastAsia="Calibri" w:hAnsi="Calibri"/>
                <w:sz w:val="16"/>
                <w:szCs w:val="16"/>
                <w:color w:val="auto"/>
                <w:w w:val="97"/>
              </w:rPr>
              <w:t>$</w:t>
            </w:r>
          </w:p>
        </w:tc>
        <w:tc>
          <w:tcPr>
            <w:tcW w:w="9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44,409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322,694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2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3,689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1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371,001</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360"/>
              <w:spacing w:after="0" w:line="144" w:lineRule="exact"/>
              <w:rPr>
                <w:sz w:val="20"/>
                <w:szCs w:val="20"/>
                <w:color w:val="auto"/>
              </w:rPr>
            </w:pPr>
            <w:r>
              <w:rPr>
                <w:rFonts w:ascii="Calibri" w:cs="Calibri" w:eastAsia="Calibri" w:hAnsi="Calibri"/>
                <w:sz w:val="15"/>
                <w:szCs w:val="15"/>
                <w:color w:val="auto"/>
              </w:rPr>
              <w:t>Cash dividends declared and paid ($0.16 per</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5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580" w:type="dxa"/>
            <w:vAlign w:val="bottom"/>
          </w:tcPr>
          <w:p>
            <w:pPr>
              <w:ind w:left="360"/>
              <w:spacing w:after="0" w:line="193" w:lineRule="exact"/>
              <w:rPr>
                <w:sz w:val="20"/>
                <w:szCs w:val="20"/>
                <w:color w:val="auto"/>
              </w:rPr>
            </w:pPr>
            <w:r>
              <w:rPr>
                <w:rFonts w:ascii="Calibri" w:cs="Calibri" w:eastAsia="Calibri" w:hAnsi="Calibri"/>
                <w:sz w:val="16"/>
                <w:szCs w:val="16"/>
                <w:color w:val="auto"/>
              </w:rPr>
              <w:t>share)</w:t>
            </w:r>
          </w:p>
        </w:tc>
        <w:tc>
          <w:tcPr>
            <w:tcW w:w="12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(3,375)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(3,375)</w:t>
            </w:r>
          </w:p>
        </w:tc>
        <w:tc>
          <w:tcPr>
            <w:tcW w:w="0" w:type="dxa"/>
            <w:vAlign w:val="bottom"/>
          </w:tcPr>
          <w:p>
            <w:pPr>
              <w:spacing w:after="0"/>
              <w:rPr>
                <w:sz w:val="1"/>
                <w:szCs w:val="1"/>
                <w:color w:val="auto"/>
              </w:rPr>
            </w:pPr>
          </w:p>
        </w:tc>
      </w:tr>
      <w:tr>
        <w:trPr>
          <w:trHeight w:val="28"/>
        </w:trPr>
        <w:tc>
          <w:tcPr>
            <w:tcW w:w="3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Share-based compensaton expense</w:t>
            </w:r>
          </w:p>
        </w:tc>
        <w:tc>
          <w:tcPr>
            <w:tcW w:w="12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1,260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1,260</w:t>
            </w:r>
          </w:p>
        </w:tc>
        <w:tc>
          <w:tcPr>
            <w:tcW w:w="0" w:type="dxa"/>
            <w:vAlign w:val="bottom"/>
          </w:tcPr>
          <w:p>
            <w:pPr>
              <w:spacing w:after="0"/>
              <w:rPr>
                <w:sz w:val="1"/>
                <w:szCs w:val="1"/>
                <w:color w:val="auto"/>
              </w:rPr>
            </w:pPr>
          </w:p>
        </w:tc>
      </w:tr>
      <w:tr>
        <w:trPr>
          <w:trHeight w:val="193"/>
        </w:trPr>
        <w:tc>
          <w:tcPr>
            <w:tcW w:w="3580" w:type="dxa"/>
            <w:vAlign w:val="bottom"/>
          </w:tcPr>
          <w:p>
            <w:pPr>
              <w:ind w:left="360"/>
              <w:spacing w:after="0" w:line="193" w:lineRule="exact"/>
              <w:rPr>
                <w:sz w:val="20"/>
                <w:szCs w:val="20"/>
                <w:color w:val="auto"/>
              </w:rPr>
            </w:pPr>
            <w:r>
              <w:rPr>
                <w:rFonts w:ascii="Calibri" w:cs="Calibri" w:eastAsia="Calibri" w:hAnsi="Calibri"/>
                <w:sz w:val="16"/>
                <w:szCs w:val="16"/>
                <w:color w:val="auto"/>
              </w:rPr>
              <w:t>Vestng of restricted stock</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12,565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36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3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Shares repurchased</w:t>
            </w:r>
          </w:p>
        </w:tc>
        <w:tc>
          <w:tcPr>
            <w:tcW w:w="11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(167,796)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(9,751)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(9,752)</w:t>
            </w:r>
          </w:p>
        </w:tc>
        <w:tc>
          <w:tcPr>
            <w:tcW w:w="0" w:type="dxa"/>
            <w:vAlign w:val="bottom"/>
          </w:tcPr>
          <w:p>
            <w:pPr>
              <w:spacing w:after="0"/>
              <w:rPr>
                <w:sz w:val="1"/>
                <w:szCs w:val="1"/>
                <w:color w:val="auto"/>
              </w:rPr>
            </w:pPr>
          </w:p>
        </w:tc>
      </w:tr>
      <w:tr>
        <w:trPr>
          <w:trHeight w:val="193"/>
        </w:trPr>
        <w:tc>
          <w:tcPr>
            <w:tcW w:w="3580" w:type="dxa"/>
            <w:vAlign w:val="bottom"/>
          </w:tcPr>
          <w:p>
            <w:pPr>
              <w:ind w:left="360"/>
              <w:spacing w:after="0" w:line="193" w:lineRule="exact"/>
              <w:rPr>
                <w:sz w:val="20"/>
                <w:szCs w:val="20"/>
                <w:color w:val="auto"/>
              </w:rPr>
            </w:pPr>
            <w:r>
              <w:rPr>
                <w:rFonts w:ascii="Calibri" w:cs="Calibri" w:eastAsia="Calibri" w:hAnsi="Calibri"/>
                <w:sz w:val="16"/>
                <w:szCs w:val="16"/>
                <w:color w:val="auto"/>
              </w:rPr>
              <w:t>Other comprehensive income, net of tax</w:t>
            </w:r>
          </w:p>
        </w:tc>
        <w:tc>
          <w:tcPr>
            <w:tcW w:w="12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240" w:type="dxa"/>
            <w:vAlign w:val="bottom"/>
          </w:tcPr>
          <w:p>
            <w:pPr>
              <w:jc w:val="right"/>
              <w:spacing w:after="0" w:line="193" w:lineRule="exact"/>
              <w:rPr>
                <w:sz w:val="20"/>
                <w:szCs w:val="20"/>
                <w:color w:val="auto"/>
              </w:rPr>
            </w:pPr>
            <w:r>
              <w:rPr>
                <w:rFonts w:ascii="Calibri" w:cs="Calibri" w:eastAsia="Calibri" w:hAnsi="Calibri"/>
                <w:sz w:val="16"/>
                <w:szCs w:val="16"/>
                <w:color w:val="auto"/>
              </w:rPr>
              <w:t>306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306</w:t>
            </w:r>
          </w:p>
        </w:tc>
        <w:tc>
          <w:tcPr>
            <w:tcW w:w="0" w:type="dxa"/>
            <w:vAlign w:val="bottom"/>
          </w:tcPr>
          <w:p>
            <w:pPr>
              <w:spacing w:after="0"/>
              <w:rPr>
                <w:sz w:val="1"/>
                <w:szCs w:val="1"/>
                <w:color w:val="auto"/>
              </w:rPr>
            </w:pPr>
          </w:p>
        </w:tc>
      </w:tr>
      <w:tr>
        <w:trPr>
          <w:trHeight w:val="23"/>
        </w:trPr>
        <w:tc>
          <w:tcPr>
            <w:tcW w:w="3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Net income</w:t>
            </w:r>
          </w:p>
        </w:tc>
        <w:tc>
          <w:tcPr>
            <w:tcW w:w="12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23,216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23,216</w:t>
            </w:r>
          </w:p>
        </w:tc>
        <w:tc>
          <w:tcPr>
            <w:tcW w:w="0" w:type="dxa"/>
            <w:vAlign w:val="bottom"/>
          </w:tcPr>
          <w:p>
            <w:pPr>
              <w:spacing w:after="0"/>
              <w:rPr>
                <w:sz w:val="1"/>
                <w:szCs w:val="1"/>
                <w:color w:val="auto"/>
              </w:rPr>
            </w:pPr>
          </w:p>
        </w:tc>
      </w:tr>
      <w:tr>
        <w:trPr>
          <w:trHeight w:val="187"/>
        </w:trPr>
        <w:tc>
          <w:tcPr>
            <w:tcW w:w="3580" w:type="dxa"/>
            <w:vAlign w:val="bottom"/>
          </w:tcPr>
          <w:p>
            <w:pPr>
              <w:ind w:left="20"/>
              <w:spacing w:after="0" w:line="174" w:lineRule="exact"/>
              <w:rPr>
                <w:sz w:val="20"/>
                <w:szCs w:val="20"/>
                <w:color w:val="auto"/>
              </w:rPr>
            </w:pPr>
            <w:r>
              <w:rPr>
                <w:rFonts w:ascii="Calibri" w:cs="Calibri" w:eastAsia="Calibri" w:hAnsi="Calibri"/>
                <w:sz w:val="16"/>
                <w:szCs w:val="16"/>
                <w:color w:val="auto"/>
              </w:rPr>
              <w:t>BALANCE — October 1, 2023</w:t>
            </w: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20,787,626</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19"/>
              <w:spacing w:after="0" w:line="187" w:lineRule="exact"/>
              <w:rPr>
                <w:sz w:val="20"/>
                <w:szCs w:val="20"/>
                <w:color w:val="auto"/>
              </w:rPr>
            </w:pPr>
            <w:r>
              <w:rPr>
                <w:rFonts w:ascii="Calibri" w:cs="Calibri" w:eastAsia="Calibri" w:hAnsi="Calibri"/>
                <w:sz w:val="16"/>
                <w:szCs w:val="16"/>
                <w:color w:val="auto"/>
                <w:w w:val="97"/>
              </w:rPr>
              <w:t>$</w:t>
            </w:r>
          </w:p>
        </w:tc>
        <w:tc>
          <w:tcPr>
            <w:tcW w:w="9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208</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35,918</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342,535</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2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3,995</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1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382,656</w:t>
            </w:r>
          </w:p>
        </w:tc>
        <w:tc>
          <w:tcPr>
            <w:tcW w:w="0" w:type="dxa"/>
            <w:vAlign w:val="bottom"/>
          </w:tcPr>
          <w:p>
            <w:pPr>
              <w:spacing w:after="0"/>
              <w:rPr>
                <w:sz w:val="1"/>
                <w:szCs w:val="1"/>
                <w:color w:val="auto"/>
              </w:rPr>
            </w:pPr>
          </w:p>
        </w:tc>
      </w:tr>
      <w:tr>
        <w:trPr>
          <w:trHeight w:val="23"/>
        </w:trPr>
        <w:tc>
          <w:tcPr>
            <w:tcW w:w="3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shd w:val="clear" w:color="auto" w:fill="CCEEFF"/>
          </w:tcPr>
          <w:p>
            <w:pPr>
              <w:ind w:left="360"/>
              <w:spacing w:after="0" w:line="124" w:lineRule="exact"/>
              <w:rPr>
                <w:sz w:val="20"/>
                <w:szCs w:val="20"/>
                <w:color w:val="auto"/>
              </w:rPr>
            </w:pPr>
            <w:r>
              <w:rPr>
                <w:rFonts w:ascii="Calibri" w:cs="Calibri" w:eastAsia="Calibri" w:hAnsi="Calibri"/>
                <w:sz w:val="13"/>
                <w:szCs w:val="13"/>
                <w:color w:val="auto"/>
              </w:rPr>
              <w:t>Cash dividends declared and paid ($0.16 per</w:t>
            </w: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35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w:t>
            </w:r>
          </w:p>
        </w:tc>
        <w:tc>
          <w:tcPr>
            <w:tcW w:w="12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(3,351)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(3,351)</w:t>
            </w:r>
          </w:p>
        </w:tc>
        <w:tc>
          <w:tcPr>
            <w:tcW w:w="0" w:type="dxa"/>
            <w:vAlign w:val="bottom"/>
          </w:tcPr>
          <w:p>
            <w:pPr>
              <w:spacing w:after="0"/>
              <w:rPr>
                <w:sz w:val="1"/>
                <w:szCs w:val="1"/>
                <w:color w:val="auto"/>
              </w:rPr>
            </w:pPr>
          </w:p>
        </w:tc>
      </w:tr>
      <w:tr>
        <w:trPr>
          <w:trHeight w:val="193"/>
        </w:trPr>
        <w:tc>
          <w:tcPr>
            <w:tcW w:w="3580" w:type="dxa"/>
            <w:vAlign w:val="bottom"/>
          </w:tcPr>
          <w:p>
            <w:pPr>
              <w:ind w:left="360"/>
              <w:spacing w:after="0" w:line="193" w:lineRule="exact"/>
              <w:rPr>
                <w:sz w:val="20"/>
                <w:szCs w:val="20"/>
                <w:color w:val="auto"/>
              </w:rPr>
            </w:pPr>
            <w:r>
              <w:rPr>
                <w:rFonts w:ascii="Calibri" w:cs="Calibri" w:eastAsia="Calibri" w:hAnsi="Calibri"/>
                <w:sz w:val="16"/>
                <w:szCs w:val="16"/>
                <w:color w:val="auto"/>
              </w:rPr>
              <w:t>Share-based compensaton expense</w:t>
            </w:r>
          </w:p>
        </w:tc>
        <w:tc>
          <w:tcPr>
            <w:tcW w:w="12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980" w:type="dxa"/>
            <w:vAlign w:val="bottom"/>
          </w:tcPr>
          <w:p>
            <w:pPr>
              <w:jc w:val="right"/>
              <w:spacing w:after="0" w:line="193" w:lineRule="exact"/>
              <w:rPr>
                <w:sz w:val="20"/>
                <w:szCs w:val="20"/>
                <w:color w:val="auto"/>
              </w:rPr>
            </w:pPr>
            <w:r>
              <w:rPr>
                <w:rFonts w:ascii="Calibri" w:cs="Calibri" w:eastAsia="Calibri" w:hAnsi="Calibri"/>
                <w:sz w:val="16"/>
                <w:szCs w:val="16"/>
                <w:color w:val="auto"/>
              </w:rPr>
              <w:t>1,287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36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1,287</w:t>
            </w:r>
          </w:p>
        </w:tc>
        <w:tc>
          <w:tcPr>
            <w:tcW w:w="0" w:type="dxa"/>
            <w:vAlign w:val="bottom"/>
          </w:tcPr>
          <w:p>
            <w:pPr>
              <w:spacing w:after="0"/>
              <w:rPr>
                <w:sz w:val="1"/>
                <w:szCs w:val="1"/>
                <w:color w:val="auto"/>
              </w:rPr>
            </w:pPr>
          </w:p>
        </w:tc>
      </w:tr>
      <w:tr>
        <w:trPr>
          <w:trHeight w:val="23"/>
        </w:trPr>
        <w:tc>
          <w:tcPr>
            <w:tcW w:w="3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ESPP shares issued</w:t>
            </w:r>
          </w:p>
        </w:tc>
        <w:tc>
          <w:tcPr>
            <w:tcW w:w="11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26,731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1,096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1,096</w:t>
            </w:r>
          </w:p>
        </w:tc>
        <w:tc>
          <w:tcPr>
            <w:tcW w:w="0" w:type="dxa"/>
            <w:vAlign w:val="bottom"/>
          </w:tcPr>
          <w:p>
            <w:pPr>
              <w:spacing w:after="0"/>
              <w:rPr>
                <w:sz w:val="1"/>
                <w:szCs w:val="1"/>
                <w:color w:val="auto"/>
              </w:rPr>
            </w:pPr>
          </w:p>
        </w:tc>
      </w:tr>
      <w:tr>
        <w:trPr>
          <w:trHeight w:val="193"/>
        </w:trPr>
        <w:tc>
          <w:tcPr>
            <w:tcW w:w="3580" w:type="dxa"/>
            <w:vAlign w:val="bottom"/>
          </w:tcPr>
          <w:p>
            <w:pPr>
              <w:ind w:left="360"/>
              <w:spacing w:after="0" w:line="193" w:lineRule="exact"/>
              <w:rPr>
                <w:sz w:val="20"/>
                <w:szCs w:val="20"/>
                <w:color w:val="auto"/>
              </w:rPr>
            </w:pPr>
            <w:r>
              <w:rPr>
                <w:rFonts w:ascii="Calibri" w:cs="Calibri" w:eastAsia="Calibri" w:hAnsi="Calibri"/>
                <w:sz w:val="16"/>
                <w:szCs w:val="16"/>
                <w:color w:val="auto"/>
              </w:rPr>
              <w:t>Shares repurchased</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(24,065)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980" w:type="dxa"/>
            <w:vAlign w:val="bottom"/>
          </w:tcPr>
          <w:p>
            <w:pPr>
              <w:jc w:val="right"/>
              <w:spacing w:after="0" w:line="193" w:lineRule="exact"/>
              <w:rPr>
                <w:sz w:val="20"/>
                <w:szCs w:val="20"/>
                <w:color w:val="auto"/>
              </w:rPr>
            </w:pPr>
            <w:r>
              <w:rPr>
                <w:rFonts w:ascii="Calibri" w:cs="Calibri" w:eastAsia="Calibri" w:hAnsi="Calibri"/>
                <w:sz w:val="16"/>
                <w:szCs w:val="16"/>
                <w:color w:val="auto"/>
              </w:rPr>
              <w:t>(1,520)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36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(1,520)</w:t>
            </w:r>
          </w:p>
        </w:tc>
        <w:tc>
          <w:tcPr>
            <w:tcW w:w="0" w:type="dxa"/>
            <w:vAlign w:val="bottom"/>
          </w:tcPr>
          <w:p>
            <w:pPr>
              <w:spacing w:after="0"/>
              <w:rPr>
                <w:sz w:val="1"/>
                <w:szCs w:val="1"/>
                <w:color w:val="auto"/>
              </w:rPr>
            </w:pPr>
          </w:p>
        </w:tc>
      </w:tr>
      <w:tr>
        <w:trPr>
          <w:trHeight w:val="23"/>
        </w:trPr>
        <w:tc>
          <w:tcPr>
            <w:tcW w:w="3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Other comprehensive income, net of tax</w:t>
            </w:r>
          </w:p>
        </w:tc>
        <w:tc>
          <w:tcPr>
            <w:tcW w:w="12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(1,299)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(1,299)</w:t>
            </w:r>
          </w:p>
        </w:tc>
        <w:tc>
          <w:tcPr>
            <w:tcW w:w="0" w:type="dxa"/>
            <w:vAlign w:val="bottom"/>
          </w:tcPr>
          <w:p>
            <w:pPr>
              <w:spacing w:after="0"/>
              <w:rPr>
                <w:sz w:val="1"/>
                <w:szCs w:val="1"/>
                <w:color w:val="auto"/>
              </w:rPr>
            </w:pPr>
          </w:p>
        </w:tc>
      </w:tr>
      <w:tr>
        <w:trPr>
          <w:trHeight w:val="194"/>
        </w:trPr>
        <w:tc>
          <w:tcPr>
            <w:tcW w:w="3580" w:type="dxa"/>
            <w:vAlign w:val="bottom"/>
          </w:tcPr>
          <w:p>
            <w:pPr>
              <w:ind w:left="360"/>
              <w:spacing w:after="0" w:line="193" w:lineRule="exact"/>
              <w:rPr>
                <w:sz w:val="20"/>
                <w:szCs w:val="20"/>
                <w:color w:val="auto"/>
              </w:rPr>
            </w:pPr>
            <w:r>
              <w:rPr>
                <w:rFonts w:ascii="Calibri" w:cs="Calibri" w:eastAsia="Calibri" w:hAnsi="Calibri"/>
                <w:sz w:val="16"/>
                <w:szCs w:val="16"/>
                <w:color w:val="auto"/>
              </w:rPr>
              <w:t>Net income</w:t>
            </w:r>
          </w:p>
        </w:tc>
        <w:tc>
          <w:tcPr>
            <w:tcW w:w="12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14,885</w:t>
            </w:r>
          </w:p>
        </w:tc>
        <w:tc>
          <w:tcPr>
            <w:tcW w:w="100" w:type="dxa"/>
            <w:vAlign w:val="bottom"/>
          </w:tcPr>
          <w:p>
            <w:pPr>
              <w:spacing w:after="0"/>
              <w:rPr>
                <w:sz w:val="16"/>
                <w:szCs w:val="16"/>
                <w:color w:val="auto"/>
              </w:rPr>
            </w:pPr>
          </w:p>
        </w:tc>
        <w:tc>
          <w:tcPr>
            <w:tcW w:w="140" w:type="dxa"/>
            <w:vAlign w:val="bottom"/>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36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14,885</w:t>
            </w:r>
          </w:p>
        </w:tc>
        <w:tc>
          <w:tcPr>
            <w:tcW w:w="0" w:type="dxa"/>
            <w:vAlign w:val="bottom"/>
          </w:tcPr>
          <w:p>
            <w:pPr>
              <w:spacing w:after="0"/>
              <w:rPr>
                <w:sz w:val="1"/>
                <w:szCs w:val="1"/>
                <w:color w:val="auto"/>
              </w:rPr>
            </w:pPr>
          </w:p>
        </w:tc>
      </w:tr>
      <w:tr>
        <w:trPr>
          <w:trHeight w:val="22"/>
        </w:trPr>
        <w:tc>
          <w:tcPr>
            <w:tcW w:w="35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358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BALANCE — December 31, 2023</w:t>
            </w:r>
          </w:p>
        </w:tc>
        <w:tc>
          <w:tcPr>
            <w:tcW w:w="11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20,790,292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line="187" w:lineRule="exact"/>
              <w:rPr>
                <w:sz w:val="20"/>
                <w:szCs w:val="20"/>
                <w:color w:val="auto"/>
              </w:rPr>
            </w:pPr>
            <w:r>
              <w:rPr>
                <w:rFonts w:ascii="Calibri" w:cs="Calibri" w:eastAsia="Calibri" w:hAnsi="Calibri"/>
                <w:sz w:val="16"/>
                <w:szCs w:val="16"/>
                <w:color w:val="auto"/>
                <w:w w:val="97"/>
              </w:rPr>
              <w:t>$</w:t>
            </w:r>
          </w:p>
        </w:tc>
        <w:tc>
          <w:tcPr>
            <w:tcW w:w="9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36,781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354,069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2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2,696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1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393,754</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See accompanying notes to condensed consolidated fnancial statements.</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7" w:right="359" w:bottom="1440" w:gutter="0" w:footer="0" w:header="0"/>
        </w:sectPr>
      </w:pPr>
    </w:p>
    <w:bookmarkStart w:id="7" w:name="page8"/>
    <w:bookmarkEnd w:id="7"/>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CONDENSED CONSOLIDATED STATEMENTS OF CASH FLOWS (UNAUDITED)</w:t>
      </w:r>
    </w:p>
    <w:p>
      <w:pPr>
        <w:spacing w:after="0" w:line="233" w:lineRule="auto"/>
        <w:rPr>
          <w:sz w:val="20"/>
          <w:szCs w:val="20"/>
          <w:color w:val="auto"/>
        </w:rPr>
      </w:pPr>
      <w:r>
        <w:rPr>
          <w:rFonts w:ascii="Calibri" w:cs="Calibri" w:eastAsia="Calibri" w:hAnsi="Calibri"/>
          <w:sz w:val="14"/>
          <w:szCs w:val="14"/>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4"/>
          </w:tcPr>
          <w:p>
            <w:pPr>
              <w:jc w:val="right"/>
              <w:ind w:right="839"/>
              <w:spacing w:after="0"/>
              <w:rPr>
                <w:sz w:val="20"/>
                <w:szCs w:val="20"/>
                <w:color w:val="auto"/>
              </w:rPr>
            </w:pPr>
            <w:r>
              <w:rPr>
                <w:rFonts w:ascii="Calibri" w:cs="Calibri" w:eastAsia="Calibri" w:hAnsi="Calibri"/>
                <w:sz w:val="16"/>
                <w:szCs w:val="16"/>
                <w:b w:val="1"/>
                <w:bCs w:val="1"/>
                <w:color w:val="auto"/>
              </w:rPr>
              <w:t>Nine Months Ended</w:t>
            </w:r>
          </w:p>
        </w:tc>
      </w:tr>
      <w:tr>
        <w:trPr>
          <w:trHeight w:val="28"/>
        </w:trPr>
        <w:tc>
          <w:tcPr>
            <w:tcW w:w="8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51"/>
        </w:trPr>
        <w:tc>
          <w:tcPr>
            <w:tcW w:w="8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ind w:left="100"/>
              <w:spacing w:after="0" w:line="150" w:lineRule="exact"/>
              <w:rPr>
                <w:sz w:val="20"/>
                <w:szCs w:val="20"/>
                <w:color w:val="auto"/>
              </w:rPr>
            </w:pPr>
            <w:r>
              <w:rPr>
                <w:rFonts w:ascii="Calibri" w:cs="Calibri" w:eastAsia="Calibri" w:hAnsi="Calibri"/>
                <w:sz w:val="16"/>
                <w:szCs w:val="16"/>
                <w:b w:val="1"/>
                <w:bCs w:val="1"/>
                <w:color w:val="auto"/>
              </w:rPr>
              <w:t>December 29,</w:t>
            </w:r>
          </w:p>
        </w:tc>
        <w:tc>
          <w:tcPr>
            <w:tcW w:w="200" w:type="dxa"/>
            <w:vAlign w:val="bottom"/>
          </w:tcPr>
          <w:p>
            <w:pPr>
              <w:spacing w:after="0"/>
              <w:rPr>
                <w:sz w:val="13"/>
                <w:szCs w:val="13"/>
                <w:color w:val="auto"/>
              </w:rPr>
            </w:pPr>
          </w:p>
        </w:tc>
        <w:tc>
          <w:tcPr>
            <w:tcW w:w="1280" w:type="dxa"/>
            <w:vAlign w:val="bottom"/>
          </w:tcPr>
          <w:p>
            <w:pPr>
              <w:jc w:val="right"/>
              <w:ind w:right="179"/>
              <w:spacing w:after="0" w:line="150" w:lineRule="exact"/>
              <w:rPr>
                <w:sz w:val="20"/>
                <w:szCs w:val="20"/>
                <w:color w:val="auto"/>
              </w:rPr>
            </w:pPr>
            <w:r>
              <w:rPr>
                <w:rFonts w:ascii="Calibri" w:cs="Calibri" w:eastAsia="Calibri" w:hAnsi="Calibri"/>
                <w:sz w:val="16"/>
                <w:szCs w:val="16"/>
                <w:b w:val="1"/>
                <w:bCs w:val="1"/>
                <w:color w:val="auto"/>
              </w:rPr>
              <w:t>December 31,</w:t>
            </w:r>
          </w:p>
        </w:tc>
      </w:tr>
      <w:tr>
        <w:trPr>
          <w:trHeight w:val="193"/>
        </w:trPr>
        <w:tc>
          <w:tcPr>
            <w:tcW w:w="8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539"/>
              <w:spacing w:after="0" w:line="193" w:lineRule="exact"/>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499"/>
              <w:spacing w:after="0" w:line="193" w:lineRule="exact"/>
              <w:rPr>
                <w:sz w:val="20"/>
                <w:szCs w:val="20"/>
                <w:color w:val="auto"/>
              </w:rPr>
            </w:pPr>
            <w:r>
              <w:rPr>
                <w:rFonts w:ascii="Calibri" w:cs="Calibri" w:eastAsia="Calibri" w:hAnsi="Calibri"/>
                <w:sz w:val="16"/>
                <w:szCs w:val="16"/>
                <w:b w:val="1"/>
                <w:bCs w:val="1"/>
                <w:color w:val="auto"/>
              </w:rPr>
              <w:t>2023</w:t>
            </w:r>
          </w:p>
        </w:tc>
      </w:tr>
      <w:tr>
        <w:trPr>
          <w:trHeight w:val="28"/>
        </w:trPr>
        <w:tc>
          <w:tcPr>
            <w:tcW w:w="8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6"/>
        </w:trPr>
        <w:tc>
          <w:tcPr>
            <w:tcW w:w="808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CASH FLOWS FROM OPERATING ACTIVITIES:</w:t>
            </w:r>
          </w:p>
        </w:tc>
        <w:tc>
          <w:tcPr>
            <w:tcW w:w="2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Net income</w:t>
            </w:r>
          </w:p>
        </w:tc>
        <w:tc>
          <w:tcPr>
            <w:tcW w:w="22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68,018</w:t>
            </w:r>
          </w:p>
        </w:tc>
        <w:tc>
          <w:tcPr>
            <w:tcW w:w="100" w:type="dxa"/>
            <w:vAlign w:val="bottom"/>
          </w:tcPr>
          <w:p>
            <w:pPr>
              <w:spacing w:after="0"/>
              <w:rPr>
                <w:sz w:val="16"/>
                <w:szCs w:val="16"/>
                <w:color w:val="auto"/>
              </w:rPr>
            </w:pPr>
          </w:p>
        </w:tc>
        <w:tc>
          <w:tcPr>
            <w:tcW w:w="2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61,531</w:t>
            </w: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Reconciliaton to cash fows:</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Depreciaton and amortzaton</w:t>
            </w:r>
          </w:p>
        </w:tc>
        <w:tc>
          <w:tcPr>
            <w:tcW w:w="2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29,368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22,849</w:t>
            </w: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Change in fair value of earnout liability</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1,027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Operatng leases</w:t>
            </w:r>
          </w:p>
        </w:tc>
        <w:tc>
          <w:tcPr>
            <w:tcW w:w="2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2,557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1,884</w:t>
            </w: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Gain on deferred compensaton assets</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(1,268)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(901)</w:t>
            </w: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Stock compensaton expense</w:t>
            </w:r>
          </w:p>
        </w:tc>
        <w:tc>
          <w:tcPr>
            <w:tcW w:w="2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5,022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3,506</w:t>
            </w: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Other</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70</w:t>
            </w: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Changes in operatng accounts providing (using) cash:</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Trade receivables</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6,157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22,500</w:t>
            </w:r>
          </w:p>
        </w:tc>
      </w:tr>
      <w:tr>
        <w:trPr>
          <w:trHeight w:val="193"/>
        </w:trPr>
        <w:tc>
          <w:tcPr>
            <w:tcW w:w="8080" w:type="dxa"/>
            <w:vAlign w:val="bottom"/>
          </w:tcPr>
          <w:p>
            <w:pPr>
              <w:ind w:left="1120"/>
              <w:spacing w:after="0" w:line="193" w:lineRule="exact"/>
              <w:rPr>
                <w:sz w:val="20"/>
                <w:szCs w:val="20"/>
                <w:color w:val="auto"/>
              </w:rPr>
            </w:pPr>
            <w:r>
              <w:rPr>
                <w:rFonts w:ascii="Calibri" w:cs="Calibri" w:eastAsia="Calibri" w:hAnsi="Calibri"/>
                <w:sz w:val="16"/>
                <w:szCs w:val="16"/>
                <w:color w:val="auto"/>
              </w:rPr>
              <w:t>Inventories</w:t>
            </w:r>
          </w:p>
        </w:tc>
        <w:tc>
          <w:tcPr>
            <w:tcW w:w="2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(5,682)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25,665</w:t>
            </w: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Accounts payable</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(16,026)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(14,334)</w:t>
            </w:r>
          </w:p>
        </w:tc>
      </w:tr>
      <w:tr>
        <w:trPr>
          <w:trHeight w:val="193"/>
        </w:trPr>
        <w:tc>
          <w:tcPr>
            <w:tcW w:w="8080" w:type="dxa"/>
            <w:vAlign w:val="bottom"/>
          </w:tcPr>
          <w:p>
            <w:pPr>
              <w:ind w:left="1120"/>
              <w:spacing w:after="0" w:line="193" w:lineRule="exact"/>
              <w:rPr>
                <w:sz w:val="20"/>
                <w:szCs w:val="20"/>
                <w:color w:val="auto"/>
              </w:rPr>
            </w:pPr>
            <w:r>
              <w:rPr>
                <w:rFonts w:ascii="Calibri" w:cs="Calibri" w:eastAsia="Calibri" w:hAnsi="Calibri"/>
                <w:sz w:val="16"/>
                <w:szCs w:val="16"/>
                <w:color w:val="auto"/>
              </w:rPr>
              <w:t>Accrued liabilites</w:t>
            </w:r>
          </w:p>
        </w:tc>
        <w:tc>
          <w:tcPr>
            <w:tcW w:w="2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(1,698)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(610)</w:t>
            </w: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Lease liabilites</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(2,565)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(1,804)</w:t>
            </w:r>
          </w:p>
        </w:tc>
      </w:tr>
      <w:tr>
        <w:trPr>
          <w:trHeight w:val="193"/>
        </w:trPr>
        <w:tc>
          <w:tcPr>
            <w:tcW w:w="8080" w:type="dxa"/>
            <w:vAlign w:val="bottom"/>
          </w:tcPr>
          <w:p>
            <w:pPr>
              <w:ind w:left="1120"/>
              <w:spacing w:after="0" w:line="193" w:lineRule="exact"/>
              <w:rPr>
                <w:sz w:val="20"/>
                <w:szCs w:val="20"/>
                <w:color w:val="auto"/>
              </w:rPr>
            </w:pPr>
            <w:r>
              <w:rPr>
                <w:rFonts w:ascii="Calibri" w:cs="Calibri" w:eastAsia="Calibri" w:hAnsi="Calibri"/>
                <w:sz w:val="16"/>
                <w:szCs w:val="16"/>
                <w:color w:val="auto"/>
              </w:rPr>
              <w:t>Income taxes</w:t>
            </w:r>
          </w:p>
        </w:tc>
        <w:tc>
          <w:tcPr>
            <w:tcW w:w="2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(2,636)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(1,824)</w:t>
            </w: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Other</w:t>
            </w: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(2,018)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(922)</w:t>
            </w:r>
          </w:p>
        </w:tc>
      </w:tr>
      <w:tr>
        <w:trPr>
          <w:trHeight w:val="187"/>
        </w:trPr>
        <w:tc>
          <w:tcPr>
            <w:tcW w:w="8080" w:type="dxa"/>
            <w:vAlign w:val="bottom"/>
          </w:tcPr>
          <w:p>
            <w:pPr>
              <w:ind w:left="1440"/>
              <w:spacing w:after="0" w:line="174" w:lineRule="exact"/>
              <w:rPr>
                <w:sz w:val="20"/>
                <w:szCs w:val="20"/>
                <w:color w:val="auto"/>
              </w:rPr>
            </w:pPr>
            <w:r>
              <w:rPr>
                <w:rFonts w:ascii="Calibri" w:cs="Calibri" w:eastAsia="Calibri" w:hAnsi="Calibri"/>
                <w:sz w:val="16"/>
                <w:szCs w:val="16"/>
                <w:color w:val="auto"/>
              </w:rPr>
              <w:t>Net cash provided by operatng actvites</w:t>
            </w: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80,252</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117,610</w:t>
            </w: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CASH FLOWS FROM INVESTING ACTIVITIES:</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Purchases of property, plant, and equipment</w:t>
            </w:r>
          </w:p>
        </w:tc>
        <w:tc>
          <w:tcPr>
            <w:tcW w:w="2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(30,008)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(28,248)</w:t>
            </w: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Acquisitons</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(43,400)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(78,855)</w:t>
            </w: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Other</w:t>
            </w:r>
          </w:p>
        </w:tc>
        <w:tc>
          <w:tcPr>
            <w:tcW w:w="2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586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723</w:t>
            </w:r>
          </w:p>
        </w:tc>
      </w:tr>
      <w:tr>
        <w:trPr>
          <w:trHeight w:val="23"/>
        </w:trPr>
        <w:tc>
          <w:tcPr>
            <w:tcW w:w="8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0"/>
        </w:trPr>
        <w:tc>
          <w:tcPr>
            <w:tcW w:w="8080" w:type="dxa"/>
            <w:vAlign w:val="bottom"/>
            <w:tcBorders>
              <w:bottom w:val="single" w:sz="8" w:color="CCEEFF"/>
            </w:tcBorders>
            <w:shd w:val="clear" w:color="auto" w:fill="CCEEFF"/>
          </w:tcPr>
          <w:p>
            <w:pPr>
              <w:ind w:left="1440"/>
              <w:spacing w:after="0" w:line="174" w:lineRule="exact"/>
              <w:rPr>
                <w:sz w:val="20"/>
                <w:szCs w:val="20"/>
                <w:color w:val="auto"/>
              </w:rPr>
            </w:pPr>
            <w:r>
              <w:rPr>
                <w:rFonts w:ascii="Calibri" w:cs="Calibri" w:eastAsia="Calibri" w:hAnsi="Calibri"/>
                <w:sz w:val="16"/>
                <w:szCs w:val="16"/>
                <w:color w:val="auto"/>
              </w:rPr>
              <w:t>Net cash used in investng actvites</w:t>
            </w: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(72,822)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(106,380)</w:t>
            </w:r>
          </w:p>
        </w:tc>
      </w:tr>
      <w:tr>
        <w:trPr>
          <w:trHeight w:val="193"/>
        </w:trPr>
        <w:tc>
          <w:tcPr>
            <w:tcW w:w="8080" w:type="dxa"/>
            <w:vAlign w:val="bottom"/>
          </w:tcPr>
          <w:p>
            <w:pPr>
              <w:ind w:left="20"/>
              <w:spacing w:after="0" w:line="193" w:lineRule="exact"/>
              <w:rPr>
                <w:sz w:val="20"/>
                <w:szCs w:val="20"/>
                <w:color w:val="auto"/>
              </w:rPr>
            </w:pPr>
            <w:r>
              <w:rPr>
                <w:rFonts w:ascii="Calibri" w:cs="Calibri" w:eastAsia="Calibri" w:hAnsi="Calibri"/>
                <w:sz w:val="16"/>
                <w:szCs w:val="16"/>
                <w:color w:val="auto"/>
              </w:rPr>
              <w:t>CASH FLOWS FROM FINANCING ACTIVITIES:</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dividends declared and paid</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(10,885)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(9,886)</w:t>
            </w:r>
          </w:p>
        </w:tc>
      </w:tr>
      <w:tr>
        <w:trPr>
          <w:trHeight w:val="194"/>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New shares issued</w:t>
            </w:r>
          </w:p>
        </w:tc>
        <w:tc>
          <w:tcPr>
            <w:tcW w:w="2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1,297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2,243</w:t>
            </w:r>
          </w:p>
        </w:tc>
      </w:tr>
      <w:tr>
        <w:trPr>
          <w:trHeight w:val="22"/>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Payroll taxes paid in exchange for shares withheld</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(2,541)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(2,140)</w:t>
            </w:r>
          </w:p>
        </w:tc>
      </w:tr>
      <w:tr>
        <w:trPr>
          <w:trHeight w:val="194"/>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Shares repurchased</w:t>
            </w:r>
          </w:p>
        </w:tc>
        <w:tc>
          <w:tcPr>
            <w:tcW w:w="2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(9,149)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(11,272)</w:t>
            </w: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Payments on revolving loan</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(50,000)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(67,000)</w:t>
            </w: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Proceeds from revolving loan borrowings</w:t>
            </w:r>
          </w:p>
        </w:tc>
        <w:tc>
          <w:tcPr>
            <w:tcW w:w="2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65,000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75,000</w:t>
            </w:r>
          </w:p>
        </w:tc>
      </w:tr>
      <w:tr>
        <w:trPr>
          <w:trHeight w:val="23"/>
        </w:trPr>
        <w:tc>
          <w:tcPr>
            <w:tcW w:w="8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0"/>
        </w:trPr>
        <w:tc>
          <w:tcPr>
            <w:tcW w:w="8080" w:type="dxa"/>
            <w:vAlign w:val="bottom"/>
            <w:tcBorders>
              <w:bottom w:val="single" w:sz="8" w:color="CCEEFF"/>
            </w:tcBorders>
            <w:shd w:val="clear" w:color="auto" w:fill="CCEEFF"/>
          </w:tcPr>
          <w:p>
            <w:pPr>
              <w:ind w:left="1440"/>
              <w:spacing w:after="0" w:line="174" w:lineRule="exact"/>
              <w:rPr>
                <w:sz w:val="20"/>
                <w:szCs w:val="20"/>
                <w:color w:val="auto"/>
              </w:rPr>
            </w:pPr>
            <w:r>
              <w:rPr>
                <w:rFonts w:ascii="Calibri" w:cs="Calibri" w:eastAsia="Calibri" w:hAnsi="Calibri"/>
                <w:sz w:val="16"/>
                <w:szCs w:val="16"/>
                <w:color w:val="auto"/>
              </w:rPr>
              <w:t>Net cash used in fnancing actvites</w:t>
            </w: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(6,278)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(13,055)</w:t>
            </w:r>
          </w:p>
        </w:tc>
      </w:tr>
      <w:tr>
        <w:trPr>
          <w:trHeight w:val="187"/>
        </w:trPr>
        <w:tc>
          <w:tcPr>
            <w:tcW w:w="8080" w:type="dxa"/>
            <w:vAlign w:val="bottom"/>
          </w:tcPr>
          <w:p>
            <w:pPr>
              <w:ind w:left="20"/>
              <w:spacing w:after="0" w:line="174" w:lineRule="exact"/>
              <w:rPr>
                <w:sz w:val="20"/>
                <w:szCs w:val="20"/>
                <w:color w:val="auto"/>
              </w:rPr>
            </w:pPr>
            <w:r>
              <w:rPr>
                <w:rFonts w:ascii="Calibri" w:cs="Calibri" w:eastAsia="Calibri" w:hAnsi="Calibri"/>
                <w:sz w:val="16"/>
                <w:szCs w:val="16"/>
                <w:color w:val="auto"/>
              </w:rPr>
              <w:t>NET INCREASE (DECREASE) IN CASH AND CASH EQUIVALENTS</w:t>
            </w: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1,152</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(1,825)</w:t>
            </w:r>
          </w:p>
        </w:tc>
      </w:tr>
      <w:tr>
        <w:trPr>
          <w:trHeight w:val="22"/>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80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CASH AND CASH EQUIVALENTS, BEGINNING OF PERIOD</w:t>
            </w: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7,153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7,566</w:t>
            </w:r>
          </w:p>
        </w:tc>
      </w:tr>
      <w:tr>
        <w:trPr>
          <w:trHeight w:val="187"/>
        </w:trPr>
        <w:tc>
          <w:tcPr>
            <w:tcW w:w="8080" w:type="dxa"/>
            <w:vAlign w:val="bottom"/>
          </w:tcPr>
          <w:p>
            <w:pPr>
              <w:ind w:left="20"/>
              <w:spacing w:after="0" w:line="174" w:lineRule="exact"/>
              <w:rPr>
                <w:sz w:val="20"/>
                <w:szCs w:val="20"/>
                <w:color w:val="auto"/>
              </w:rPr>
            </w:pPr>
            <w:r>
              <w:rPr>
                <w:rFonts w:ascii="Calibri" w:cs="Calibri" w:eastAsia="Calibri" w:hAnsi="Calibri"/>
                <w:sz w:val="16"/>
                <w:szCs w:val="16"/>
                <w:color w:val="auto"/>
              </w:rPr>
              <w:t>CASH AND CASH EQUIVALENTS, END OF PERIOD</w:t>
            </w:r>
          </w:p>
        </w:tc>
        <w:tc>
          <w:tcPr>
            <w:tcW w:w="220" w:type="dxa"/>
            <w:vAlign w:val="bottom"/>
            <w:tcBorders>
              <w:top w:val="single" w:sz="8" w:color="auto"/>
            </w:tcBorders>
          </w:tcPr>
          <w:p>
            <w:pPr>
              <w:jc w:val="right"/>
              <w:ind w:right="39"/>
              <w:spacing w:after="0" w:line="187" w:lineRule="exact"/>
              <w:rPr>
                <w:sz w:val="20"/>
                <w:szCs w:val="20"/>
                <w:color w:val="auto"/>
              </w:rPr>
            </w:pPr>
            <w:r>
              <w:rPr>
                <w:rFonts w:ascii="Calibri" w:cs="Calibri" w:eastAsia="Calibri" w:hAnsi="Calibri"/>
                <w:sz w:val="16"/>
                <w:szCs w:val="16"/>
                <w:color w:val="auto"/>
                <w:w w:val="97"/>
              </w:rPr>
              <w:t>$</w:t>
            </w:r>
          </w:p>
        </w:tc>
        <w:tc>
          <w:tcPr>
            <w:tcW w:w="13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8,305</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19"/>
              <w:spacing w:after="0" w:line="187" w:lineRule="exact"/>
              <w:rPr>
                <w:sz w:val="20"/>
                <w:szCs w:val="20"/>
                <w:color w:val="auto"/>
              </w:rPr>
            </w:pPr>
            <w:r>
              <w:rPr>
                <w:rFonts w:ascii="Calibri" w:cs="Calibri" w:eastAsia="Calibri" w:hAnsi="Calibri"/>
                <w:sz w:val="16"/>
                <w:szCs w:val="16"/>
                <w:color w:val="auto"/>
                <w:w w:val="97"/>
              </w:rPr>
              <w:t>$</w:t>
            </w:r>
          </w:p>
        </w:tc>
        <w:tc>
          <w:tcPr>
            <w:tcW w:w="12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5,741</w:t>
            </w:r>
          </w:p>
        </w:tc>
      </w:tr>
      <w:tr>
        <w:trPr>
          <w:trHeight w:val="23"/>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8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94"/>
        </w:trPr>
        <w:tc>
          <w:tcPr>
            <w:tcW w:w="8080" w:type="dxa"/>
            <w:vAlign w:val="bottom"/>
          </w:tcPr>
          <w:p>
            <w:pPr>
              <w:ind w:left="20"/>
              <w:spacing w:after="0" w:line="193" w:lineRule="exact"/>
              <w:rPr>
                <w:sz w:val="20"/>
                <w:szCs w:val="20"/>
                <w:color w:val="auto"/>
              </w:rPr>
            </w:pPr>
            <w:r>
              <w:rPr>
                <w:rFonts w:ascii="Calibri" w:cs="Calibri" w:eastAsia="Calibri" w:hAnsi="Calibri"/>
                <w:sz w:val="16"/>
                <w:szCs w:val="16"/>
                <w:color w:val="auto"/>
              </w:rPr>
              <w:t>SUPPLEMENTAL DISCLOSURES OF CASH FLOW INFORMATION</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paid for income taxes</w:t>
            </w:r>
          </w:p>
        </w:tc>
        <w:tc>
          <w:tcPr>
            <w:tcW w:w="220" w:type="dxa"/>
            <w:vAlign w:val="bottom"/>
            <w:tcBorders>
              <w:bottom w:val="single" w:sz="8" w:color="CCEEFF"/>
            </w:tcBorders>
            <w:shd w:val="clear" w:color="auto" w:fill="CCEEFF"/>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26,566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22,125</w:t>
            </w: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Cash paid for interest</w:t>
            </w:r>
          </w:p>
        </w:tc>
        <w:tc>
          <w:tcPr>
            <w:tcW w:w="22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4,208</w:t>
            </w:r>
          </w:p>
        </w:tc>
        <w:tc>
          <w:tcPr>
            <w:tcW w:w="100" w:type="dxa"/>
            <w:vAlign w:val="bottom"/>
          </w:tcPr>
          <w:p>
            <w:pPr>
              <w:spacing w:after="0"/>
              <w:rPr>
                <w:sz w:val="16"/>
                <w:szCs w:val="16"/>
                <w:color w:val="auto"/>
              </w:rPr>
            </w:pPr>
          </w:p>
        </w:tc>
        <w:tc>
          <w:tcPr>
            <w:tcW w:w="2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3,252</w:t>
            </w:r>
          </w:p>
        </w:tc>
      </w:tr>
      <w:tr>
        <w:trPr>
          <w:trHeight w:val="23"/>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4"/>
        </w:trPr>
        <w:tc>
          <w:tcPr>
            <w:tcW w:w="8080" w:type="dxa"/>
            <w:vAlign w:val="bottom"/>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Noncash investng actvites - capital expenditures in accounts payable</w:t>
            </w:r>
          </w:p>
        </w:tc>
        <w:tc>
          <w:tcPr>
            <w:tcW w:w="220" w:type="dxa"/>
            <w:vAlign w:val="bottom"/>
            <w:shd w:val="clear" w:color="auto" w:fill="CCEEFF"/>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1360" w:type="dxa"/>
            <w:vAlign w:val="bottom"/>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1,152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2,887</w:t>
            </w:r>
          </w:p>
        </w:tc>
      </w:tr>
      <w:tr>
        <w:trPr>
          <w:trHeight w:val="23"/>
        </w:trPr>
        <w:tc>
          <w:tcPr>
            <w:tcW w:w="8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See accompanying notes to condensed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8" w:name="page9"/>
    <w:bookmarkEnd w:id="8"/>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NOTES TO CONDENSED CONSOLIDATED FINANCIAL STATEMENTS (UNAUDITED)</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 – Summary of Signifcant Accountng Policies</w:t>
      </w:r>
    </w:p>
    <w:p>
      <w:pPr>
        <w:spacing w:after="0" w:line="244" w:lineRule="exact"/>
        <w:rPr>
          <w:sz w:val="20"/>
          <w:szCs w:val="20"/>
          <w:color w:val="auto"/>
        </w:rPr>
      </w:pPr>
    </w:p>
    <w:p>
      <w:pPr>
        <w:ind w:right="40"/>
        <w:spacing w:after="0" w:line="235" w:lineRule="auto"/>
        <w:rPr>
          <w:rFonts w:ascii="Calibri" w:cs="Calibri" w:eastAsia="Calibri" w:hAnsi="Calibri"/>
          <w:sz w:val="18"/>
          <w:szCs w:val="18"/>
          <w:color w:val="0000FF"/>
        </w:rPr>
      </w:pPr>
      <w:r>
        <w:rPr>
          <w:rFonts w:ascii="Calibri" w:cs="Calibri" w:eastAsia="Calibri" w:hAnsi="Calibri"/>
          <w:sz w:val="18"/>
          <w:szCs w:val="18"/>
          <w:b w:val="1"/>
          <w:bCs w:val="1"/>
          <w:i w:val="1"/>
          <w:iCs w:val="1"/>
          <w:color w:val="auto"/>
        </w:rPr>
        <w:t xml:space="preserve">Basis of Presentaton. </w:t>
      </w:r>
      <w:r>
        <w:rPr>
          <w:rFonts w:ascii="Calibri" w:cs="Calibri" w:eastAsia="Calibri" w:hAnsi="Calibri"/>
          <w:sz w:val="18"/>
          <w:szCs w:val="18"/>
          <w:color w:val="auto"/>
        </w:rPr>
        <w:t>The accompanying unaudited condensed consolidated fnancial statements have been prepared in accordance with the instructons for</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 xml:space="preserve">Form 10-Q and, accordingly, do not include all informaton and footnotes required by generally accepted accountng principles for complete fnancial </w:t>
      </w:r>
      <w:hyperlink r:id="rId19">
        <w:r>
          <w:rPr>
            <w:rFonts w:ascii="Calibri" w:cs="Calibri" w:eastAsia="Calibri" w:hAnsi="Calibri"/>
            <w:sz w:val="18"/>
            <w:szCs w:val="18"/>
            <w:color w:val="auto"/>
          </w:rPr>
          <w:t xml:space="preserve">statements. These fnancial statements should be read in conjuncton with the consolidated fnancial statements and footnotes included in our </w:t>
        </w:r>
        <w:r>
          <w:rPr>
            <w:rFonts w:ascii="Calibri" w:cs="Calibri" w:eastAsia="Calibri" w:hAnsi="Calibri"/>
            <w:sz w:val="18"/>
            <w:szCs w:val="18"/>
            <w:u w:val="single" w:color="auto"/>
            <w:color w:val="0000FF"/>
          </w:rPr>
          <w:t>Annual Report</w:t>
        </w:r>
      </w:hyperlink>
      <w:r>
        <w:rPr>
          <w:rFonts w:ascii="Calibri" w:cs="Calibri" w:eastAsia="Calibri" w:hAnsi="Calibri"/>
          <w:sz w:val="18"/>
          <w:szCs w:val="18"/>
          <w:color w:val="auto"/>
        </w:rPr>
        <w:t xml:space="preserve"> </w:t>
      </w:r>
      <w:hyperlink r:id="rId19">
        <w:r>
          <w:rPr>
            <w:rFonts w:ascii="Calibri" w:cs="Calibri" w:eastAsia="Calibri" w:hAnsi="Calibri"/>
            <w:sz w:val="18"/>
            <w:szCs w:val="18"/>
            <w:u w:val="single" w:color="auto"/>
            <w:color w:val="0000FF"/>
          </w:rPr>
          <w:t>on Form 10-K for the fscal year ended March 31, 2024</w:t>
        </w:r>
        <w:r>
          <w:rPr>
            <w:rFonts w:ascii="Calibri" w:cs="Calibri" w:eastAsia="Calibri" w:hAnsi="Calibri"/>
            <w:sz w:val="18"/>
            <w:szCs w:val="18"/>
            <w:color w:val="000000"/>
          </w:rPr>
          <w:t>, previously fled with the Securites and Exchange Commission (“SEC”). In the opinion of management,</w:t>
        </w:r>
      </w:hyperlink>
      <w:r>
        <w:rPr>
          <w:rFonts w:ascii="Calibri" w:cs="Calibri" w:eastAsia="Calibri" w:hAnsi="Calibri"/>
          <w:sz w:val="18"/>
          <w:szCs w:val="18"/>
          <w:color w:val="0000FF"/>
        </w:rPr>
        <w:t xml:space="preserve"> </w:t>
      </w:r>
      <w:r>
        <w:rPr>
          <w:rFonts w:ascii="Calibri" w:cs="Calibri" w:eastAsia="Calibri" w:hAnsi="Calibri"/>
          <w:sz w:val="18"/>
          <w:szCs w:val="18"/>
          <w:color w:val="000000"/>
        </w:rPr>
        <w:t>the accompanying unaudited condensed consolidated fnancial statements contain all adjustments necessary to present fairly our fnancial positon and the results of our operatons and cash fows for the periods presented. All adjustments made to the interim condensed consolidated fnancial statements were of a normal recurring nature. All signifcant intercompany accounts and transactons have been eliminated in consolidaton. The results of operatons for the nine months ended December 29, 2024 are not necessarily indicatve of the results that may be expected for the full year.</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color w:val="auto"/>
        </w:rPr>
        <w:t>References to fscal 2024 refer to the fscal year ended March 31, 2024 and references to fscal 2025 refer to the fscal year ending March 30, 2025.</w:t>
      </w:r>
    </w:p>
    <w:p>
      <w:pPr>
        <w:spacing w:after="0" w:line="109" w:lineRule="exact"/>
        <w:rPr>
          <w:sz w:val="20"/>
          <w:szCs w:val="20"/>
          <w:color w:val="auto"/>
        </w:rPr>
      </w:pPr>
    </w:p>
    <w:p>
      <w:pPr>
        <w:ind w:right="20"/>
        <w:spacing w:after="0" w:line="252" w:lineRule="auto"/>
        <w:rPr>
          <w:sz w:val="20"/>
          <w:szCs w:val="20"/>
          <w:color w:val="auto"/>
        </w:rPr>
      </w:pPr>
      <w:r>
        <w:rPr>
          <w:rFonts w:ascii="Calibri" w:cs="Calibri" w:eastAsia="Calibri" w:hAnsi="Calibri"/>
          <w:sz w:val="17"/>
          <w:szCs w:val="17"/>
          <w:b w:val="1"/>
          <w:bCs w:val="1"/>
          <w:i w:val="1"/>
          <w:iCs w:val="1"/>
          <w:color w:val="auto"/>
        </w:rPr>
        <w:t xml:space="preserve">Use of Estmates. </w:t>
      </w:r>
      <w:r>
        <w:rPr>
          <w:rFonts w:ascii="Calibri" w:cs="Calibri" w:eastAsia="Calibri" w:hAnsi="Calibri"/>
          <w:sz w:val="17"/>
          <w:szCs w:val="17"/>
          <w:color w:val="auto"/>
        </w:rPr>
        <w:t>The preparaton of condensed consolidated fnancial statements in conformity with accountng principles generally accepted in the United</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States requires management to make estmates and assumptons that afect the reported amounts of assets and liabilites, partcularly receivables, inventories, property, plant and equipment, right-of-use assets, goodwill, intangibles, accrued expenses, short-term and long-term lease liability, income taxes and related accounts and the reported amounts of revenues and expenses during the reportng period. Actual results could difer from those estmates.</w:t>
      </w:r>
    </w:p>
    <w:p>
      <w:pPr>
        <w:spacing w:after="0" w:line="100" w:lineRule="exact"/>
        <w:rPr>
          <w:sz w:val="20"/>
          <w:szCs w:val="20"/>
          <w:color w:val="auto"/>
        </w:rPr>
      </w:pPr>
    </w:p>
    <w:p>
      <w:pPr>
        <w:ind w:right="100"/>
        <w:spacing w:after="0" w:line="235" w:lineRule="auto"/>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Accountng Policies. </w:t>
      </w:r>
      <w:r>
        <w:rPr>
          <w:rFonts w:ascii="Calibri" w:cs="Calibri" w:eastAsia="Calibri" w:hAnsi="Calibri"/>
          <w:sz w:val="18"/>
          <w:szCs w:val="18"/>
          <w:color w:val="auto"/>
        </w:rPr>
        <w:t>The accountng policies we follow are set forth in Note 1 – Nature of Business and Signifcant Accountng Policies to our consolidated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 xml:space="preserve">fnancial statements in our </w:t>
      </w:r>
      <w:hyperlink r:id="rId19">
        <w:r>
          <w:rPr>
            <w:rFonts w:ascii="Calibri" w:cs="Calibri" w:eastAsia="Calibri" w:hAnsi="Calibri"/>
            <w:sz w:val="18"/>
            <w:szCs w:val="18"/>
            <w:u w:val="single" w:color="auto"/>
            <w:color w:val="0000FF"/>
          </w:rPr>
          <w:t>Annual Report on Form 10-K for the fscal year ended March 31, 2024</w:t>
        </w:r>
      </w:hyperlink>
      <w:r>
        <w:rPr>
          <w:rFonts w:ascii="Calibri" w:cs="Calibri" w:eastAsia="Calibri" w:hAnsi="Calibri"/>
          <w:sz w:val="18"/>
          <w:szCs w:val="18"/>
          <w:color w:val="auto"/>
        </w:rPr>
        <w:t>, previously fled with the SEC. There has been no signifcant change in our accountng policies since the end of fscal 2024.</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Recently Issued Accountng Pronouncements</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Income Taxes (Topic 740): Improvements to Income Tax Disclosures (ASU No.2023-09)</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December 2023, the Financial Accountng Standards Board ("FASB") issued accountng standards update No. 2023-09 to enhance the transparency and decision-usefulness of income tax disclosures and to provide informaton to beter assess how an entty's operatons and related tax risks and tax planning and operatonal opportunites afect its tax rate and prospects for future cash fows. For public business enttes, the amendments in this update are efectve for annual periods beginning afer December 15, 2024. We are in the process of evaluatng the impact of this standard on the disclosures in our fnancial statements.</w:t>
      </w:r>
    </w:p>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Segment Reportng (Topic 280): Improvements to Reportable Segment Disclosures (ASU 2023-07)</w:t>
      </w:r>
    </w:p>
    <w:p>
      <w:pPr>
        <w:spacing w:after="0" w:line="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November 2023, the FASB issued accountng standards update No. 2023-07 to improve reportable segment disclosure requirements, primarily through enhanced disclosures about signifcant segment expenses. The update requires public enttes to disclose, on an annual and interim basis, signifcant segment expenses that are regularly provided to the chief operatng decision maker ("CODM"), the ttle and positon of the CODM and an explanaton of how the CODM uses the reported measure(s) of segment proft or loss in assessing segment performance and deciding how to allocate resources. The amendments in this update are efectve for public enttes in fscal years beginning afer December 15, 2023, and interim periods within fscal years beginning afer December 15, 2024 and are to be applied retrospectvely to all prior periods presented in the fnancial statements. Early adopton is permited. We are in the process of evaluatng the impact of this standard on the disclosures in our fnancial statements.</w:t>
      </w:r>
    </w:p>
    <w:p>
      <w:pPr>
        <w:spacing w:after="0" w:line="27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9" w:name="page10"/>
    <w:bookmarkEnd w:id="9"/>
    <w:p>
      <w:pPr>
        <w:spacing w:after="0"/>
        <w:rPr>
          <w:sz w:val="20"/>
          <w:szCs w:val="20"/>
          <w:color w:val="auto"/>
        </w:rPr>
      </w:pPr>
      <w:r>
        <w:rPr>
          <w:rFonts w:ascii="Calibri" w:cs="Calibri" w:eastAsia="Calibri" w:hAnsi="Calibri"/>
          <w:sz w:val="18"/>
          <w:szCs w:val="18"/>
          <w:b w:val="1"/>
          <w:bCs w:val="1"/>
          <w:color w:val="auto"/>
        </w:rPr>
        <w:t>Note 2 — Acquisitons</w:t>
      </w:r>
    </w:p>
    <w:p>
      <w:pPr>
        <w:spacing w:after="0" w:line="258" w:lineRule="exact"/>
        <w:rPr>
          <w:sz w:val="20"/>
          <w:szCs w:val="20"/>
          <w:color w:val="auto"/>
        </w:rPr>
      </w:pPr>
    </w:p>
    <w:p>
      <w:pPr>
        <w:spacing w:after="0" w:line="221" w:lineRule="auto"/>
        <w:rPr>
          <w:sz w:val="20"/>
          <w:szCs w:val="20"/>
          <w:color w:val="auto"/>
        </w:rPr>
      </w:pPr>
      <w:r>
        <w:rPr>
          <w:rFonts w:ascii="Calibri" w:cs="Calibri" w:eastAsia="Calibri" w:hAnsi="Calibri"/>
          <w:sz w:val="18"/>
          <w:szCs w:val="18"/>
          <w:b w:val="1"/>
          <w:bCs w:val="1"/>
          <w:i w:val="1"/>
          <w:iCs w:val="1"/>
          <w:color w:val="auto"/>
        </w:rPr>
        <w:t xml:space="preserve">Acquisiton of Waterguard, Inc.: </w:t>
      </w:r>
      <w:r>
        <w:rPr>
          <w:rFonts w:ascii="Calibri" w:cs="Calibri" w:eastAsia="Calibri" w:hAnsi="Calibri"/>
          <w:sz w:val="18"/>
          <w:szCs w:val="18"/>
          <w:color w:val="auto"/>
        </w:rPr>
        <w:t>On October 30, 2024, we acquired substantally all the assets of Waterguard, Inc. ("Water Guard") for $18.0 million under</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the terms of a purchase agreement with Water Guard and its shareholders. Water Guard distributes water treatment chemicals and equipment to its customers primarily throughout North Carolina. Of the $18.0 million purchase price, $9.3 million was allocated to customer relatonships, to be amortzed over 15 years, $5.1 million was allocated to goodwill, $1.2 million was allocated to property, plant and equipment, and the remaining amount was allocated to net working capital. The goodwill recognized as a result of this acquisiton is primarily atributable to strategic and synergistc benefts, as well as the assembled workforce. Such goodwill is expected to be deductble for tax purposes. The purchase price allocaton is not yet complete due to the tming of the acquisiton. The results of operatons since the acquisiton date and the assets are included in our Water Treatment segment. Costs associated with this transacton were not material and were expensed as incurred.</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 xml:space="preserve">Acquisiton of Woford Water Service, Inc.: </w:t>
      </w:r>
      <w:r>
        <w:rPr>
          <w:rFonts w:ascii="Calibri" w:cs="Calibri" w:eastAsia="Calibri" w:hAnsi="Calibri"/>
          <w:sz w:val="18"/>
          <w:szCs w:val="18"/>
          <w:color w:val="auto"/>
        </w:rPr>
        <w:t>On June 28, 2024, we acquired substantally all the assets of Woford Water Service, Inc. ("Woford") for</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$3.4 million under the terms of a purchase agreement with Woford and its shareholders. Woford distributed water treatment chemicals and equipment to</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customers mainly in Mississippi. Of the $3.4 million purchase price, $2.2 million was allocated to customer relatonships, to be amortzed over 10 years,</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$1.0 million was allocated to goodwill, and the remaining amount was allocated to net working capital. The goodwill recognized as a result of this acquisiton</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is primarily atributable to strategic and synergistc benefts, as well as the assembled workforce. Such goodwill is expected to be deductble for tax purposes.</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The results of operatons since the acquisiton date and the assets are included in our Water Treatment segment. Costs associated with this transacton were</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not material and were expensed as incurred.</w:t>
      </w:r>
    </w:p>
    <w:p>
      <w:pPr>
        <w:spacing w:after="0" w:line="244"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i w:val="1"/>
          <w:iCs w:val="1"/>
          <w:color w:val="auto"/>
        </w:rPr>
        <w:t xml:space="preserve">Acquisiton of Intercoastal Trading, Inc.: </w:t>
      </w:r>
      <w:r>
        <w:rPr>
          <w:rFonts w:ascii="Calibri" w:cs="Calibri" w:eastAsia="Calibri" w:hAnsi="Calibri"/>
          <w:sz w:val="18"/>
          <w:szCs w:val="18"/>
          <w:color w:val="auto"/>
        </w:rPr>
        <w:t>On June 3, 2024, we acquired substantally all the assets of Intercoastal Trading, Inc. and certain related enttes</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("Intercoastal") for $22.0 million under the terms of a purchase agreement with Intercoastal and its shareholders. Intercoastal distributes water treatment chemicals and equipment to its customers in Maryland, Delaware and Virginia. Of the $22.0 million purchase price, $10.7 million was allocated to customer relatonships, to be amortzed over 15 years, $0.3 million to trade names, to be amortzed over two years, $0.1 million to non-compete agreements, to be amortzed over one year, $7.2 million to goodwill, $2.4 million was allocated to property, plant and equipment, and the remaining amount to net working capital. The goodwill recognized as a result of this acquisiton is primarily atributable to strategic and synergistc benefts, as well as the assembled workforce. Such goodwill is expected to be deductble for tax purposes. The results of operatons since the acquisiton date and the assets are included in our Water Treatment segment. Costs associated with this transacton were not material and were expensed as incurred.</w:t>
      </w:r>
    </w:p>
    <w:p>
      <w:pPr>
        <w:spacing w:after="0" w:line="250"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i w:val="1"/>
          <w:iCs w:val="1"/>
          <w:color w:val="auto"/>
        </w:rPr>
        <w:t xml:space="preserve">Acquisiton of Industrial Research Corporaton: </w:t>
      </w:r>
      <w:r>
        <w:rPr>
          <w:rFonts w:ascii="Calibri" w:cs="Calibri" w:eastAsia="Calibri" w:hAnsi="Calibri"/>
          <w:sz w:val="18"/>
          <w:szCs w:val="18"/>
          <w:color w:val="auto"/>
        </w:rPr>
        <w:t>In the fourth quarter of fscal 2024, we acquired substantally all the assets of Industrial Research Corporaton</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("Industrial Research") for $4.6 million under the terms of a purchase agreement with Industrial Research and its shareholders. Industrial Research distributed water treatment chemicals and equipment to customers primarily in central to northern Louisiana, eastern Texas and southern Arkansas. The results of operatons since the acquisiton date and the assets are included in our Water Treatment segment. Costs associated with this transacton were not material and were expensed as incurred.</w:t>
      </w:r>
    </w:p>
    <w:p>
      <w:pPr>
        <w:spacing w:after="0" w:line="24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 xml:space="preserve">Acquisiton of The Miami Products &amp; Chemical Company: </w:t>
      </w:r>
      <w:r>
        <w:rPr>
          <w:rFonts w:ascii="Calibri" w:cs="Calibri" w:eastAsia="Calibri" w:hAnsi="Calibri"/>
          <w:sz w:val="18"/>
          <w:szCs w:val="18"/>
          <w:color w:val="auto"/>
        </w:rPr>
        <w:t>In the third quarter of fscal 2024, we acquired substantally all the assets of The Miami Products &amp;</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Chemical Company ("Miami Products") for $15.5 million under the terms of a purchase agreement with Miami Products and its shareholders. Miami Products is a bleach manufacturer and distributor serving customers primarily throughout Ohio and the surrounding region. The results of operatons since the acquisiton date and the assets are included in our Water Treatment segment.</w:t>
      </w:r>
    </w:p>
    <w:p>
      <w:pPr>
        <w:spacing w:after="0" w:line="246"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 xml:space="preserve">Acquisiton of Water Solutons Unlimited, Inc.: </w:t>
      </w:r>
      <w:r>
        <w:rPr>
          <w:rFonts w:ascii="Calibri" w:cs="Calibri" w:eastAsia="Calibri" w:hAnsi="Calibri"/>
          <w:sz w:val="18"/>
          <w:szCs w:val="18"/>
          <w:color w:val="auto"/>
        </w:rPr>
        <w:t>In the third quarter of fscal 2024, we acquired substantally all the assets of Water Solutons Unlimited, Inc.</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("Water Solutons") under the terms of a purchase agreement with Water Solutons and its shareholders. We paid $60 million at closing and may be obligated to pay an additonal amount based on achieving a certain earnings target three years afer the acquisiton. Water Solutons is a manufacturer and distributor of water treatment chemicals serving customers primarily throughout Indiana, Illinois and Michigan. The results of operatons since the acquisiton date and the assets are included in our Water Treatment segment.</w:t>
      </w:r>
    </w:p>
    <w:p>
      <w:pPr>
        <w:spacing w:after="0" w:line="247" w:lineRule="exact"/>
        <w:rPr>
          <w:sz w:val="20"/>
          <w:szCs w:val="20"/>
          <w:color w:val="auto"/>
        </w:rPr>
      </w:pPr>
    </w:p>
    <w:p>
      <w:pPr>
        <w:jc w:val="both"/>
        <w:ind w:right="120"/>
        <w:spacing w:after="0" w:line="254" w:lineRule="auto"/>
        <w:rPr>
          <w:sz w:val="20"/>
          <w:szCs w:val="20"/>
          <w:color w:val="auto"/>
        </w:rPr>
      </w:pPr>
      <w:r>
        <w:rPr>
          <w:rFonts w:ascii="Calibri" w:cs="Calibri" w:eastAsia="Calibri" w:hAnsi="Calibri"/>
          <w:sz w:val="17"/>
          <w:szCs w:val="17"/>
          <w:b w:val="1"/>
          <w:bCs w:val="1"/>
          <w:i w:val="1"/>
          <w:iCs w:val="1"/>
          <w:color w:val="auto"/>
        </w:rPr>
        <w:t xml:space="preserve">Acquisiton of EcoTech Enterprises, Inc.: </w:t>
      </w:r>
      <w:r>
        <w:rPr>
          <w:rFonts w:ascii="Calibri" w:cs="Calibri" w:eastAsia="Calibri" w:hAnsi="Calibri"/>
          <w:sz w:val="17"/>
          <w:szCs w:val="17"/>
          <w:color w:val="auto"/>
        </w:rPr>
        <w:t>In the second quarter of fscal 2024, we acquired substantally all the assets of EcoTech Enterprises, Inc. ("EcoTech")</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for $3.4 million, under the terms of a purchase agreement with EcoTech and its shareholders. EcoTech was a water treatment chemical distributon company operatng primarily in Arkansas. The results of operatons since the acquisiton date and the assets are included in our Water Treatment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10" w:name="page11"/>
    <w:bookmarkEnd w:id="10"/>
    <w:p>
      <w:pPr>
        <w:spacing w:after="0"/>
        <w:rPr>
          <w:sz w:val="20"/>
          <w:szCs w:val="20"/>
          <w:color w:val="auto"/>
        </w:rPr>
      </w:pPr>
      <w:r>
        <w:rPr>
          <w:rFonts w:ascii="Calibri" w:cs="Calibri" w:eastAsia="Calibri" w:hAnsi="Calibri"/>
          <w:sz w:val="18"/>
          <w:szCs w:val="18"/>
          <w:b w:val="1"/>
          <w:bCs w:val="1"/>
          <w:color w:val="auto"/>
        </w:rPr>
        <w:t>Note 3 - Revenue</w:t>
      </w:r>
    </w:p>
    <w:p>
      <w:pPr>
        <w:spacing w:after="0" w:line="10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Our revenue arrangements generally consist of a single performance obligaton to transfer promised goods or services. We disaggregate revenues from contracts with customers by operatng segments as well as types of products sold. Reportng by operatng segment is pertnent to understanding our revenues, as it aligns to how we review the fnancial performance of our operatons. Types of products sold within each operatng segment help us to further evaluate the fnancial performance of our segments. The following tables disaggregate external customer net sales by major revenue stream for the three and nine months ended December 29, 2024 and December 31, 2023:</w:t>
      </w:r>
    </w:p>
    <w:p>
      <w:pPr>
        <w:sectPr>
          <w:pgSz w:w="11900" w:h="16838" w:orient="portrait"/>
          <w:cols w:equalWidth="0" w:num="1">
            <w:col w:w="11240"/>
          </w:cols>
          <w:pgMar w:left="320" w:top="598"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 xml:space="preserve">Manufactured, blended or repackaged products </w:t>
      </w:r>
      <w:r>
        <w:rPr>
          <w:rFonts w:ascii="Calibri" w:cs="Calibri" w:eastAsia="Calibri" w:hAnsi="Calibri"/>
          <w:sz w:val="22"/>
          <w:szCs w:val="22"/>
          <w:color w:val="auto"/>
          <w:vertAlign w:val="superscript"/>
        </w:rPr>
        <w:t>(1)</w:t>
      </w:r>
    </w:p>
    <w:p>
      <w:pPr>
        <w:ind w:left="20"/>
        <w:spacing w:after="0" w:line="196" w:lineRule="auto"/>
        <w:rPr>
          <w:sz w:val="20"/>
          <w:szCs w:val="20"/>
          <w:color w:val="auto"/>
        </w:rPr>
      </w:pPr>
      <w:r>
        <w:rPr>
          <w:rFonts w:ascii="Calibri" w:cs="Calibri" w:eastAsia="Calibri" w:hAnsi="Calibri"/>
          <w:sz w:val="18"/>
          <w:szCs w:val="18"/>
          <w:color w:val="auto"/>
        </w:rPr>
        <w:t xml:space="preserve">Distributed specialty products </w:t>
      </w:r>
      <w:r>
        <w:rPr>
          <w:rFonts w:ascii="Calibri" w:cs="Calibri" w:eastAsia="Calibri" w:hAnsi="Calibri"/>
          <w:sz w:val="23"/>
          <w:szCs w:val="23"/>
          <w:color w:val="auto"/>
          <w:vertAlign w:val="superscript"/>
        </w:rPr>
        <w:t>(2)</w:t>
      </w:r>
    </w:p>
    <w:p>
      <w:pPr>
        <w:ind w:left="20"/>
        <w:spacing w:after="0" w:line="211" w:lineRule="auto"/>
        <w:rPr>
          <w:sz w:val="20"/>
          <w:szCs w:val="20"/>
          <w:color w:val="auto"/>
        </w:rPr>
      </w:pPr>
      <w:r>
        <w:rPr>
          <w:rFonts w:ascii="Calibri" w:cs="Calibri" w:eastAsia="Calibri" w:hAnsi="Calibri"/>
          <w:sz w:val="18"/>
          <w:szCs w:val="18"/>
          <w:color w:val="auto"/>
        </w:rPr>
        <w:t xml:space="preserve">Bulk products </w:t>
      </w:r>
      <w:r>
        <w:rPr>
          <w:rFonts w:ascii="Calibri" w:cs="Calibri" w:eastAsia="Calibri" w:hAnsi="Calibri"/>
          <w:sz w:val="23"/>
          <w:szCs w:val="23"/>
          <w:color w:val="auto"/>
          <w:vertAlign w:val="superscript"/>
        </w:rPr>
        <w:t>(3)</w:t>
      </w:r>
    </w:p>
    <w:p>
      <w:pPr>
        <w:ind w:left="20"/>
        <w:spacing w:after="0" w:line="198" w:lineRule="auto"/>
        <w:rPr>
          <w:sz w:val="20"/>
          <w:szCs w:val="20"/>
          <w:color w:val="auto"/>
        </w:rPr>
      </w:pPr>
      <w:r>
        <w:rPr>
          <w:rFonts w:ascii="Calibri" w:cs="Calibri" w:eastAsia="Calibri" w:hAnsi="Calibri"/>
          <w:sz w:val="18"/>
          <w:szCs w:val="18"/>
          <w:color w:val="auto"/>
        </w:rPr>
        <w:t>Other</w:t>
      </w:r>
    </w:p>
    <w:p>
      <w:pPr>
        <w:spacing w:after="0" w:line="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 xml:space="preserve">Manufactured, blended or repackaged products </w:t>
      </w:r>
      <w:r>
        <w:rPr>
          <w:rFonts w:ascii="Calibri" w:cs="Calibri" w:eastAsia="Calibri" w:hAnsi="Calibri"/>
          <w:sz w:val="22"/>
          <w:szCs w:val="22"/>
          <w:color w:val="auto"/>
          <w:vertAlign w:val="superscript"/>
        </w:rPr>
        <w:t>(1)</w:t>
      </w:r>
    </w:p>
    <w:p>
      <w:pPr>
        <w:ind w:left="20"/>
        <w:spacing w:after="0" w:line="196" w:lineRule="auto"/>
        <w:rPr>
          <w:sz w:val="20"/>
          <w:szCs w:val="20"/>
          <w:color w:val="auto"/>
        </w:rPr>
      </w:pPr>
      <w:r>
        <w:rPr>
          <w:rFonts w:ascii="Calibri" w:cs="Calibri" w:eastAsia="Calibri" w:hAnsi="Calibri"/>
          <w:sz w:val="18"/>
          <w:szCs w:val="18"/>
          <w:color w:val="auto"/>
        </w:rPr>
        <w:t xml:space="preserve">Distributed specialty products </w:t>
      </w:r>
      <w:r>
        <w:rPr>
          <w:rFonts w:ascii="Calibri" w:cs="Calibri" w:eastAsia="Calibri" w:hAnsi="Calibri"/>
          <w:sz w:val="23"/>
          <w:szCs w:val="23"/>
          <w:color w:val="auto"/>
          <w:vertAlign w:val="superscript"/>
        </w:rPr>
        <w:t>(2)</w:t>
      </w:r>
    </w:p>
    <w:p>
      <w:pPr>
        <w:ind w:left="20"/>
        <w:spacing w:after="0" w:line="211" w:lineRule="auto"/>
        <w:rPr>
          <w:sz w:val="20"/>
          <w:szCs w:val="20"/>
          <w:color w:val="auto"/>
        </w:rPr>
      </w:pPr>
      <w:r>
        <w:rPr>
          <w:rFonts w:ascii="Calibri" w:cs="Calibri" w:eastAsia="Calibri" w:hAnsi="Calibri"/>
          <w:sz w:val="18"/>
          <w:szCs w:val="18"/>
          <w:color w:val="auto"/>
        </w:rPr>
        <w:t xml:space="preserve">Bulk products </w:t>
      </w:r>
      <w:r>
        <w:rPr>
          <w:rFonts w:ascii="Calibri" w:cs="Calibri" w:eastAsia="Calibri" w:hAnsi="Calibri"/>
          <w:sz w:val="23"/>
          <w:szCs w:val="23"/>
          <w:color w:val="auto"/>
          <w:vertAlign w:val="superscript"/>
        </w:rPr>
        <w:t>(3)</w:t>
      </w:r>
    </w:p>
    <w:p>
      <w:pPr>
        <w:ind w:left="20"/>
        <w:spacing w:after="0" w:line="198" w:lineRule="auto"/>
        <w:rPr>
          <w:sz w:val="20"/>
          <w:szCs w:val="20"/>
          <w:color w:val="auto"/>
        </w:rPr>
      </w:pPr>
      <w:r>
        <w:rPr>
          <w:rFonts w:ascii="Calibri" w:cs="Calibri" w:eastAsia="Calibri" w:hAnsi="Calibri"/>
          <w:sz w:val="18"/>
          <w:szCs w:val="18"/>
          <w:color w:val="auto"/>
        </w:rPr>
        <w:t>Other</w:t>
      </w:r>
    </w:p>
    <w:p>
      <w:pPr>
        <w:spacing w:after="0" w:line="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 xml:space="preserve">Manufactured, blended or repackaged products </w:t>
      </w:r>
      <w:r>
        <w:rPr>
          <w:rFonts w:ascii="Calibri" w:cs="Calibri" w:eastAsia="Calibri" w:hAnsi="Calibri"/>
          <w:sz w:val="22"/>
          <w:szCs w:val="22"/>
          <w:color w:val="auto"/>
          <w:vertAlign w:val="superscript"/>
        </w:rPr>
        <w:t>(1)</w:t>
      </w:r>
    </w:p>
    <w:p>
      <w:pPr>
        <w:ind w:left="20"/>
        <w:spacing w:after="0" w:line="196" w:lineRule="auto"/>
        <w:rPr>
          <w:sz w:val="20"/>
          <w:szCs w:val="20"/>
          <w:color w:val="auto"/>
        </w:rPr>
      </w:pPr>
      <w:r>
        <w:rPr>
          <w:rFonts w:ascii="Calibri" w:cs="Calibri" w:eastAsia="Calibri" w:hAnsi="Calibri"/>
          <w:sz w:val="18"/>
          <w:szCs w:val="18"/>
          <w:color w:val="auto"/>
        </w:rPr>
        <w:t xml:space="preserve">Distributed specialty products </w:t>
      </w:r>
      <w:r>
        <w:rPr>
          <w:rFonts w:ascii="Calibri" w:cs="Calibri" w:eastAsia="Calibri" w:hAnsi="Calibri"/>
          <w:sz w:val="23"/>
          <w:szCs w:val="23"/>
          <w:color w:val="auto"/>
          <w:vertAlign w:val="superscript"/>
        </w:rPr>
        <w:t>(2)</w:t>
      </w:r>
    </w:p>
    <w:p>
      <w:pPr>
        <w:ind w:left="20"/>
        <w:spacing w:after="0" w:line="211" w:lineRule="auto"/>
        <w:rPr>
          <w:sz w:val="20"/>
          <w:szCs w:val="20"/>
          <w:color w:val="auto"/>
        </w:rPr>
      </w:pPr>
      <w:r>
        <w:rPr>
          <w:rFonts w:ascii="Calibri" w:cs="Calibri" w:eastAsia="Calibri" w:hAnsi="Calibri"/>
          <w:sz w:val="18"/>
          <w:szCs w:val="18"/>
          <w:color w:val="auto"/>
        </w:rPr>
        <w:t xml:space="preserve">Bulk products </w:t>
      </w:r>
      <w:r>
        <w:rPr>
          <w:rFonts w:ascii="Calibri" w:cs="Calibri" w:eastAsia="Calibri" w:hAnsi="Calibri"/>
          <w:sz w:val="23"/>
          <w:szCs w:val="23"/>
          <w:color w:val="auto"/>
          <w:vertAlign w:val="superscript"/>
        </w:rPr>
        <w:t>(3)</w:t>
      </w:r>
    </w:p>
    <w:p>
      <w:pPr>
        <w:ind w:left="20"/>
        <w:spacing w:after="0" w:line="198" w:lineRule="auto"/>
        <w:rPr>
          <w:sz w:val="20"/>
          <w:szCs w:val="20"/>
          <w:color w:val="auto"/>
        </w:rPr>
      </w:pPr>
      <w:r>
        <w:rPr>
          <w:rFonts w:ascii="Calibri" w:cs="Calibri" w:eastAsia="Calibri" w:hAnsi="Calibri"/>
          <w:sz w:val="18"/>
          <w:szCs w:val="18"/>
          <w:color w:val="auto"/>
        </w:rPr>
        <w:t>Other</w:t>
      </w:r>
    </w:p>
    <w:p>
      <w:pPr>
        <w:spacing w:after="0" w:line="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 xml:space="preserve">Manufactured, blended or repackaged products </w:t>
      </w:r>
      <w:r>
        <w:rPr>
          <w:rFonts w:ascii="Calibri" w:cs="Calibri" w:eastAsia="Calibri" w:hAnsi="Calibri"/>
          <w:sz w:val="22"/>
          <w:szCs w:val="22"/>
          <w:color w:val="auto"/>
          <w:vertAlign w:val="superscript"/>
        </w:rPr>
        <w:t>(1)</w:t>
      </w:r>
    </w:p>
    <w:p>
      <w:pPr>
        <w:ind w:left="20"/>
        <w:spacing w:after="0" w:line="196" w:lineRule="auto"/>
        <w:rPr>
          <w:sz w:val="20"/>
          <w:szCs w:val="20"/>
          <w:color w:val="auto"/>
        </w:rPr>
      </w:pPr>
      <w:r>
        <w:rPr>
          <w:rFonts w:ascii="Calibri" w:cs="Calibri" w:eastAsia="Calibri" w:hAnsi="Calibri"/>
          <w:sz w:val="18"/>
          <w:szCs w:val="18"/>
          <w:color w:val="auto"/>
        </w:rPr>
        <w:t xml:space="preserve">Distributed specialty products </w:t>
      </w:r>
      <w:r>
        <w:rPr>
          <w:rFonts w:ascii="Calibri" w:cs="Calibri" w:eastAsia="Calibri" w:hAnsi="Calibri"/>
          <w:sz w:val="23"/>
          <w:szCs w:val="23"/>
          <w:color w:val="auto"/>
          <w:vertAlign w:val="superscript"/>
        </w:rPr>
        <w:t>(2)</w:t>
      </w:r>
    </w:p>
    <w:p>
      <w:pPr>
        <w:ind w:left="20"/>
        <w:spacing w:after="0" w:line="211" w:lineRule="auto"/>
        <w:rPr>
          <w:sz w:val="20"/>
          <w:szCs w:val="20"/>
          <w:color w:val="auto"/>
        </w:rPr>
      </w:pPr>
      <w:r>
        <w:rPr>
          <w:rFonts w:ascii="Calibri" w:cs="Calibri" w:eastAsia="Calibri" w:hAnsi="Calibri"/>
          <w:sz w:val="18"/>
          <w:szCs w:val="18"/>
          <w:color w:val="auto"/>
        </w:rPr>
        <w:t xml:space="preserve">Bulk products </w:t>
      </w:r>
      <w:r>
        <w:rPr>
          <w:rFonts w:ascii="Calibri" w:cs="Calibri" w:eastAsia="Calibri" w:hAnsi="Calibri"/>
          <w:sz w:val="23"/>
          <w:szCs w:val="23"/>
          <w:color w:val="auto"/>
          <w:vertAlign w:val="superscript"/>
        </w:rPr>
        <w:t>(3)</w:t>
      </w:r>
    </w:p>
    <w:p>
      <w:pPr>
        <w:ind w:left="20"/>
        <w:spacing w:after="0" w:line="198" w:lineRule="auto"/>
        <w:rPr>
          <w:sz w:val="20"/>
          <w:szCs w:val="20"/>
          <w:color w:val="auto"/>
        </w:rPr>
      </w:pPr>
      <w:r>
        <w:rPr>
          <w:rFonts w:ascii="Calibri" w:cs="Calibri" w:eastAsia="Calibri" w:hAnsi="Calibri"/>
          <w:sz w:val="18"/>
          <w:szCs w:val="18"/>
          <w:color w:val="auto"/>
        </w:rPr>
        <w:t>Other</w:t>
      </w:r>
    </w:p>
    <w:p>
      <w:pPr>
        <w:spacing w:after="0" w:line="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Total external customer sales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340"/>
        <w:spacing w:after="0"/>
        <w:rPr>
          <w:sz w:val="20"/>
          <w:szCs w:val="20"/>
          <w:color w:val="auto"/>
        </w:rPr>
      </w:pPr>
      <w:r>
        <w:rPr>
          <w:rFonts w:ascii="Calibri" w:cs="Calibri" w:eastAsia="Calibri" w:hAnsi="Calibri"/>
          <w:sz w:val="18"/>
          <w:szCs w:val="18"/>
          <w:b w:val="1"/>
          <w:bCs w:val="1"/>
          <w:color w:val="auto"/>
        </w:rPr>
        <w:t>Three months ended December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1240" w:type="dxa"/>
            <w:vAlign w:val="bottom"/>
            <w:gridSpan w:val="2"/>
          </w:tcPr>
          <w:p>
            <w:pPr>
              <w:jc w:val="center"/>
              <w:ind w:right="340"/>
              <w:spacing w:after="0" w:line="204" w:lineRule="exact"/>
              <w:rPr>
                <w:sz w:val="20"/>
                <w:szCs w:val="20"/>
                <w:color w:val="auto"/>
              </w:rPr>
            </w:pPr>
            <w:r>
              <w:rPr>
                <w:rFonts w:ascii="Calibri" w:cs="Calibri" w:eastAsia="Calibri" w:hAnsi="Calibri"/>
                <w:sz w:val="18"/>
                <w:szCs w:val="18"/>
                <w:b w:val="1"/>
                <w:bCs w:val="1"/>
                <w:color w:val="auto"/>
                <w:w w:val="97"/>
              </w:rPr>
              <w:t>Water</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340"/>
              <w:spacing w:after="0" w:line="204" w:lineRule="exact"/>
              <w:rPr>
                <w:sz w:val="20"/>
                <w:szCs w:val="20"/>
                <w:color w:val="auto"/>
              </w:rPr>
            </w:pPr>
            <w:r>
              <w:rPr>
                <w:rFonts w:ascii="Calibri" w:cs="Calibri" w:eastAsia="Calibri" w:hAnsi="Calibri"/>
                <w:sz w:val="18"/>
                <w:szCs w:val="18"/>
                <w:b w:val="1"/>
                <w:bCs w:val="1"/>
                <w:color w:val="auto"/>
                <w:w w:val="97"/>
              </w:rPr>
              <w:t>Health and</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8"/>
        </w:trPr>
        <w:tc>
          <w:tcPr>
            <w:tcW w:w="200" w:type="dxa"/>
            <w:vAlign w:val="bottom"/>
          </w:tcPr>
          <w:p>
            <w:pPr>
              <w:spacing w:after="0"/>
              <w:rPr>
                <w:sz w:val="19"/>
                <w:szCs w:val="19"/>
                <w:color w:val="auto"/>
              </w:rPr>
            </w:pPr>
          </w:p>
        </w:tc>
        <w:tc>
          <w:tcPr>
            <w:tcW w:w="1240" w:type="dxa"/>
            <w:vAlign w:val="bottom"/>
            <w:gridSpan w:val="2"/>
          </w:tcPr>
          <w:p>
            <w:pPr>
              <w:jc w:val="center"/>
              <w:ind w:right="320"/>
              <w:spacing w:after="0" w:line="215" w:lineRule="exact"/>
              <w:rPr>
                <w:sz w:val="20"/>
                <w:szCs w:val="20"/>
                <w:color w:val="auto"/>
              </w:rPr>
            </w:pPr>
            <w:r>
              <w:rPr>
                <w:rFonts w:ascii="Calibri" w:cs="Calibri" w:eastAsia="Calibri" w:hAnsi="Calibri"/>
                <w:sz w:val="18"/>
                <w:szCs w:val="18"/>
                <w:b w:val="1"/>
                <w:bCs w:val="1"/>
                <w:color w:val="auto"/>
                <w:w w:val="96"/>
              </w:rPr>
              <w:t>Treatment</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Calibri" w:cs="Calibri" w:eastAsia="Calibri" w:hAnsi="Calibri"/>
                <w:sz w:val="18"/>
                <w:szCs w:val="18"/>
                <w:b w:val="1"/>
                <w:bCs w:val="1"/>
                <w:color w:val="auto"/>
              </w:rPr>
              <w:t>Industrial</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line="215" w:lineRule="exact"/>
              <w:rPr>
                <w:sz w:val="20"/>
                <w:szCs w:val="20"/>
                <w:color w:val="auto"/>
              </w:rPr>
            </w:pPr>
            <w:r>
              <w:rPr>
                <w:rFonts w:ascii="Calibri" w:cs="Calibri" w:eastAsia="Calibri" w:hAnsi="Calibri"/>
                <w:sz w:val="18"/>
                <w:szCs w:val="18"/>
                <w:b w:val="1"/>
                <w:bCs w:val="1"/>
                <w:color w:val="auto"/>
              </w:rPr>
              <w:t>Nutriton</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Calibri" w:cs="Calibri" w:eastAsia="Calibri" w:hAnsi="Calibri"/>
                <w:sz w:val="18"/>
                <w:szCs w:val="18"/>
                <w:b w:val="1"/>
                <w:bCs w:val="1"/>
                <w:color w:val="auto"/>
              </w:rPr>
              <w:t>Total</w:t>
            </w:r>
          </w:p>
        </w:tc>
      </w:tr>
      <w:tr>
        <w:trPr>
          <w:trHeight w:val="23"/>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8"/>
        </w:trPr>
        <w:tc>
          <w:tcPr>
            <w:tcW w:w="20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89,367</w:t>
            </w:r>
          </w:p>
        </w:tc>
        <w:tc>
          <w:tcPr>
            <w:tcW w:w="120" w:type="dxa"/>
            <w:vAlign w:val="bottom"/>
          </w:tcPr>
          <w:p>
            <w:pPr>
              <w:spacing w:after="0"/>
              <w:rPr>
                <w:sz w:val="18"/>
                <w:szCs w:val="18"/>
                <w:color w:val="auto"/>
              </w:rPr>
            </w:pPr>
          </w:p>
        </w:tc>
        <w:tc>
          <w:tcPr>
            <w:tcW w:w="200" w:type="dxa"/>
            <w:vAlign w:val="bottom"/>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76,306</w:t>
            </w:r>
          </w:p>
        </w:tc>
        <w:tc>
          <w:tcPr>
            <w:tcW w:w="10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08" w:lineRule="exact"/>
              <w:rPr>
                <w:sz w:val="20"/>
                <w:szCs w:val="20"/>
                <w:color w:val="auto"/>
              </w:rPr>
            </w:pPr>
            <w:r>
              <w:rPr>
                <w:rFonts w:ascii="Calibri" w:cs="Calibri" w:eastAsia="Calibri" w:hAnsi="Calibri"/>
                <w:sz w:val="18"/>
                <w:szCs w:val="18"/>
                <w:color w:val="auto"/>
              </w:rPr>
              <w:t>9,240</w:t>
            </w:r>
          </w:p>
        </w:tc>
        <w:tc>
          <w:tcPr>
            <w:tcW w:w="120" w:type="dxa"/>
            <w:vAlign w:val="bottom"/>
          </w:tcPr>
          <w:p>
            <w:pPr>
              <w:spacing w:after="0"/>
              <w:rPr>
                <w:sz w:val="18"/>
                <w:szCs w:val="18"/>
                <w:color w:val="auto"/>
              </w:rPr>
            </w:pPr>
          </w:p>
        </w:tc>
        <w:tc>
          <w:tcPr>
            <w:tcW w:w="300" w:type="dxa"/>
            <w:vAlign w:val="bottom"/>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08" w:lineRule="exact"/>
              <w:rPr>
                <w:sz w:val="20"/>
                <w:szCs w:val="20"/>
                <w:color w:val="auto"/>
              </w:rPr>
            </w:pPr>
            <w:r>
              <w:rPr>
                <w:rFonts w:ascii="Calibri" w:cs="Calibri" w:eastAsia="Calibri" w:hAnsi="Calibri"/>
                <w:sz w:val="18"/>
                <w:szCs w:val="18"/>
                <w:color w:val="auto"/>
              </w:rPr>
              <w:t>174,913</w:t>
            </w:r>
          </w:p>
        </w:tc>
      </w:tr>
      <w:tr>
        <w:trPr>
          <w:trHeight w:val="221"/>
        </w:trPr>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25,018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25,018</w:t>
            </w:r>
          </w:p>
        </w:tc>
      </w:tr>
      <w:tr>
        <w:trPr>
          <w:trHeight w:val="230"/>
        </w:trPr>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9,136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14,075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23,211</w:t>
            </w:r>
          </w:p>
        </w:tc>
      </w:tr>
      <w:tr>
        <w:trPr>
          <w:trHeight w:val="229"/>
        </w:trPr>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1,249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1,616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198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3,063</w:t>
            </w:r>
          </w:p>
        </w:tc>
      </w:tr>
      <w:tr>
        <w:trPr>
          <w:trHeight w:val="23"/>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99,752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91,997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34,456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226,205</w:t>
            </w:r>
          </w:p>
        </w:tc>
      </w:tr>
      <w:tr>
        <w:trPr>
          <w:trHeight w:val="27"/>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-779145</wp:posOffset>
            </wp:positionV>
            <wp:extent cx="710628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-479425</wp:posOffset>
            </wp:positionV>
            <wp:extent cx="710628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-187960</wp:posOffset>
            </wp:positionV>
            <wp:extent cx="710628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9" w:lineRule="exact"/>
        <w:rPr>
          <w:sz w:val="20"/>
          <w:szCs w:val="20"/>
          <w:color w:val="auto"/>
        </w:rPr>
      </w:pPr>
    </w:p>
    <w:p>
      <w:pPr>
        <w:ind w:left="1340"/>
        <w:spacing w:after="0"/>
        <w:rPr>
          <w:sz w:val="20"/>
          <w:szCs w:val="20"/>
          <w:color w:val="auto"/>
        </w:rPr>
      </w:pPr>
      <w:r>
        <w:rPr>
          <w:rFonts w:ascii="Calibri" w:cs="Calibri" w:eastAsia="Calibri" w:hAnsi="Calibri"/>
          <w:sz w:val="18"/>
          <w:szCs w:val="18"/>
          <w:b w:val="1"/>
          <w:bCs w:val="1"/>
          <w:color w:val="auto"/>
        </w:rPr>
        <w:t>Three months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1240" w:type="dxa"/>
            <w:vAlign w:val="bottom"/>
            <w:gridSpan w:val="2"/>
          </w:tcPr>
          <w:p>
            <w:pPr>
              <w:jc w:val="center"/>
              <w:ind w:right="340"/>
              <w:spacing w:after="0" w:line="204" w:lineRule="exact"/>
              <w:rPr>
                <w:sz w:val="20"/>
                <w:szCs w:val="20"/>
                <w:color w:val="auto"/>
              </w:rPr>
            </w:pPr>
            <w:r>
              <w:rPr>
                <w:rFonts w:ascii="Calibri" w:cs="Calibri" w:eastAsia="Calibri" w:hAnsi="Calibri"/>
                <w:sz w:val="18"/>
                <w:szCs w:val="18"/>
                <w:b w:val="1"/>
                <w:bCs w:val="1"/>
                <w:color w:val="auto"/>
                <w:w w:val="97"/>
              </w:rPr>
              <w:t>Water</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340"/>
              <w:spacing w:after="0" w:line="204" w:lineRule="exact"/>
              <w:rPr>
                <w:sz w:val="20"/>
                <w:szCs w:val="20"/>
                <w:color w:val="auto"/>
              </w:rPr>
            </w:pPr>
            <w:r>
              <w:rPr>
                <w:rFonts w:ascii="Calibri" w:cs="Calibri" w:eastAsia="Calibri" w:hAnsi="Calibri"/>
                <w:sz w:val="18"/>
                <w:szCs w:val="18"/>
                <w:b w:val="1"/>
                <w:bCs w:val="1"/>
                <w:color w:val="auto"/>
                <w:w w:val="97"/>
              </w:rPr>
              <w:t>Health and</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8"/>
        </w:trPr>
        <w:tc>
          <w:tcPr>
            <w:tcW w:w="200" w:type="dxa"/>
            <w:vAlign w:val="bottom"/>
          </w:tcPr>
          <w:p>
            <w:pPr>
              <w:spacing w:after="0"/>
              <w:rPr>
                <w:sz w:val="19"/>
                <w:szCs w:val="19"/>
                <w:color w:val="auto"/>
              </w:rPr>
            </w:pPr>
          </w:p>
        </w:tc>
        <w:tc>
          <w:tcPr>
            <w:tcW w:w="1240" w:type="dxa"/>
            <w:vAlign w:val="bottom"/>
            <w:gridSpan w:val="2"/>
          </w:tcPr>
          <w:p>
            <w:pPr>
              <w:jc w:val="center"/>
              <w:ind w:right="320"/>
              <w:spacing w:after="0" w:line="215" w:lineRule="exact"/>
              <w:rPr>
                <w:sz w:val="20"/>
                <w:szCs w:val="20"/>
                <w:color w:val="auto"/>
              </w:rPr>
            </w:pPr>
            <w:r>
              <w:rPr>
                <w:rFonts w:ascii="Calibri" w:cs="Calibri" w:eastAsia="Calibri" w:hAnsi="Calibri"/>
                <w:sz w:val="18"/>
                <w:szCs w:val="18"/>
                <w:b w:val="1"/>
                <w:bCs w:val="1"/>
                <w:color w:val="auto"/>
                <w:w w:val="96"/>
              </w:rPr>
              <w:t>Treatment</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Calibri" w:cs="Calibri" w:eastAsia="Calibri" w:hAnsi="Calibri"/>
                <w:sz w:val="18"/>
                <w:szCs w:val="18"/>
                <w:b w:val="1"/>
                <w:bCs w:val="1"/>
                <w:color w:val="auto"/>
              </w:rPr>
              <w:t>Industrial</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line="215" w:lineRule="exact"/>
              <w:rPr>
                <w:sz w:val="20"/>
                <w:szCs w:val="20"/>
                <w:color w:val="auto"/>
              </w:rPr>
            </w:pPr>
            <w:r>
              <w:rPr>
                <w:rFonts w:ascii="Calibri" w:cs="Calibri" w:eastAsia="Calibri" w:hAnsi="Calibri"/>
                <w:sz w:val="18"/>
                <w:szCs w:val="18"/>
                <w:b w:val="1"/>
                <w:bCs w:val="1"/>
                <w:color w:val="auto"/>
              </w:rPr>
              <w:t>Nutriton</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Calibri" w:cs="Calibri" w:eastAsia="Calibri" w:hAnsi="Calibri"/>
                <w:sz w:val="18"/>
                <w:szCs w:val="18"/>
                <w:b w:val="1"/>
                <w:bCs w:val="1"/>
                <w:color w:val="auto"/>
              </w:rPr>
              <w:t>Total</w:t>
            </w:r>
          </w:p>
        </w:tc>
      </w:tr>
      <w:tr>
        <w:trPr>
          <w:trHeight w:val="23"/>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8"/>
        </w:trPr>
        <w:tc>
          <w:tcPr>
            <w:tcW w:w="20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73,406</w:t>
            </w:r>
          </w:p>
        </w:tc>
        <w:tc>
          <w:tcPr>
            <w:tcW w:w="120" w:type="dxa"/>
            <w:vAlign w:val="bottom"/>
          </w:tcPr>
          <w:p>
            <w:pPr>
              <w:spacing w:after="0"/>
              <w:rPr>
                <w:sz w:val="18"/>
                <w:szCs w:val="18"/>
                <w:color w:val="auto"/>
              </w:rPr>
            </w:pPr>
          </w:p>
        </w:tc>
        <w:tc>
          <w:tcPr>
            <w:tcW w:w="200" w:type="dxa"/>
            <w:vAlign w:val="bottom"/>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78,313</w:t>
            </w:r>
          </w:p>
        </w:tc>
        <w:tc>
          <w:tcPr>
            <w:tcW w:w="10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08" w:lineRule="exact"/>
              <w:rPr>
                <w:sz w:val="20"/>
                <w:szCs w:val="20"/>
                <w:color w:val="auto"/>
              </w:rPr>
            </w:pPr>
            <w:r>
              <w:rPr>
                <w:rFonts w:ascii="Calibri" w:cs="Calibri" w:eastAsia="Calibri" w:hAnsi="Calibri"/>
                <w:sz w:val="18"/>
                <w:szCs w:val="18"/>
                <w:color w:val="auto"/>
              </w:rPr>
              <w:t>7,857</w:t>
            </w:r>
          </w:p>
        </w:tc>
        <w:tc>
          <w:tcPr>
            <w:tcW w:w="120" w:type="dxa"/>
            <w:vAlign w:val="bottom"/>
          </w:tcPr>
          <w:p>
            <w:pPr>
              <w:spacing w:after="0"/>
              <w:rPr>
                <w:sz w:val="18"/>
                <w:szCs w:val="18"/>
                <w:color w:val="auto"/>
              </w:rPr>
            </w:pPr>
          </w:p>
        </w:tc>
        <w:tc>
          <w:tcPr>
            <w:tcW w:w="300" w:type="dxa"/>
            <w:vAlign w:val="bottom"/>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08" w:lineRule="exact"/>
              <w:rPr>
                <w:sz w:val="20"/>
                <w:szCs w:val="20"/>
                <w:color w:val="auto"/>
              </w:rPr>
            </w:pPr>
            <w:r>
              <w:rPr>
                <w:rFonts w:ascii="Calibri" w:cs="Calibri" w:eastAsia="Calibri" w:hAnsi="Calibri"/>
                <w:sz w:val="18"/>
                <w:szCs w:val="18"/>
                <w:color w:val="auto"/>
              </w:rPr>
              <w:t>159,576</w:t>
            </w:r>
          </w:p>
        </w:tc>
      </w:tr>
      <w:tr>
        <w:trPr>
          <w:trHeight w:val="221"/>
        </w:trPr>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25,678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25,678</w:t>
            </w:r>
          </w:p>
        </w:tc>
      </w:tr>
      <w:tr>
        <w:trPr>
          <w:trHeight w:val="229"/>
        </w:trPr>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7,629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12,921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20,550</w:t>
            </w:r>
          </w:p>
        </w:tc>
      </w:tr>
      <w:tr>
        <w:trPr>
          <w:trHeight w:val="229"/>
        </w:trPr>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984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1,756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2,692</w:t>
            </w:r>
          </w:p>
        </w:tc>
      </w:tr>
      <w:tr>
        <w:trPr>
          <w:trHeight w:val="23"/>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82,019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92,990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33,487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208,496</w:t>
            </w:r>
          </w:p>
        </w:tc>
      </w:tr>
      <w:tr>
        <w:trPr>
          <w:trHeight w:val="27"/>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-779145</wp:posOffset>
            </wp:positionV>
            <wp:extent cx="710628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-479425</wp:posOffset>
            </wp:positionV>
            <wp:extent cx="710628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-187960</wp:posOffset>
            </wp:positionV>
            <wp:extent cx="710628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9" w:lineRule="exact"/>
        <w:rPr>
          <w:sz w:val="20"/>
          <w:szCs w:val="20"/>
          <w:color w:val="auto"/>
        </w:rPr>
      </w:pPr>
    </w:p>
    <w:p>
      <w:pPr>
        <w:ind w:left="1380"/>
        <w:spacing w:after="0"/>
        <w:rPr>
          <w:sz w:val="20"/>
          <w:szCs w:val="20"/>
          <w:color w:val="auto"/>
        </w:rPr>
      </w:pPr>
      <w:r>
        <w:rPr>
          <w:rFonts w:ascii="Calibri" w:cs="Calibri" w:eastAsia="Calibri" w:hAnsi="Calibri"/>
          <w:sz w:val="18"/>
          <w:szCs w:val="18"/>
          <w:b w:val="1"/>
          <w:bCs w:val="1"/>
          <w:color w:val="auto"/>
        </w:rPr>
        <w:t>Nine months ended December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1240" w:type="dxa"/>
            <w:vAlign w:val="bottom"/>
            <w:gridSpan w:val="2"/>
          </w:tcPr>
          <w:p>
            <w:pPr>
              <w:jc w:val="center"/>
              <w:ind w:right="340"/>
              <w:spacing w:after="0" w:line="204" w:lineRule="exact"/>
              <w:rPr>
                <w:sz w:val="20"/>
                <w:szCs w:val="20"/>
                <w:color w:val="auto"/>
              </w:rPr>
            </w:pPr>
            <w:r>
              <w:rPr>
                <w:rFonts w:ascii="Calibri" w:cs="Calibri" w:eastAsia="Calibri" w:hAnsi="Calibri"/>
                <w:sz w:val="18"/>
                <w:szCs w:val="18"/>
                <w:b w:val="1"/>
                <w:bCs w:val="1"/>
                <w:color w:val="auto"/>
                <w:w w:val="97"/>
              </w:rPr>
              <w:t>Water</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340"/>
              <w:spacing w:after="0" w:line="204" w:lineRule="exact"/>
              <w:rPr>
                <w:sz w:val="20"/>
                <w:szCs w:val="20"/>
                <w:color w:val="auto"/>
              </w:rPr>
            </w:pPr>
            <w:r>
              <w:rPr>
                <w:rFonts w:ascii="Calibri" w:cs="Calibri" w:eastAsia="Calibri" w:hAnsi="Calibri"/>
                <w:sz w:val="18"/>
                <w:szCs w:val="18"/>
                <w:b w:val="1"/>
                <w:bCs w:val="1"/>
                <w:color w:val="auto"/>
                <w:w w:val="97"/>
              </w:rPr>
              <w:t>Health and</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8"/>
        </w:trPr>
        <w:tc>
          <w:tcPr>
            <w:tcW w:w="200" w:type="dxa"/>
            <w:vAlign w:val="bottom"/>
          </w:tcPr>
          <w:p>
            <w:pPr>
              <w:spacing w:after="0"/>
              <w:rPr>
                <w:sz w:val="19"/>
                <w:szCs w:val="19"/>
                <w:color w:val="auto"/>
              </w:rPr>
            </w:pPr>
          </w:p>
        </w:tc>
        <w:tc>
          <w:tcPr>
            <w:tcW w:w="1240" w:type="dxa"/>
            <w:vAlign w:val="bottom"/>
            <w:gridSpan w:val="2"/>
          </w:tcPr>
          <w:p>
            <w:pPr>
              <w:jc w:val="center"/>
              <w:ind w:right="320"/>
              <w:spacing w:after="0" w:line="215" w:lineRule="exact"/>
              <w:rPr>
                <w:sz w:val="20"/>
                <w:szCs w:val="20"/>
                <w:color w:val="auto"/>
              </w:rPr>
            </w:pPr>
            <w:r>
              <w:rPr>
                <w:rFonts w:ascii="Calibri" w:cs="Calibri" w:eastAsia="Calibri" w:hAnsi="Calibri"/>
                <w:sz w:val="18"/>
                <w:szCs w:val="18"/>
                <w:b w:val="1"/>
                <w:bCs w:val="1"/>
                <w:color w:val="auto"/>
                <w:w w:val="96"/>
              </w:rPr>
              <w:t>Treatment</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Calibri" w:cs="Calibri" w:eastAsia="Calibri" w:hAnsi="Calibri"/>
                <w:sz w:val="18"/>
                <w:szCs w:val="18"/>
                <w:b w:val="1"/>
                <w:bCs w:val="1"/>
                <w:color w:val="auto"/>
              </w:rPr>
              <w:t>Industrial</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line="215" w:lineRule="exact"/>
              <w:rPr>
                <w:sz w:val="20"/>
                <w:szCs w:val="20"/>
                <w:color w:val="auto"/>
              </w:rPr>
            </w:pPr>
            <w:r>
              <w:rPr>
                <w:rFonts w:ascii="Calibri" w:cs="Calibri" w:eastAsia="Calibri" w:hAnsi="Calibri"/>
                <w:sz w:val="18"/>
                <w:szCs w:val="18"/>
                <w:b w:val="1"/>
                <w:bCs w:val="1"/>
                <w:color w:val="auto"/>
              </w:rPr>
              <w:t>Nutriton</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Calibri" w:cs="Calibri" w:eastAsia="Calibri" w:hAnsi="Calibri"/>
                <w:sz w:val="18"/>
                <w:szCs w:val="18"/>
                <w:b w:val="1"/>
                <w:bCs w:val="1"/>
                <w:color w:val="auto"/>
              </w:rPr>
              <w:t>Total</w:t>
            </w:r>
          </w:p>
        </w:tc>
      </w:tr>
      <w:tr>
        <w:trPr>
          <w:trHeight w:val="23"/>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8"/>
        </w:trPr>
        <w:tc>
          <w:tcPr>
            <w:tcW w:w="20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307,902</w:t>
            </w:r>
          </w:p>
        </w:tc>
        <w:tc>
          <w:tcPr>
            <w:tcW w:w="120" w:type="dxa"/>
            <w:vAlign w:val="bottom"/>
          </w:tcPr>
          <w:p>
            <w:pPr>
              <w:spacing w:after="0"/>
              <w:rPr>
                <w:sz w:val="18"/>
                <w:szCs w:val="18"/>
                <w:color w:val="auto"/>
              </w:rPr>
            </w:pPr>
          </w:p>
        </w:tc>
        <w:tc>
          <w:tcPr>
            <w:tcW w:w="200" w:type="dxa"/>
            <w:vAlign w:val="bottom"/>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239,024</w:t>
            </w:r>
          </w:p>
        </w:tc>
        <w:tc>
          <w:tcPr>
            <w:tcW w:w="10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08" w:lineRule="exact"/>
              <w:rPr>
                <w:sz w:val="20"/>
                <w:szCs w:val="20"/>
                <w:color w:val="auto"/>
              </w:rPr>
            </w:pPr>
            <w:r>
              <w:rPr>
                <w:rFonts w:ascii="Calibri" w:cs="Calibri" w:eastAsia="Calibri" w:hAnsi="Calibri"/>
                <w:sz w:val="18"/>
                <w:szCs w:val="18"/>
                <w:color w:val="auto"/>
              </w:rPr>
              <w:t>21,033</w:t>
            </w:r>
          </w:p>
        </w:tc>
        <w:tc>
          <w:tcPr>
            <w:tcW w:w="120" w:type="dxa"/>
            <w:vAlign w:val="bottom"/>
          </w:tcPr>
          <w:p>
            <w:pPr>
              <w:spacing w:after="0"/>
              <w:rPr>
                <w:sz w:val="18"/>
                <w:szCs w:val="18"/>
                <w:color w:val="auto"/>
              </w:rPr>
            </w:pPr>
          </w:p>
        </w:tc>
        <w:tc>
          <w:tcPr>
            <w:tcW w:w="300" w:type="dxa"/>
            <w:vAlign w:val="bottom"/>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08" w:lineRule="exact"/>
              <w:rPr>
                <w:sz w:val="20"/>
                <w:szCs w:val="20"/>
                <w:color w:val="auto"/>
              </w:rPr>
            </w:pPr>
            <w:r>
              <w:rPr>
                <w:rFonts w:ascii="Calibri" w:cs="Calibri" w:eastAsia="Calibri" w:hAnsi="Calibri"/>
                <w:sz w:val="18"/>
                <w:szCs w:val="18"/>
                <w:color w:val="auto"/>
              </w:rPr>
              <w:t>567,959</w:t>
            </w:r>
          </w:p>
        </w:tc>
      </w:tr>
      <w:tr>
        <w:trPr>
          <w:trHeight w:val="221"/>
        </w:trPr>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80,956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80,956</w:t>
            </w:r>
          </w:p>
        </w:tc>
      </w:tr>
      <w:tr>
        <w:trPr>
          <w:trHeight w:val="230"/>
        </w:trPr>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29,808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40,743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70,551</w:t>
            </w:r>
          </w:p>
        </w:tc>
      </w:tr>
      <w:tr>
        <w:trPr>
          <w:trHeight w:val="230"/>
        </w:trPr>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3,746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5,368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533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9,647</w:t>
            </w:r>
          </w:p>
        </w:tc>
      </w:tr>
      <w:tr>
        <w:trPr>
          <w:trHeight w:val="23"/>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6"/>
        </w:trPr>
        <w:tc>
          <w:tcPr>
            <w:tcW w:w="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341,456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285,135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102,522</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729,113</w:t>
            </w:r>
          </w:p>
        </w:tc>
      </w:tr>
      <w:tr>
        <w:trPr>
          <w:trHeight w:val="27"/>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-779145</wp:posOffset>
            </wp:positionV>
            <wp:extent cx="710628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-479425</wp:posOffset>
            </wp:positionV>
            <wp:extent cx="710628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-187960</wp:posOffset>
            </wp:positionV>
            <wp:extent cx="710628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9" w:lineRule="exact"/>
        <w:rPr>
          <w:sz w:val="20"/>
          <w:szCs w:val="20"/>
          <w:color w:val="auto"/>
        </w:rPr>
      </w:pPr>
    </w:p>
    <w:p>
      <w:pPr>
        <w:ind w:left="1380"/>
        <w:spacing w:after="0"/>
        <w:rPr>
          <w:sz w:val="20"/>
          <w:szCs w:val="20"/>
          <w:color w:val="auto"/>
        </w:rPr>
      </w:pPr>
      <w:r>
        <w:rPr>
          <w:rFonts w:ascii="Calibri" w:cs="Calibri" w:eastAsia="Calibri" w:hAnsi="Calibri"/>
          <w:sz w:val="18"/>
          <w:szCs w:val="18"/>
          <w:b w:val="1"/>
          <w:bCs w:val="1"/>
          <w:color w:val="auto"/>
        </w:rPr>
        <w:t>Nine months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1240" w:type="dxa"/>
            <w:vAlign w:val="bottom"/>
            <w:gridSpan w:val="2"/>
          </w:tcPr>
          <w:p>
            <w:pPr>
              <w:jc w:val="center"/>
              <w:ind w:right="340"/>
              <w:spacing w:after="0" w:line="204" w:lineRule="exact"/>
              <w:rPr>
                <w:sz w:val="20"/>
                <w:szCs w:val="20"/>
                <w:color w:val="auto"/>
              </w:rPr>
            </w:pPr>
            <w:r>
              <w:rPr>
                <w:rFonts w:ascii="Calibri" w:cs="Calibri" w:eastAsia="Calibri" w:hAnsi="Calibri"/>
                <w:sz w:val="18"/>
                <w:szCs w:val="18"/>
                <w:b w:val="1"/>
                <w:bCs w:val="1"/>
                <w:color w:val="auto"/>
                <w:w w:val="97"/>
              </w:rPr>
              <w:t>Water</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340"/>
              <w:spacing w:after="0" w:line="204" w:lineRule="exact"/>
              <w:rPr>
                <w:sz w:val="20"/>
                <w:szCs w:val="20"/>
                <w:color w:val="auto"/>
              </w:rPr>
            </w:pPr>
            <w:r>
              <w:rPr>
                <w:rFonts w:ascii="Calibri" w:cs="Calibri" w:eastAsia="Calibri" w:hAnsi="Calibri"/>
                <w:sz w:val="18"/>
                <w:szCs w:val="18"/>
                <w:b w:val="1"/>
                <w:bCs w:val="1"/>
                <w:color w:val="auto"/>
                <w:w w:val="97"/>
              </w:rPr>
              <w:t>Health and</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8"/>
        </w:trPr>
        <w:tc>
          <w:tcPr>
            <w:tcW w:w="200" w:type="dxa"/>
            <w:vAlign w:val="bottom"/>
          </w:tcPr>
          <w:p>
            <w:pPr>
              <w:spacing w:after="0"/>
              <w:rPr>
                <w:sz w:val="19"/>
                <w:szCs w:val="19"/>
                <w:color w:val="auto"/>
              </w:rPr>
            </w:pPr>
          </w:p>
        </w:tc>
        <w:tc>
          <w:tcPr>
            <w:tcW w:w="1240" w:type="dxa"/>
            <w:vAlign w:val="bottom"/>
            <w:gridSpan w:val="2"/>
          </w:tcPr>
          <w:p>
            <w:pPr>
              <w:jc w:val="center"/>
              <w:ind w:right="320"/>
              <w:spacing w:after="0" w:line="215" w:lineRule="exact"/>
              <w:rPr>
                <w:sz w:val="20"/>
                <w:szCs w:val="20"/>
                <w:color w:val="auto"/>
              </w:rPr>
            </w:pPr>
            <w:r>
              <w:rPr>
                <w:rFonts w:ascii="Calibri" w:cs="Calibri" w:eastAsia="Calibri" w:hAnsi="Calibri"/>
                <w:sz w:val="18"/>
                <w:szCs w:val="18"/>
                <w:b w:val="1"/>
                <w:bCs w:val="1"/>
                <w:color w:val="auto"/>
                <w:w w:val="96"/>
              </w:rPr>
              <w:t>Treatment</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Calibri" w:cs="Calibri" w:eastAsia="Calibri" w:hAnsi="Calibri"/>
                <w:sz w:val="18"/>
                <w:szCs w:val="18"/>
                <w:b w:val="1"/>
                <w:bCs w:val="1"/>
                <w:color w:val="auto"/>
              </w:rPr>
              <w:t>Industrial</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line="215" w:lineRule="exact"/>
              <w:rPr>
                <w:sz w:val="20"/>
                <w:szCs w:val="20"/>
                <w:color w:val="auto"/>
              </w:rPr>
            </w:pPr>
            <w:r>
              <w:rPr>
                <w:rFonts w:ascii="Calibri" w:cs="Calibri" w:eastAsia="Calibri" w:hAnsi="Calibri"/>
                <w:sz w:val="18"/>
                <w:szCs w:val="18"/>
                <w:b w:val="1"/>
                <w:bCs w:val="1"/>
                <w:color w:val="auto"/>
              </w:rPr>
              <w:t>Nutriton</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Calibri" w:cs="Calibri" w:eastAsia="Calibri" w:hAnsi="Calibri"/>
                <w:sz w:val="18"/>
                <w:szCs w:val="18"/>
                <w:b w:val="1"/>
                <w:bCs w:val="1"/>
                <w:color w:val="auto"/>
              </w:rPr>
              <w:t>Total</w:t>
            </w:r>
          </w:p>
        </w:tc>
      </w:tr>
      <w:tr>
        <w:trPr>
          <w:trHeight w:val="23"/>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8"/>
        </w:trPr>
        <w:tc>
          <w:tcPr>
            <w:tcW w:w="20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249,155</w:t>
            </w:r>
          </w:p>
        </w:tc>
        <w:tc>
          <w:tcPr>
            <w:tcW w:w="120" w:type="dxa"/>
            <w:vAlign w:val="bottom"/>
          </w:tcPr>
          <w:p>
            <w:pPr>
              <w:spacing w:after="0"/>
              <w:rPr>
                <w:sz w:val="18"/>
                <w:szCs w:val="18"/>
                <w:color w:val="auto"/>
              </w:rPr>
            </w:pPr>
          </w:p>
        </w:tc>
        <w:tc>
          <w:tcPr>
            <w:tcW w:w="200" w:type="dxa"/>
            <w:vAlign w:val="bottom"/>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264,878</w:t>
            </w:r>
          </w:p>
        </w:tc>
        <w:tc>
          <w:tcPr>
            <w:tcW w:w="10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08" w:lineRule="exact"/>
              <w:rPr>
                <w:sz w:val="20"/>
                <w:szCs w:val="20"/>
                <w:color w:val="auto"/>
              </w:rPr>
            </w:pPr>
            <w:r>
              <w:rPr>
                <w:rFonts w:ascii="Calibri" w:cs="Calibri" w:eastAsia="Calibri" w:hAnsi="Calibri"/>
                <w:sz w:val="18"/>
                <w:szCs w:val="18"/>
                <w:color w:val="auto"/>
              </w:rPr>
              <w:t>28,956</w:t>
            </w:r>
          </w:p>
        </w:tc>
        <w:tc>
          <w:tcPr>
            <w:tcW w:w="120" w:type="dxa"/>
            <w:vAlign w:val="bottom"/>
          </w:tcPr>
          <w:p>
            <w:pPr>
              <w:spacing w:after="0"/>
              <w:rPr>
                <w:sz w:val="18"/>
                <w:szCs w:val="18"/>
                <w:color w:val="auto"/>
              </w:rPr>
            </w:pPr>
          </w:p>
        </w:tc>
        <w:tc>
          <w:tcPr>
            <w:tcW w:w="300" w:type="dxa"/>
            <w:vAlign w:val="bottom"/>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08" w:lineRule="exact"/>
              <w:rPr>
                <w:sz w:val="20"/>
                <w:szCs w:val="20"/>
                <w:color w:val="auto"/>
              </w:rPr>
            </w:pPr>
            <w:r>
              <w:rPr>
                <w:rFonts w:ascii="Calibri" w:cs="Calibri" w:eastAsia="Calibri" w:hAnsi="Calibri"/>
                <w:sz w:val="18"/>
                <w:szCs w:val="18"/>
                <w:color w:val="auto"/>
              </w:rPr>
              <w:t>542,989</w:t>
            </w:r>
          </w:p>
        </w:tc>
      </w:tr>
      <w:tr>
        <w:trPr>
          <w:trHeight w:val="221"/>
        </w:trPr>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77,945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77,945</w:t>
            </w:r>
          </w:p>
        </w:tc>
      </w:tr>
      <w:tr>
        <w:trPr>
          <w:trHeight w:val="230"/>
        </w:trPr>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23,710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41,280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64,990</w:t>
            </w:r>
          </w:p>
        </w:tc>
      </w:tr>
      <w:tr>
        <w:trPr>
          <w:trHeight w:val="229"/>
        </w:trPr>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3,730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6,240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248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10,218</w:t>
            </w:r>
          </w:p>
        </w:tc>
      </w:tr>
      <w:tr>
        <w:trPr>
          <w:trHeight w:val="23"/>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276,595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312,398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107,149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696,142</w:t>
            </w:r>
          </w:p>
        </w:tc>
      </w:tr>
      <w:tr>
        <w:trPr>
          <w:trHeight w:val="27"/>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-779145</wp:posOffset>
            </wp:positionV>
            <wp:extent cx="710628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-479425</wp:posOffset>
            </wp:positionV>
            <wp:extent cx="710628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-187960</wp:posOffset>
            </wp:positionV>
            <wp:extent cx="710628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720"/>
            <w:col w:w="5660"/>
          </w:cols>
          <w:pgMar w:left="320" w:top="598" w:right="339" w:bottom="1440" w:gutter="0" w:footer="0" w:header="0"/>
          <w:type w:val="continuous"/>
        </w:sectPr>
      </w:pPr>
    </w:p>
    <w:p>
      <w:pPr>
        <w:spacing w:after="0" w:line="119" w:lineRule="exact"/>
        <w:rPr>
          <w:sz w:val="20"/>
          <w:szCs w:val="20"/>
          <w:color w:val="auto"/>
        </w:rPr>
      </w:pPr>
    </w:p>
    <w:p>
      <w:pPr>
        <w:ind w:left="660" w:right="60" w:hanging="328"/>
        <w:spacing w:after="0" w:line="234" w:lineRule="auto"/>
        <w:tabs>
          <w:tab w:leader="none" w:pos="651" w:val="left"/>
        </w:tabs>
        <w:numPr>
          <w:ilvl w:val="0"/>
          <w:numId w:val="1"/>
        </w:numPr>
        <w:rPr>
          <w:rFonts w:ascii="Calibri" w:cs="Calibri" w:eastAsia="Calibri" w:hAnsi="Calibri"/>
          <w:sz w:val="16"/>
          <w:szCs w:val="16"/>
          <w:color w:val="auto"/>
        </w:rPr>
      </w:pPr>
      <w:r>
        <w:rPr>
          <w:rFonts w:ascii="Calibri" w:cs="Calibri" w:eastAsia="Calibri" w:hAnsi="Calibri"/>
          <w:sz w:val="16"/>
          <w:szCs w:val="16"/>
          <w:color w:val="auto"/>
        </w:rPr>
        <w:t>For our Water Treatment and Industrial segments, this line includes our non-bulk specialty products that we either manufacture, blend, repackage, resell in their original form, or direct ship to our customers in smaller quanttes, and services we provide for our customers. For our Health and Nutriton segment, this line includes products manufactured, processed or repackaged in our facility and/or with our equipment.</w:t>
      </w:r>
    </w:p>
    <w:p>
      <w:pPr>
        <w:spacing w:after="0" w:line="9" w:lineRule="exact"/>
        <w:rPr>
          <w:rFonts w:ascii="Calibri" w:cs="Calibri" w:eastAsia="Calibri" w:hAnsi="Calibri"/>
          <w:sz w:val="16"/>
          <w:szCs w:val="16"/>
          <w:color w:val="auto"/>
        </w:rPr>
      </w:pPr>
    </w:p>
    <w:p>
      <w:pPr>
        <w:ind w:left="660" w:hanging="328"/>
        <w:spacing w:after="0" w:line="235" w:lineRule="auto"/>
        <w:tabs>
          <w:tab w:leader="none" w:pos="651" w:val="left"/>
        </w:tabs>
        <w:numPr>
          <w:ilvl w:val="0"/>
          <w:numId w:val="1"/>
        </w:numPr>
        <w:rPr>
          <w:rFonts w:ascii="Calibri" w:cs="Calibri" w:eastAsia="Calibri" w:hAnsi="Calibri"/>
          <w:sz w:val="16"/>
          <w:szCs w:val="16"/>
          <w:color w:val="auto"/>
        </w:rPr>
      </w:pPr>
      <w:r>
        <w:rPr>
          <w:rFonts w:ascii="Calibri" w:cs="Calibri" w:eastAsia="Calibri" w:hAnsi="Calibri"/>
          <w:sz w:val="16"/>
          <w:szCs w:val="16"/>
          <w:color w:val="auto"/>
        </w:rPr>
        <w:t>This line includes non-manufactured distributed specialty products in our Health and Nutriton segment, which may be sold out of one of our facilites or direct shipped to our customers.</w:t>
      </w:r>
    </w:p>
    <w:p>
      <w:pPr>
        <w:spacing w:after="0" w:line="9" w:lineRule="exact"/>
        <w:rPr>
          <w:rFonts w:ascii="Calibri" w:cs="Calibri" w:eastAsia="Calibri" w:hAnsi="Calibri"/>
          <w:sz w:val="16"/>
          <w:szCs w:val="16"/>
          <w:color w:val="auto"/>
        </w:rPr>
      </w:pPr>
    </w:p>
    <w:p>
      <w:pPr>
        <w:ind w:left="660" w:right="20" w:hanging="328"/>
        <w:spacing w:after="0" w:line="235" w:lineRule="auto"/>
        <w:tabs>
          <w:tab w:leader="none" w:pos="651" w:val="left"/>
        </w:tabs>
        <w:numPr>
          <w:ilvl w:val="0"/>
          <w:numId w:val="1"/>
        </w:numPr>
        <w:rPr>
          <w:rFonts w:ascii="Calibri" w:cs="Calibri" w:eastAsia="Calibri" w:hAnsi="Calibri"/>
          <w:sz w:val="16"/>
          <w:szCs w:val="16"/>
          <w:color w:val="auto"/>
        </w:rPr>
      </w:pPr>
      <w:r>
        <w:rPr>
          <w:rFonts w:ascii="Calibri" w:cs="Calibri" w:eastAsia="Calibri" w:hAnsi="Calibri"/>
          <w:sz w:val="16"/>
          <w:szCs w:val="16"/>
          <w:color w:val="auto"/>
        </w:rPr>
        <w:t>This line includes bulk products in our Water Treatment and Industrial segments that we do not modify in any way, but receive, store, and ship from our facilites, or direct ship to our customers in large quanttes.</w:t>
      </w:r>
    </w:p>
    <w:p>
      <w:pPr>
        <w:spacing w:after="0" w:line="25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8"/>
          <w:szCs w:val="18"/>
          <w:b w:val="1"/>
          <w:bCs w:val="1"/>
          <w:color w:val="auto"/>
        </w:rPr>
        <w:t>Note 4 – Earnings per Share</w:t>
      </w:r>
    </w:p>
    <w:p>
      <w:pPr>
        <w:spacing w:after="0" w:line="244"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Basic earnings per share (“EPS”) is computed by dividing net earnings by the weighted-average number of common shares outstanding. Diluted EPS includes the dilutve impact of incremental shares assumed to be issued as performance units and restricted stock.</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80" w:type="dxa"/>
            <w:vAlign w:val="bottom"/>
          </w:tcPr>
          <w:p>
            <w:pPr>
              <w:spacing w:after="0"/>
              <w:rPr>
                <w:sz w:val="20"/>
                <w:szCs w:val="20"/>
                <w:color w:val="auto"/>
              </w:rPr>
            </w:pPr>
            <w:r>
              <w:rPr>
                <w:rFonts w:ascii="Calibri" w:cs="Calibri" w:eastAsia="Calibri" w:hAnsi="Calibri"/>
                <w:sz w:val="18"/>
                <w:szCs w:val="18"/>
                <w:color w:val="auto"/>
              </w:rPr>
              <w:t>Basic and diluted EPS were calculated using the following:</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7"/>
        </w:trPr>
        <w:tc>
          <w:tcPr>
            <w:tcW w:w="5380" w:type="dxa"/>
            <w:vAlign w:val="bottom"/>
          </w:tcPr>
          <w:p>
            <w:pPr>
              <w:spacing w:after="0"/>
              <w:rPr>
                <w:sz w:val="22"/>
                <w:szCs w:val="22"/>
                <w:color w:val="auto"/>
              </w:rPr>
            </w:pPr>
          </w:p>
        </w:tc>
        <w:tc>
          <w:tcPr>
            <w:tcW w:w="3080" w:type="dxa"/>
            <w:vAlign w:val="bottom"/>
            <w:gridSpan w:val="4"/>
          </w:tcPr>
          <w:p>
            <w:pPr>
              <w:ind w:left="720"/>
              <w:spacing w:after="0"/>
              <w:rPr>
                <w:sz w:val="20"/>
                <w:szCs w:val="20"/>
                <w:color w:val="auto"/>
              </w:rPr>
            </w:pPr>
            <w:r>
              <w:rPr>
                <w:rFonts w:ascii="Calibri" w:cs="Calibri" w:eastAsia="Calibri" w:hAnsi="Calibri"/>
                <w:sz w:val="18"/>
                <w:szCs w:val="18"/>
                <w:b w:val="1"/>
                <w:bCs w:val="1"/>
                <w:color w:val="auto"/>
              </w:rPr>
              <w:t>Three Months Ended</w:t>
            </w:r>
          </w:p>
        </w:tc>
        <w:tc>
          <w:tcPr>
            <w:tcW w:w="2780" w:type="dxa"/>
            <w:vAlign w:val="bottom"/>
            <w:gridSpan w:val="3"/>
          </w:tcPr>
          <w:p>
            <w:pPr>
              <w:jc w:val="right"/>
              <w:ind w:right="570"/>
              <w:spacing w:after="0"/>
              <w:rPr>
                <w:sz w:val="20"/>
                <w:szCs w:val="20"/>
                <w:color w:val="auto"/>
              </w:rPr>
            </w:pPr>
            <w:r>
              <w:rPr>
                <w:rFonts w:ascii="Calibri" w:cs="Calibri" w:eastAsia="Calibri" w:hAnsi="Calibri"/>
                <w:sz w:val="18"/>
                <w:szCs w:val="18"/>
                <w:b w:val="1"/>
                <w:bCs w:val="1"/>
                <w:color w:val="auto"/>
              </w:rPr>
              <w:t>Nine Months Ended</w:t>
            </w:r>
          </w:p>
        </w:tc>
      </w:tr>
      <w:tr>
        <w:trPr>
          <w:trHeight w:val="31"/>
        </w:trPr>
        <w:tc>
          <w:tcPr>
            <w:tcW w:w="53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44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r>
      <w:tr>
        <w:trPr>
          <w:trHeight w:val="167"/>
        </w:trPr>
        <w:tc>
          <w:tcPr>
            <w:tcW w:w="5380" w:type="dxa"/>
            <w:vAlign w:val="bottom"/>
          </w:tcPr>
          <w:p>
            <w:pPr>
              <w:spacing w:after="0"/>
              <w:rPr>
                <w:sz w:val="14"/>
                <w:szCs w:val="14"/>
                <w:color w:val="auto"/>
              </w:rPr>
            </w:pPr>
          </w:p>
        </w:tc>
        <w:tc>
          <w:tcPr>
            <w:tcW w:w="1540" w:type="dxa"/>
            <w:vAlign w:val="bottom"/>
            <w:tcBorders>
              <w:top w:val="single" w:sz="8" w:color="auto"/>
            </w:tcBorders>
            <w:gridSpan w:val="2"/>
          </w:tcPr>
          <w:p>
            <w:pPr>
              <w:ind w:left="220"/>
              <w:spacing w:after="0" w:line="166" w:lineRule="exact"/>
              <w:rPr>
                <w:sz w:val="20"/>
                <w:szCs w:val="20"/>
                <w:color w:val="auto"/>
              </w:rPr>
            </w:pPr>
            <w:r>
              <w:rPr>
                <w:rFonts w:ascii="Calibri" w:cs="Calibri" w:eastAsia="Calibri" w:hAnsi="Calibri"/>
                <w:sz w:val="18"/>
                <w:szCs w:val="18"/>
                <w:b w:val="1"/>
                <w:bCs w:val="1"/>
                <w:color w:val="auto"/>
              </w:rPr>
              <w:t>December 29,</w:t>
            </w:r>
          </w:p>
        </w:tc>
        <w:tc>
          <w:tcPr>
            <w:tcW w:w="1440" w:type="dxa"/>
            <w:vAlign w:val="bottom"/>
            <w:tcBorders>
              <w:top w:val="single" w:sz="8" w:color="auto"/>
            </w:tcBorders>
          </w:tcPr>
          <w:p>
            <w:pPr>
              <w:jc w:val="right"/>
              <w:ind w:right="130"/>
              <w:spacing w:after="0" w:line="166" w:lineRule="exact"/>
              <w:rPr>
                <w:sz w:val="20"/>
                <w:szCs w:val="20"/>
                <w:color w:val="auto"/>
              </w:rPr>
            </w:pPr>
            <w:r>
              <w:rPr>
                <w:rFonts w:ascii="Calibri" w:cs="Calibri" w:eastAsia="Calibri" w:hAnsi="Calibri"/>
                <w:sz w:val="18"/>
                <w:szCs w:val="18"/>
                <w:b w:val="1"/>
                <w:bCs w:val="1"/>
                <w:color w:val="auto"/>
              </w:rPr>
              <w:t>December 31,</w:t>
            </w:r>
          </w:p>
        </w:tc>
        <w:tc>
          <w:tcPr>
            <w:tcW w:w="100" w:type="dxa"/>
            <w:vAlign w:val="bottom"/>
          </w:tcPr>
          <w:p>
            <w:pPr>
              <w:spacing w:after="0"/>
              <w:rPr>
                <w:sz w:val="14"/>
                <w:szCs w:val="14"/>
                <w:color w:val="auto"/>
              </w:rPr>
            </w:pPr>
          </w:p>
        </w:tc>
        <w:tc>
          <w:tcPr>
            <w:tcW w:w="1440" w:type="dxa"/>
            <w:vAlign w:val="bottom"/>
            <w:tcBorders>
              <w:top w:val="single" w:sz="8" w:color="auto"/>
            </w:tcBorders>
            <w:gridSpan w:val="2"/>
          </w:tcPr>
          <w:p>
            <w:pPr>
              <w:ind w:left="160"/>
              <w:spacing w:after="0" w:line="166" w:lineRule="exact"/>
              <w:rPr>
                <w:sz w:val="20"/>
                <w:szCs w:val="20"/>
                <w:color w:val="auto"/>
              </w:rPr>
            </w:pPr>
            <w:r>
              <w:rPr>
                <w:rFonts w:ascii="Calibri" w:cs="Calibri" w:eastAsia="Calibri" w:hAnsi="Calibri"/>
                <w:sz w:val="18"/>
                <w:szCs w:val="18"/>
                <w:b w:val="1"/>
                <w:bCs w:val="1"/>
                <w:color w:val="auto"/>
              </w:rPr>
              <w:t>December 29,</w:t>
            </w:r>
          </w:p>
        </w:tc>
        <w:tc>
          <w:tcPr>
            <w:tcW w:w="1340" w:type="dxa"/>
            <w:vAlign w:val="bottom"/>
            <w:tcBorders>
              <w:top w:val="single" w:sz="8" w:color="auto"/>
            </w:tcBorders>
          </w:tcPr>
          <w:p>
            <w:pPr>
              <w:jc w:val="right"/>
              <w:ind w:right="70"/>
              <w:spacing w:after="0" w:line="166" w:lineRule="exact"/>
              <w:rPr>
                <w:sz w:val="20"/>
                <w:szCs w:val="20"/>
                <w:color w:val="auto"/>
              </w:rPr>
            </w:pPr>
            <w:r>
              <w:rPr>
                <w:rFonts w:ascii="Calibri" w:cs="Calibri" w:eastAsia="Calibri" w:hAnsi="Calibri"/>
                <w:sz w:val="18"/>
                <w:szCs w:val="18"/>
                <w:b w:val="1"/>
                <w:bCs w:val="1"/>
                <w:color w:val="auto"/>
              </w:rPr>
              <w:t>December 31,</w:t>
            </w:r>
          </w:p>
        </w:tc>
      </w:tr>
      <w:tr>
        <w:trPr>
          <w:trHeight w:val="215"/>
        </w:trPr>
        <w:tc>
          <w:tcPr>
            <w:tcW w:w="5380" w:type="dxa"/>
            <w:vAlign w:val="bottom"/>
          </w:tcPr>
          <w:p>
            <w:pPr>
              <w:spacing w:after="0"/>
              <w:rPr>
                <w:sz w:val="18"/>
                <w:szCs w:val="18"/>
                <w:color w:val="auto"/>
              </w:rPr>
            </w:pPr>
          </w:p>
        </w:tc>
        <w:tc>
          <w:tcPr>
            <w:tcW w:w="1440" w:type="dxa"/>
            <w:vAlign w:val="bottom"/>
          </w:tcPr>
          <w:p>
            <w:pPr>
              <w:jc w:val="right"/>
              <w:ind w:right="450"/>
              <w:spacing w:after="0" w:line="215" w:lineRule="exact"/>
              <w:rPr>
                <w:sz w:val="20"/>
                <w:szCs w:val="20"/>
                <w:color w:val="auto"/>
              </w:rPr>
            </w:pPr>
            <w:r>
              <w:rPr>
                <w:rFonts w:ascii="Calibri" w:cs="Calibri" w:eastAsia="Calibri" w:hAnsi="Calibri"/>
                <w:sz w:val="18"/>
                <w:szCs w:val="18"/>
                <w:b w:val="1"/>
                <w:bCs w:val="1"/>
                <w:color w:val="auto"/>
              </w:rPr>
              <w:t>2024</w:t>
            </w:r>
          </w:p>
        </w:tc>
        <w:tc>
          <w:tcPr>
            <w:tcW w:w="100" w:type="dxa"/>
            <w:vAlign w:val="bottom"/>
          </w:tcPr>
          <w:p>
            <w:pPr>
              <w:spacing w:after="0"/>
              <w:rPr>
                <w:sz w:val="18"/>
                <w:szCs w:val="18"/>
                <w:color w:val="auto"/>
              </w:rPr>
            </w:pPr>
          </w:p>
        </w:tc>
        <w:tc>
          <w:tcPr>
            <w:tcW w:w="1440" w:type="dxa"/>
            <w:vAlign w:val="bottom"/>
          </w:tcPr>
          <w:p>
            <w:pPr>
              <w:jc w:val="right"/>
              <w:ind w:right="450"/>
              <w:spacing w:after="0" w:line="215"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c>
          <w:tcPr>
            <w:tcW w:w="1340" w:type="dxa"/>
            <w:vAlign w:val="bottom"/>
          </w:tcPr>
          <w:p>
            <w:pPr>
              <w:jc w:val="right"/>
              <w:ind w:right="410"/>
              <w:spacing w:after="0" w:line="215" w:lineRule="exact"/>
              <w:rPr>
                <w:sz w:val="20"/>
                <w:szCs w:val="20"/>
                <w:color w:val="auto"/>
              </w:rPr>
            </w:pPr>
            <w:r>
              <w:rPr>
                <w:rFonts w:ascii="Calibri" w:cs="Calibri" w:eastAsia="Calibri" w:hAnsi="Calibri"/>
                <w:sz w:val="18"/>
                <w:szCs w:val="18"/>
                <w:b w:val="1"/>
                <w:bCs w:val="1"/>
                <w:color w:val="auto"/>
              </w:rPr>
              <w:t>2024</w:t>
            </w:r>
          </w:p>
        </w:tc>
        <w:tc>
          <w:tcPr>
            <w:tcW w:w="100" w:type="dxa"/>
            <w:vAlign w:val="bottom"/>
          </w:tcPr>
          <w:p>
            <w:pPr>
              <w:spacing w:after="0"/>
              <w:rPr>
                <w:sz w:val="18"/>
                <w:szCs w:val="18"/>
                <w:color w:val="auto"/>
              </w:rPr>
            </w:pPr>
          </w:p>
        </w:tc>
        <w:tc>
          <w:tcPr>
            <w:tcW w:w="1340" w:type="dxa"/>
            <w:vAlign w:val="bottom"/>
          </w:tcPr>
          <w:p>
            <w:pPr>
              <w:jc w:val="right"/>
              <w:ind w:right="390"/>
              <w:spacing w:after="0" w:line="215" w:lineRule="exact"/>
              <w:rPr>
                <w:sz w:val="20"/>
                <w:szCs w:val="20"/>
                <w:color w:val="auto"/>
              </w:rPr>
            </w:pPr>
            <w:r>
              <w:rPr>
                <w:rFonts w:ascii="Calibri" w:cs="Calibri" w:eastAsia="Calibri" w:hAnsi="Calibri"/>
                <w:sz w:val="18"/>
                <w:szCs w:val="18"/>
                <w:b w:val="1"/>
                <w:bCs w:val="1"/>
                <w:color w:val="auto"/>
              </w:rPr>
              <w:t>2023</w:t>
            </w:r>
          </w:p>
        </w:tc>
      </w:tr>
      <w:tr>
        <w:trPr>
          <w:trHeight w:val="37"/>
        </w:trPr>
        <w:tc>
          <w:tcPr>
            <w:tcW w:w="53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3"/>
        </w:trPr>
        <w:tc>
          <w:tcPr>
            <w:tcW w:w="538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Weighted-average common shares outstanding—basic</w:t>
            </w:r>
          </w:p>
        </w:tc>
        <w:tc>
          <w:tcPr>
            <w:tcW w:w="14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20,766,764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20,781,632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20,780,213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20,864,349</w:t>
            </w:r>
          </w:p>
        </w:tc>
      </w:tr>
      <w:tr>
        <w:trPr>
          <w:trHeight w:val="223"/>
        </w:trPr>
        <w:tc>
          <w:tcPr>
            <w:tcW w:w="53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Dilutve impact of performance units and restricted stock</w:t>
            </w: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108,623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125,689</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122,243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139,728</w:t>
            </w:r>
          </w:p>
        </w:tc>
      </w:tr>
      <w:tr>
        <w:trPr>
          <w:trHeight w:val="254"/>
        </w:trPr>
        <w:tc>
          <w:tcPr>
            <w:tcW w:w="53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Weighted-average common shares outstanding—diluted</w:t>
            </w:r>
          </w:p>
        </w:tc>
        <w:tc>
          <w:tcPr>
            <w:tcW w:w="14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20,875,387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20,907,321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20,902,456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21,004,077</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color w:val="auto"/>
        </w:rPr>
        <w:t>For each of the periods presented, there were no shares excluded from the calculaton of weighted-average common shares for diluted EPS.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5 – Fair Value Measurements</w:t>
      </w:r>
    </w:p>
    <w:p>
      <w:pPr>
        <w:spacing w:after="0" w:line="10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Our fnancial assets and liabilites are measured at fair value at the price that would be received to sell an asset or paid to transfer a liability in an orderly transacton between market partcipants at the measurement date (exit price). The carrying value of cash equivalents, accounts receivable, accounts payable, and accrued expenses approximate fair value because of the short-term nature of these instruments. Because of the variable-rate nature of our debt under our credit facility, our debt also approximates fair value.</w:t>
      </w:r>
    </w:p>
    <w:p>
      <w:pPr>
        <w:spacing w:after="0" w:line="354"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b w:val="1"/>
          <w:bCs w:val="1"/>
          <w:i w:val="1"/>
          <w:iCs w:val="1"/>
          <w:color w:val="auto"/>
        </w:rPr>
        <w:t xml:space="preserve">Assets and Liabilites Measured at Fair Value on a Recurring Basis. </w:t>
      </w:r>
      <w:r>
        <w:rPr>
          <w:rFonts w:ascii="Calibri" w:cs="Calibri" w:eastAsia="Calibri" w:hAnsi="Calibri"/>
          <w:sz w:val="18"/>
          <w:szCs w:val="18"/>
          <w:color w:val="auto"/>
        </w:rPr>
        <w:t>The fair value hierarchy requires the use of observable market data when available. In</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instances where inputs used to measure fair value fall into diferent levels of the fair value hierarchy, the fair value measurement has been determined based on the lowest level input that is signifcant to the fair value measurement in its entrety. Our assessment of the signifcance of a partcular item to the fair value measurement in its entrety requires judgment, including the consideraton of inputs specifc to the asset or liability.</w:t>
      </w:r>
    </w:p>
    <w:p>
      <w:pPr>
        <w:spacing w:after="0" w:line="125"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Our fnancial assets that are measured at fair value on a recurring basis are an interest rate swap and assets held in a deferred compensaton retrement plan. Both of these assets are classifed as long-term assets on our balance sheet, with the porton of the deferred compensaton retrement plan assets expected to be paid within twelve months classifed as current assets. The fair value of the interest rate swap is determined by the respectve counterpartes based on interest rate changes. Interest rate swaps are valued based on observable interest rate yield curves for similar instruments. The deferred compensaton plan assets relate to contributons made to a non-qualifed compensaton plan on behalf of certain employees who are classifed as “highly compensated employees” as determined by IRS guidelines. The assets are part of a rabbi trust and the funds are held in mutual funds. The fair value of the deferred compensaton is based on the quoted market prices for the mutual funds at the end of the period.</w:t>
      </w:r>
    </w:p>
    <w:p>
      <w:pPr>
        <w:spacing w:after="0" w:line="100" w:lineRule="exact"/>
        <w:rPr>
          <w:sz w:val="20"/>
          <w:szCs w:val="20"/>
          <w:color w:val="auto"/>
        </w:rPr>
      </w:pPr>
    </w:p>
    <w:p>
      <w:pPr>
        <w:ind w:right="80"/>
        <w:spacing w:after="0" w:line="237" w:lineRule="auto"/>
        <w:rPr>
          <w:sz w:val="20"/>
          <w:szCs w:val="20"/>
          <w:color w:val="auto"/>
        </w:rPr>
      </w:pPr>
      <w:r>
        <w:rPr>
          <w:rFonts w:ascii="Calibri" w:cs="Calibri" w:eastAsia="Calibri" w:hAnsi="Calibri"/>
          <w:sz w:val="17"/>
          <w:szCs w:val="17"/>
          <w:color w:val="auto"/>
        </w:rPr>
        <w:t>The earnout liability recorded in conjuncton with the Water Solutons acquisiton is based upon achieving certain targets. The earnout is based on a target of adjusted earnings before interest, taxes, depreciaton and amortzaton (EBITDA) in year three of the acquisiton. The earnout liability was valued based upon a risk-neutral pricing analysis within a Monte Carlo simulaton framework, which is a Level 3 input. The earnout liability is adjusted to fair value at each reportng date untl setled. Changes in fair value are included in selling, general and administratve expenses in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2" w:name="page13"/>
    <w:bookmarkEnd w:id="12"/>
    <w:p>
      <w:pPr>
        <w:spacing w:after="0"/>
        <w:rPr>
          <w:sz w:val="20"/>
          <w:szCs w:val="20"/>
          <w:color w:val="auto"/>
        </w:rPr>
      </w:pPr>
      <w:r>
        <w:rPr>
          <w:rFonts w:ascii="Calibri" w:cs="Calibri" w:eastAsia="Calibri" w:hAnsi="Calibri"/>
          <w:sz w:val="17"/>
          <w:szCs w:val="17"/>
          <w:color w:val="auto"/>
        </w:rPr>
        <w:t>The following tables summarize the balances of assets and liabilites measured at fair value on a recurring basis as of December 29, 2024 and March 31, 2024.</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1160" w:type="dxa"/>
            <w:vAlign w:val="bottom"/>
          </w:tcPr>
          <w:p>
            <w:pPr>
              <w:spacing w:after="0"/>
              <w:rPr>
                <w:sz w:val="19"/>
                <w:szCs w:val="19"/>
                <w:color w:val="auto"/>
              </w:rPr>
            </w:pPr>
          </w:p>
        </w:tc>
        <w:tc>
          <w:tcPr>
            <w:tcW w:w="2060" w:type="dxa"/>
            <w:vAlign w:val="bottom"/>
            <w:gridSpan w:val="4"/>
          </w:tcPr>
          <w:p>
            <w:pPr>
              <w:ind w:left="260"/>
              <w:spacing w:after="0"/>
              <w:rPr>
                <w:sz w:val="20"/>
                <w:szCs w:val="20"/>
                <w:color w:val="auto"/>
              </w:rPr>
            </w:pPr>
            <w:r>
              <w:rPr>
                <w:rFonts w:ascii="Calibri" w:cs="Calibri" w:eastAsia="Calibri" w:hAnsi="Calibri"/>
                <w:sz w:val="18"/>
                <w:szCs w:val="18"/>
                <w:b w:val="1"/>
                <w:bCs w:val="1"/>
                <w:color w:val="auto"/>
              </w:rPr>
              <w:t>December 29, 2024</w:t>
            </w:r>
          </w:p>
        </w:tc>
        <w:tc>
          <w:tcPr>
            <w:tcW w:w="360" w:type="dxa"/>
            <w:vAlign w:val="bottom"/>
          </w:tcPr>
          <w:p>
            <w:pPr>
              <w:spacing w:after="0"/>
              <w:rPr>
                <w:sz w:val="19"/>
                <w:szCs w:val="19"/>
                <w:color w:val="auto"/>
              </w:rPr>
            </w:pPr>
          </w:p>
        </w:tc>
        <w:tc>
          <w:tcPr>
            <w:tcW w:w="1660" w:type="dxa"/>
            <w:vAlign w:val="bottom"/>
            <w:gridSpan w:val="4"/>
          </w:tcPr>
          <w:p>
            <w:pPr>
              <w:ind w:left="60"/>
              <w:spacing w:after="0"/>
              <w:rPr>
                <w:sz w:val="20"/>
                <w:szCs w:val="20"/>
                <w:color w:val="auto"/>
              </w:rPr>
            </w:pPr>
            <w:r>
              <w:rPr>
                <w:rFonts w:ascii="Calibri" w:cs="Calibri" w:eastAsia="Calibri" w:hAnsi="Calibri"/>
                <w:sz w:val="18"/>
                <w:szCs w:val="18"/>
                <w:b w:val="1"/>
                <w:bCs w:val="1"/>
                <w:color w:val="auto"/>
              </w:rPr>
              <w:t>March 31, 2024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b w:val="1"/>
                <w:bCs w:val="1"/>
                <w:color w:val="auto"/>
              </w:rPr>
              <w:t>Assets</w:t>
            </w: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120"/>
              <w:spacing w:after="0" w:line="215" w:lineRule="exact"/>
              <w:rPr>
                <w:sz w:val="20"/>
                <w:szCs w:val="20"/>
                <w:color w:val="auto"/>
              </w:rPr>
            </w:pPr>
            <w:r>
              <w:rPr>
                <w:rFonts w:ascii="Calibri" w:cs="Calibri" w:eastAsia="Calibri" w:hAnsi="Calibri"/>
                <w:sz w:val="18"/>
                <w:szCs w:val="18"/>
                <w:color w:val="auto"/>
              </w:rPr>
              <w:t>Deferred compensaton plan assets</w:t>
            </w:r>
          </w:p>
        </w:tc>
        <w:tc>
          <w:tcPr>
            <w:tcW w:w="1160" w:type="dxa"/>
            <w:vAlign w:val="bottom"/>
          </w:tcPr>
          <w:p>
            <w:pPr>
              <w:ind w:left="60"/>
              <w:spacing w:after="0" w:line="215" w:lineRule="exact"/>
              <w:rPr>
                <w:sz w:val="20"/>
                <w:szCs w:val="20"/>
                <w:color w:val="auto"/>
              </w:rPr>
            </w:pPr>
            <w:r>
              <w:rPr>
                <w:rFonts w:ascii="Calibri" w:cs="Calibri" w:eastAsia="Calibri" w:hAnsi="Calibri"/>
                <w:sz w:val="18"/>
                <w:szCs w:val="18"/>
                <w:color w:val="auto"/>
              </w:rPr>
              <w:t>Level 1</w:t>
            </w:r>
          </w:p>
        </w:tc>
        <w:tc>
          <w:tcPr>
            <w:tcW w:w="840" w:type="dxa"/>
            <w:vAlign w:val="bottom"/>
          </w:tcPr>
          <w:p>
            <w:pPr>
              <w:jc w:val="right"/>
              <w:ind w:right="650"/>
              <w:spacing w:after="0" w:line="215" w:lineRule="exact"/>
              <w:rPr>
                <w:sz w:val="20"/>
                <w:szCs w:val="20"/>
                <w:color w:val="auto"/>
              </w:rPr>
            </w:pPr>
            <w:r>
              <w:rPr>
                <w:rFonts w:ascii="Calibri" w:cs="Calibri" w:eastAsia="Calibri" w:hAnsi="Calibri"/>
                <w:sz w:val="18"/>
                <w:szCs w:val="18"/>
                <w:color w:val="auto"/>
                <w:w w:val="87"/>
              </w:rPr>
              <w:t>$</w:t>
            </w:r>
          </w:p>
        </w:tc>
        <w:tc>
          <w:tcPr>
            <w:tcW w:w="200" w:type="dxa"/>
            <w:vAlign w:val="bottom"/>
          </w:tcPr>
          <w:p>
            <w:pPr>
              <w:spacing w:after="0"/>
              <w:rPr>
                <w:sz w:val="19"/>
                <w:szCs w:val="19"/>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12,528</w:t>
            </w:r>
          </w:p>
        </w:tc>
        <w:tc>
          <w:tcPr>
            <w:tcW w:w="100" w:type="dxa"/>
            <w:vAlign w:val="bottom"/>
          </w:tcPr>
          <w:p>
            <w:pPr>
              <w:spacing w:after="0"/>
              <w:rPr>
                <w:sz w:val="19"/>
                <w:szCs w:val="19"/>
                <w:color w:val="auto"/>
              </w:rPr>
            </w:pP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10,042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shd w:val="clear" w:color="auto" w:fill="CCEEFF"/>
          </w:tcPr>
          <w:p>
            <w:pPr>
              <w:ind w:left="120"/>
              <w:spacing w:after="0"/>
              <w:rPr>
                <w:sz w:val="20"/>
                <w:szCs w:val="20"/>
                <w:color w:val="auto"/>
              </w:rPr>
            </w:pPr>
            <w:r>
              <w:rPr>
                <w:rFonts w:ascii="Calibri" w:cs="Calibri" w:eastAsia="Calibri" w:hAnsi="Calibri"/>
                <w:sz w:val="18"/>
                <w:szCs w:val="18"/>
                <w:color w:val="auto"/>
              </w:rPr>
              <w:t>Interest rate swap</w:t>
            </w:r>
          </w:p>
        </w:tc>
        <w:tc>
          <w:tcPr>
            <w:tcW w:w="1160" w:type="dxa"/>
            <w:vAlign w:val="bottom"/>
            <w:shd w:val="clear" w:color="auto" w:fill="CCEEFF"/>
          </w:tcPr>
          <w:p>
            <w:pPr>
              <w:ind w:left="60"/>
              <w:spacing w:after="0"/>
              <w:rPr>
                <w:sz w:val="20"/>
                <w:szCs w:val="20"/>
                <w:color w:val="auto"/>
              </w:rPr>
            </w:pPr>
            <w:r>
              <w:rPr>
                <w:rFonts w:ascii="Calibri" w:cs="Calibri" w:eastAsia="Calibri" w:hAnsi="Calibri"/>
                <w:sz w:val="18"/>
                <w:szCs w:val="18"/>
                <w:color w:val="auto"/>
              </w:rPr>
              <w:t>Level 2</w:t>
            </w:r>
          </w:p>
        </w:tc>
        <w:tc>
          <w:tcPr>
            <w:tcW w:w="840" w:type="dxa"/>
            <w:vAlign w:val="bottom"/>
            <w:shd w:val="clear" w:color="auto" w:fill="CCEEFF"/>
          </w:tcPr>
          <w:p>
            <w:pPr>
              <w:jc w:val="right"/>
              <w:ind w:right="650"/>
              <w:spacing w:after="0"/>
              <w:rPr>
                <w:sz w:val="20"/>
                <w:szCs w:val="20"/>
                <w:color w:val="auto"/>
              </w:rPr>
            </w:pPr>
            <w:r>
              <w:rPr>
                <w:rFonts w:ascii="Calibri" w:cs="Calibri" w:eastAsia="Calibri" w:hAnsi="Calibri"/>
                <w:sz w:val="18"/>
                <w:szCs w:val="18"/>
                <w:color w:val="auto"/>
                <w:w w:val="87"/>
              </w:rPr>
              <w:t>$</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3,162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w w:val="87"/>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4,268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Liabilites</w:t>
            </w: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shd w:val="clear" w:color="auto" w:fill="CCEEFF"/>
          </w:tcPr>
          <w:p>
            <w:pPr>
              <w:ind w:left="120"/>
              <w:spacing w:after="0"/>
              <w:rPr>
                <w:sz w:val="20"/>
                <w:szCs w:val="20"/>
                <w:color w:val="auto"/>
              </w:rPr>
            </w:pPr>
            <w:r>
              <w:rPr>
                <w:rFonts w:ascii="Calibri" w:cs="Calibri" w:eastAsia="Calibri" w:hAnsi="Calibri"/>
                <w:sz w:val="18"/>
                <w:szCs w:val="18"/>
                <w:color w:val="auto"/>
              </w:rPr>
              <w:t>Earnout liability</w:t>
            </w:r>
          </w:p>
        </w:tc>
        <w:tc>
          <w:tcPr>
            <w:tcW w:w="1160" w:type="dxa"/>
            <w:vAlign w:val="bottom"/>
            <w:shd w:val="clear" w:color="auto" w:fill="CCEEFF"/>
          </w:tcPr>
          <w:p>
            <w:pPr>
              <w:ind w:left="60"/>
              <w:spacing w:after="0"/>
              <w:rPr>
                <w:sz w:val="20"/>
                <w:szCs w:val="20"/>
                <w:color w:val="auto"/>
              </w:rPr>
            </w:pPr>
            <w:r>
              <w:rPr>
                <w:rFonts w:ascii="Calibri" w:cs="Calibri" w:eastAsia="Calibri" w:hAnsi="Calibri"/>
                <w:sz w:val="18"/>
                <w:szCs w:val="18"/>
                <w:color w:val="auto"/>
              </w:rPr>
              <w:t>Level 3</w:t>
            </w:r>
          </w:p>
        </w:tc>
        <w:tc>
          <w:tcPr>
            <w:tcW w:w="840" w:type="dxa"/>
            <w:vAlign w:val="bottom"/>
            <w:shd w:val="clear" w:color="auto" w:fill="CCEEFF"/>
          </w:tcPr>
          <w:p>
            <w:pPr>
              <w:jc w:val="right"/>
              <w:ind w:right="650"/>
              <w:spacing w:after="0"/>
              <w:rPr>
                <w:sz w:val="20"/>
                <w:szCs w:val="20"/>
                <w:color w:val="auto"/>
              </w:rPr>
            </w:pPr>
            <w:r>
              <w:rPr>
                <w:rFonts w:ascii="Calibri" w:cs="Calibri" w:eastAsia="Calibri" w:hAnsi="Calibri"/>
                <w:sz w:val="18"/>
                <w:szCs w:val="18"/>
                <w:color w:val="auto"/>
                <w:w w:val="87"/>
              </w:rPr>
              <w:t>$</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12,262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w w:val="87"/>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11,235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00" w:type="dxa"/>
            <w:vAlign w:val="bottom"/>
            <w:gridSpan w:val="2"/>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Changes in the earnout liability measured at fair value using Level 3 inputs were as follows:</w:t>
            </w: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(In thousands)</w:t>
            </w: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shd w:val="clear" w:color="auto" w:fill="CCEEFF"/>
          </w:tcPr>
          <w:p>
            <w:pPr>
              <w:ind w:left="120"/>
              <w:spacing w:after="0"/>
              <w:rPr>
                <w:sz w:val="20"/>
                <w:szCs w:val="20"/>
                <w:color w:val="auto"/>
              </w:rPr>
            </w:pPr>
            <w:r>
              <w:rPr>
                <w:rFonts w:ascii="Calibri" w:cs="Calibri" w:eastAsia="Calibri" w:hAnsi="Calibri"/>
                <w:sz w:val="18"/>
                <w:szCs w:val="18"/>
                <w:color w:val="auto"/>
              </w:rPr>
              <w:t>Earnout liability at March 31, 2024</w:t>
            </w:r>
          </w:p>
        </w:tc>
        <w:tc>
          <w:tcPr>
            <w:tcW w:w="1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w w:val="87"/>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11,235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CEEFF"/>
            </w:tcBorders>
          </w:tcPr>
          <w:p>
            <w:pPr>
              <w:ind w:left="120"/>
              <w:spacing w:after="0" w:line="215" w:lineRule="exact"/>
              <w:rPr>
                <w:sz w:val="20"/>
                <w:szCs w:val="20"/>
                <w:color w:val="auto"/>
              </w:rPr>
            </w:pPr>
            <w:r>
              <w:rPr>
                <w:rFonts w:ascii="Calibri" w:cs="Calibri" w:eastAsia="Calibri" w:hAnsi="Calibri"/>
                <w:sz w:val="18"/>
                <w:szCs w:val="18"/>
                <w:color w:val="auto"/>
              </w:rPr>
              <w:t>Fair value adjustments</w:t>
            </w: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ind w:left="120"/>
              <w:spacing w:after="0"/>
              <w:rPr>
                <w:sz w:val="20"/>
                <w:szCs w:val="20"/>
                <w:color w:val="auto"/>
              </w:rPr>
            </w:pPr>
            <w:r>
              <w:rPr>
                <w:rFonts w:ascii="Calibri" w:cs="Calibri" w:eastAsia="Calibri" w:hAnsi="Calibri"/>
                <w:sz w:val="18"/>
                <w:szCs w:val="18"/>
                <w:color w:val="auto"/>
              </w:rPr>
              <w:t>Earnout liability at December 29, 2024</w:t>
            </w:r>
          </w:p>
        </w:tc>
        <w:tc>
          <w:tcPr>
            <w:tcW w:w="1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12,262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Calibri" w:cs="Calibri" w:eastAsia="Calibri" w:hAnsi="Calibri"/>
                <w:sz w:val="18"/>
                <w:szCs w:val="18"/>
                <w:b w:val="1"/>
                <w:bCs w:val="1"/>
                <w:color w:val="auto"/>
              </w:rPr>
              <w:t>Note 6 – Inventories</w:t>
            </w: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586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60" w:type="dxa"/>
            <w:vAlign w:val="bottom"/>
            <w:gridSpan w:val="2"/>
          </w:tcPr>
          <w:p>
            <w:pPr>
              <w:spacing w:after="0"/>
              <w:rPr>
                <w:sz w:val="20"/>
                <w:szCs w:val="20"/>
                <w:color w:val="auto"/>
              </w:rPr>
            </w:pPr>
            <w:r>
              <w:rPr>
                <w:rFonts w:ascii="Calibri" w:cs="Calibri" w:eastAsia="Calibri" w:hAnsi="Calibri"/>
                <w:sz w:val="18"/>
                <w:szCs w:val="18"/>
                <w:color w:val="auto"/>
                <w:w w:val="97"/>
              </w:rPr>
              <w:t>Inventories at December 29, 2024 and March 31, 2024 consisted of the following:</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right"/>
              <w:ind w:right="190"/>
              <w:spacing w:after="0"/>
              <w:rPr>
                <w:sz w:val="20"/>
                <w:szCs w:val="20"/>
                <w:color w:val="auto"/>
              </w:rPr>
            </w:pPr>
            <w:r>
              <w:rPr>
                <w:rFonts w:ascii="Calibri" w:cs="Calibri" w:eastAsia="Calibri" w:hAnsi="Calibri"/>
                <w:sz w:val="18"/>
                <w:szCs w:val="18"/>
                <w:b w:val="1"/>
                <w:bCs w:val="1"/>
                <w:color w:val="auto"/>
              </w:rPr>
              <w:t>December 29,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Calibri" w:cs="Calibri" w:eastAsia="Calibri" w:hAnsi="Calibri"/>
                <w:sz w:val="18"/>
                <w:szCs w:val="18"/>
                <w:b w:val="1"/>
                <w:bCs w:val="1"/>
                <w:color w:val="auto"/>
              </w:rPr>
              <w:t>March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Calibri" w:cs="Calibri" w:eastAsia="Calibri" w:hAnsi="Calibri"/>
                <w:sz w:val="14"/>
                <w:szCs w:val="14"/>
                <w:b w:val="1"/>
                <w:bCs w:val="1"/>
                <w:color w:val="auto"/>
              </w:rPr>
              <w:t>(In thousands)</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2024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450"/>
              <w:spacing w:after="0" w:line="215" w:lineRule="exact"/>
              <w:rPr>
                <w:sz w:val="20"/>
                <w:szCs w:val="20"/>
                <w:color w:val="auto"/>
              </w:rPr>
            </w:pPr>
            <w:r>
              <w:rPr>
                <w:rFonts w:ascii="Calibri" w:cs="Calibri" w:eastAsia="Calibri" w:hAnsi="Calibri"/>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584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840" w:type="dxa"/>
            <w:vAlign w:val="bottom"/>
            <w:shd w:val="clear" w:color="auto" w:fill="CCEEFF"/>
          </w:tcPr>
          <w:p>
            <w:pPr>
              <w:spacing w:after="0" w:line="195" w:lineRule="exact"/>
              <w:rPr>
                <w:sz w:val="20"/>
                <w:szCs w:val="20"/>
                <w:color w:val="auto"/>
              </w:rPr>
            </w:pPr>
            <w:r>
              <w:rPr>
                <w:rFonts w:ascii="Calibri" w:cs="Calibri" w:eastAsia="Calibri" w:hAnsi="Calibri"/>
                <w:sz w:val="18"/>
                <w:szCs w:val="18"/>
                <w:color w:val="auto"/>
              </w:rPr>
              <w:t>Inventory (FIFO basis)</w:t>
            </w: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gridSpan w:val="3"/>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105,749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300" w:type="dxa"/>
            <w:vAlign w:val="bottom"/>
            <w:gridSpan w:val="2"/>
            <w:shd w:val="clear" w:color="auto" w:fill="CCEEFF"/>
          </w:tcPr>
          <w:p>
            <w:pPr>
              <w:jc w:val="center"/>
              <w:ind w:left="590"/>
              <w:spacing w:after="0" w:line="215" w:lineRule="exact"/>
              <w:rPr>
                <w:sz w:val="20"/>
                <w:szCs w:val="20"/>
                <w:color w:val="auto"/>
              </w:rPr>
            </w:pPr>
            <w:r>
              <w:rPr>
                <w:rFonts w:ascii="Calibri" w:cs="Calibri" w:eastAsia="Calibri" w:hAnsi="Calibri"/>
                <w:sz w:val="18"/>
                <w:szCs w:val="18"/>
                <w:color w:val="auto"/>
                <w:w w:val="99"/>
              </w:rPr>
              <w:t>99,058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840" w:type="dxa"/>
            <w:vAlign w:val="bottom"/>
            <w:tcBorders>
              <w:bottom w:val="single" w:sz="8" w:color="CCEEFF"/>
            </w:tcBorders>
          </w:tcPr>
          <w:p>
            <w:pPr>
              <w:spacing w:after="0" w:line="215" w:lineRule="exact"/>
              <w:rPr>
                <w:sz w:val="20"/>
                <w:szCs w:val="20"/>
                <w:color w:val="auto"/>
              </w:rPr>
            </w:pPr>
            <w:r>
              <w:rPr>
                <w:rFonts w:ascii="Calibri" w:cs="Calibri" w:eastAsia="Calibri" w:hAnsi="Calibri"/>
                <w:sz w:val="18"/>
                <w:szCs w:val="18"/>
                <w:color w:val="auto"/>
              </w:rPr>
              <w:t>LIFO reserve</w:t>
            </w: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line="215" w:lineRule="exact"/>
              <w:rPr>
                <w:sz w:val="20"/>
                <w:szCs w:val="20"/>
                <w:color w:val="auto"/>
              </w:rPr>
            </w:pPr>
            <w:r>
              <w:rPr>
                <w:rFonts w:ascii="Calibri" w:cs="Calibri" w:eastAsia="Calibri" w:hAnsi="Calibri"/>
                <w:sz w:val="18"/>
                <w:szCs w:val="18"/>
                <w:color w:val="auto"/>
              </w:rPr>
              <w:t>(24,115)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left="570"/>
              <w:spacing w:after="0" w:line="215" w:lineRule="exact"/>
              <w:rPr>
                <w:sz w:val="20"/>
                <w:szCs w:val="20"/>
                <w:color w:val="auto"/>
              </w:rPr>
            </w:pPr>
            <w:r>
              <w:rPr>
                <w:rFonts w:ascii="Calibri" w:cs="Calibri" w:eastAsia="Calibri" w:hAnsi="Calibri"/>
                <w:sz w:val="18"/>
                <w:szCs w:val="18"/>
                <w:color w:val="auto"/>
                <w:w w:val="98"/>
              </w:rPr>
              <w:t>(24,458)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shd w:val="clear" w:color="auto" w:fill="CCEEFF"/>
          </w:tcPr>
          <w:p>
            <w:pPr>
              <w:spacing w:after="0" w:line="202" w:lineRule="exact"/>
              <w:rPr>
                <w:sz w:val="20"/>
                <w:szCs w:val="20"/>
                <w:color w:val="auto"/>
              </w:rPr>
            </w:pPr>
            <w:r>
              <w:rPr>
                <w:rFonts w:ascii="Calibri" w:cs="Calibri" w:eastAsia="Calibri" w:hAnsi="Calibri"/>
                <w:sz w:val="18"/>
                <w:szCs w:val="18"/>
                <w:color w:val="auto"/>
              </w:rPr>
              <w:t>Net inventory</w:t>
            </w:r>
          </w:p>
        </w:tc>
        <w:tc>
          <w:tcPr>
            <w:tcW w:w="1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tcBorders>
              <w:bottom w:val="single" w:sz="8" w:color="auto"/>
            </w:tcBorders>
            <w:gridSpan w:val="3"/>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81,634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300" w:type="dxa"/>
            <w:vAlign w:val="bottom"/>
            <w:tcBorders>
              <w:bottom w:val="single" w:sz="8" w:color="auto"/>
            </w:tcBorders>
            <w:gridSpan w:val="2"/>
            <w:shd w:val="clear" w:color="auto" w:fill="CCEEFF"/>
          </w:tcPr>
          <w:p>
            <w:pPr>
              <w:jc w:val="center"/>
              <w:ind w:left="590"/>
              <w:spacing w:after="0" w:line="215" w:lineRule="exact"/>
              <w:rPr>
                <w:sz w:val="20"/>
                <w:szCs w:val="20"/>
                <w:color w:val="auto"/>
              </w:rPr>
            </w:pPr>
            <w:r>
              <w:rPr>
                <w:rFonts w:ascii="Calibri" w:cs="Calibri" w:eastAsia="Calibri" w:hAnsi="Calibri"/>
                <w:sz w:val="18"/>
                <w:szCs w:val="18"/>
                <w:color w:val="auto"/>
                <w:w w:val="99"/>
              </w:rPr>
              <w:t>74,600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00"/>
        <w:spacing w:after="0" w:line="235" w:lineRule="auto"/>
        <w:rPr>
          <w:sz w:val="20"/>
          <w:szCs w:val="20"/>
          <w:color w:val="auto"/>
        </w:rPr>
      </w:pPr>
      <w:r>
        <w:rPr>
          <w:rFonts w:ascii="Calibri" w:cs="Calibri" w:eastAsia="Calibri" w:hAnsi="Calibri"/>
          <w:sz w:val="18"/>
          <w:szCs w:val="18"/>
          <w:color w:val="auto"/>
        </w:rPr>
        <w:t>The frst in, frst out (“FIFO”) value of inventories accounted for under the last in, frst out (“LIFO”) method was $74.1 million at December 29, 2024 and $76.2 million at March 31, 2024. The remainder of the inventory was valued and accounted for under the FIFO method.</w:t>
      </w:r>
    </w:p>
    <w:p>
      <w:pPr>
        <w:spacing w:after="0" w:line="34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7 – Goodwill and Intangible Assets</w:t>
      </w:r>
    </w:p>
    <w:p>
      <w:pPr>
        <w:spacing w:after="0" w:line="109"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The carrying amount of goodwill was $116.7 million as of December 29, 2024 and $103.4 million as of March 31, 2024, of which $65.3 million was related to our Water Treatment segment, $44.9 million was related to our Health and Nutriton segment, and $6.5 million was related to our Industrial segment. The increase in goodwill during the nine months ended December 29, 2024 represents goodwill recorded in connecton with the acquisitons of the assets of Intercoastal, Woford, and Waterguard as discussed in Note 2.</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is a summary of our identfable intangible assets as of December 29, 2024 and March 31,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Calibri" w:cs="Calibri" w:eastAsia="Calibri" w:hAnsi="Calibri"/>
                <w:sz w:val="14"/>
                <w:szCs w:val="14"/>
                <w:b w:val="1"/>
                <w:bCs w:val="1"/>
                <w:color w:val="auto"/>
              </w:rPr>
              <w:t>December 29, 2024</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March 31, 2024</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37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370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180" w:type="dxa"/>
            <w:vAlign w:val="bottom"/>
          </w:tcPr>
          <w:p>
            <w:pPr>
              <w:spacing w:after="0"/>
              <w:rPr>
                <w:sz w:val="11"/>
                <w:szCs w:val="11"/>
                <w:color w:val="auto"/>
              </w:rPr>
            </w:pPr>
          </w:p>
        </w:tc>
        <w:tc>
          <w:tcPr>
            <w:tcW w:w="920" w:type="dxa"/>
            <w:vAlign w:val="bottom"/>
            <w:gridSpan w:val="2"/>
          </w:tcPr>
          <w:p>
            <w:pPr>
              <w:jc w:val="center"/>
              <w:ind w:right="300"/>
              <w:spacing w:after="0" w:line="127" w:lineRule="exact"/>
              <w:rPr>
                <w:sz w:val="20"/>
                <w:szCs w:val="20"/>
                <w:color w:val="auto"/>
              </w:rPr>
            </w:pPr>
            <w:r>
              <w:rPr>
                <w:rFonts w:ascii="Calibri" w:cs="Calibri" w:eastAsia="Calibri" w:hAnsi="Calibri"/>
                <w:sz w:val="13"/>
                <w:szCs w:val="13"/>
                <w:b w:val="1"/>
                <w:bCs w:val="1"/>
                <w:color w:val="auto"/>
              </w:rPr>
              <w:t>Gross</w:t>
            </w:r>
          </w:p>
        </w:tc>
        <w:tc>
          <w:tcPr>
            <w:tcW w:w="180" w:type="dxa"/>
            <w:vAlign w:val="bottom"/>
          </w:tcPr>
          <w:p>
            <w:pPr>
              <w:spacing w:after="0"/>
              <w:rPr>
                <w:sz w:val="11"/>
                <w:szCs w:val="11"/>
                <w:color w:val="auto"/>
              </w:rPr>
            </w:pPr>
          </w:p>
        </w:tc>
        <w:tc>
          <w:tcPr>
            <w:tcW w:w="1180" w:type="dxa"/>
            <w:vAlign w:val="bottom"/>
            <w:gridSpan w:val="2"/>
          </w:tcPr>
          <w:p>
            <w:pPr>
              <w:jc w:val="center"/>
              <w:ind w:right="280"/>
              <w:spacing w:after="0" w:line="127" w:lineRule="exact"/>
              <w:rPr>
                <w:sz w:val="20"/>
                <w:szCs w:val="20"/>
                <w:color w:val="auto"/>
              </w:rPr>
            </w:pPr>
            <w:r>
              <w:rPr>
                <w:rFonts w:ascii="Calibri" w:cs="Calibri" w:eastAsia="Calibri" w:hAnsi="Calibri"/>
                <w:sz w:val="13"/>
                <w:szCs w:val="13"/>
                <w:b w:val="1"/>
                <w:bCs w:val="1"/>
                <w:color w:val="auto"/>
              </w:rPr>
              <w:t>Accumulated</w:t>
            </w:r>
          </w:p>
        </w:tc>
        <w:tc>
          <w:tcPr>
            <w:tcW w:w="240" w:type="dxa"/>
            <w:vAlign w:val="bottom"/>
          </w:tcPr>
          <w:p>
            <w:pPr>
              <w:spacing w:after="0"/>
              <w:rPr>
                <w:sz w:val="11"/>
                <w:szCs w:val="11"/>
                <w:color w:val="auto"/>
              </w:rPr>
            </w:pPr>
          </w:p>
        </w:tc>
        <w:tc>
          <w:tcPr>
            <w:tcW w:w="960" w:type="dxa"/>
            <w:vAlign w:val="bottom"/>
            <w:gridSpan w:val="2"/>
            <w:vMerge w:val="restart"/>
          </w:tcPr>
          <w:p>
            <w:pPr>
              <w:ind w:left="160"/>
              <w:spacing w:after="0"/>
              <w:rPr>
                <w:sz w:val="20"/>
                <w:szCs w:val="20"/>
                <w:color w:val="auto"/>
              </w:rPr>
            </w:pPr>
            <w:r>
              <w:rPr>
                <w:rFonts w:ascii="Calibri" w:cs="Calibri" w:eastAsia="Calibri" w:hAnsi="Calibri"/>
                <w:sz w:val="14"/>
                <w:szCs w:val="14"/>
                <w:b w:val="1"/>
                <w:bCs w:val="1"/>
                <w:color w:val="auto"/>
              </w:rPr>
              <w:t>Net</w:t>
            </w:r>
          </w:p>
        </w:tc>
        <w:tc>
          <w:tcPr>
            <w:tcW w:w="180" w:type="dxa"/>
            <w:vAlign w:val="bottom"/>
          </w:tcPr>
          <w:p>
            <w:pPr>
              <w:spacing w:after="0"/>
              <w:rPr>
                <w:sz w:val="11"/>
                <w:szCs w:val="11"/>
                <w:color w:val="auto"/>
              </w:rPr>
            </w:pPr>
          </w:p>
        </w:tc>
        <w:tc>
          <w:tcPr>
            <w:tcW w:w="940" w:type="dxa"/>
            <w:vAlign w:val="bottom"/>
            <w:gridSpan w:val="2"/>
          </w:tcPr>
          <w:p>
            <w:pPr>
              <w:jc w:val="center"/>
              <w:ind w:right="320"/>
              <w:spacing w:after="0" w:line="127" w:lineRule="exact"/>
              <w:rPr>
                <w:sz w:val="20"/>
                <w:szCs w:val="20"/>
                <w:color w:val="auto"/>
              </w:rPr>
            </w:pPr>
            <w:r>
              <w:rPr>
                <w:rFonts w:ascii="Calibri" w:cs="Calibri" w:eastAsia="Calibri" w:hAnsi="Calibri"/>
                <w:sz w:val="13"/>
                <w:szCs w:val="13"/>
                <w:b w:val="1"/>
                <w:bCs w:val="1"/>
                <w:color w:val="auto"/>
              </w:rPr>
              <w:t>Gross</w:t>
            </w:r>
          </w:p>
        </w:tc>
        <w:tc>
          <w:tcPr>
            <w:tcW w:w="160" w:type="dxa"/>
            <w:vAlign w:val="bottom"/>
          </w:tcPr>
          <w:p>
            <w:pPr>
              <w:spacing w:after="0"/>
              <w:rPr>
                <w:sz w:val="11"/>
                <w:szCs w:val="11"/>
                <w:color w:val="auto"/>
              </w:rPr>
            </w:pPr>
          </w:p>
        </w:tc>
        <w:tc>
          <w:tcPr>
            <w:tcW w:w="1260" w:type="dxa"/>
            <w:vAlign w:val="bottom"/>
            <w:gridSpan w:val="2"/>
          </w:tcPr>
          <w:p>
            <w:pPr>
              <w:jc w:val="center"/>
              <w:ind w:right="280"/>
              <w:spacing w:after="0" w:line="127" w:lineRule="exact"/>
              <w:rPr>
                <w:sz w:val="20"/>
                <w:szCs w:val="20"/>
                <w:color w:val="auto"/>
              </w:rPr>
            </w:pPr>
            <w:r>
              <w:rPr>
                <w:rFonts w:ascii="Calibri" w:cs="Calibri" w:eastAsia="Calibri" w:hAnsi="Calibri"/>
                <w:sz w:val="13"/>
                <w:szCs w:val="13"/>
                <w:b w:val="1"/>
                <w:bCs w:val="1"/>
                <w:color w:val="auto"/>
              </w:rPr>
              <w:t>Accumulated</w:t>
            </w:r>
          </w:p>
        </w:tc>
        <w:tc>
          <w:tcPr>
            <w:tcW w:w="240" w:type="dxa"/>
            <w:vAlign w:val="bottom"/>
          </w:tcPr>
          <w:p>
            <w:pPr>
              <w:spacing w:after="0"/>
              <w:rPr>
                <w:sz w:val="11"/>
                <w:szCs w:val="11"/>
                <w:color w:val="auto"/>
              </w:rPr>
            </w:pPr>
          </w:p>
        </w:tc>
        <w:tc>
          <w:tcPr>
            <w:tcW w:w="1100" w:type="dxa"/>
            <w:vAlign w:val="bottom"/>
            <w:gridSpan w:val="2"/>
            <w:vMerge w:val="restart"/>
          </w:tcPr>
          <w:p>
            <w:pPr>
              <w:ind w:left="160"/>
              <w:spacing w:after="0"/>
              <w:rPr>
                <w:sz w:val="20"/>
                <w:szCs w:val="20"/>
                <w:color w:val="auto"/>
              </w:rPr>
            </w:pPr>
            <w:r>
              <w:rPr>
                <w:rFonts w:ascii="Calibri" w:cs="Calibri" w:eastAsia="Calibri" w:hAnsi="Calibri"/>
                <w:sz w:val="14"/>
                <w:szCs w:val="14"/>
                <w:b w:val="1"/>
                <w:bCs w:val="1"/>
                <w:color w:val="auto"/>
              </w:rPr>
              <w:t>Net</w:t>
            </w:r>
          </w:p>
        </w:tc>
        <w:tc>
          <w:tcPr>
            <w:tcW w:w="0" w:type="dxa"/>
            <w:vAlign w:val="bottom"/>
          </w:tcPr>
          <w:p>
            <w:pPr>
              <w:spacing w:after="0"/>
              <w:rPr>
                <w:sz w:val="1"/>
                <w:szCs w:val="1"/>
                <w:color w:val="auto"/>
              </w:rPr>
            </w:pPr>
          </w:p>
        </w:tc>
      </w:tr>
      <w:tr>
        <w:trPr>
          <w:trHeight w:val="170"/>
        </w:trPr>
        <w:tc>
          <w:tcPr>
            <w:tcW w:w="3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Amount</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Amortzaton</w:t>
            </w: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rPr>
              <w:t>Amount</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Amortzaton</w:t>
            </w:r>
          </w:p>
        </w:tc>
        <w:tc>
          <w:tcPr>
            <w:tcW w:w="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Finite-life intangible assets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tcPr>
          <w:p>
            <w:pPr>
              <w:ind w:left="360"/>
              <w:spacing w:after="0" w:line="215" w:lineRule="exact"/>
              <w:rPr>
                <w:sz w:val="20"/>
                <w:szCs w:val="20"/>
                <w:color w:val="auto"/>
              </w:rPr>
            </w:pPr>
            <w:r>
              <w:rPr>
                <w:rFonts w:ascii="Calibri" w:cs="Calibri" w:eastAsia="Calibri" w:hAnsi="Calibri"/>
                <w:sz w:val="18"/>
                <w:szCs w:val="18"/>
                <w:color w:val="auto"/>
              </w:rPr>
              <w:t>Customer relatonships</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175,864</w:t>
            </w:r>
          </w:p>
        </w:tc>
        <w:tc>
          <w:tcPr>
            <w:tcW w:w="10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(54,236)</w:t>
            </w:r>
          </w:p>
        </w:tc>
        <w:tc>
          <w:tcPr>
            <w:tcW w:w="100" w:type="dxa"/>
            <w:vAlign w:val="bottom"/>
          </w:tcPr>
          <w:p>
            <w:pPr>
              <w:spacing w:after="0"/>
              <w:rPr>
                <w:sz w:val="19"/>
                <w:szCs w:val="19"/>
                <w:color w:val="auto"/>
              </w:rPr>
            </w:pPr>
          </w:p>
        </w:tc>
        <w:tc>
          <w:tcPr>
            <w:tcW w:w="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121,628</w:t>
            </w:r>
          </w:p>
        </w:tc>
        <w:tc>
          <w:tcPr>
            <w:tcW w:w="20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153,694</w:t>
            </w:r>
          </w:p>
        </w:tc>
        <w:tc>
          <w:tcPr>
            <w:tcW w:w="120" w:type="dxa"/>
            <w:vAlign w:val="bottom"/>
          </w:tcPr>
          <w:p>
            <w:pPr>
              <w:spacing w:after="0"/>
              <w:rPr>
                <w:sz w:val="19"/>
                <w:szCs w:val="19"/>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(46,146)</w:t>
            </w:r>
          </w:p>
        </w:tc>
        <w:tc>
          <w:tcPr>
            <w:tcW w:w="100" w:type="dxa"/>
            <w:vAlign w:val="bottom"/>
          </w:tcPr>
          <w:p>
            <w:pPr>
              <w:spacing w:after="0"/>
              <w:rPr>
                <w:sz w:val="19"/>
                <w:szCs w:val="19"/>
                <w:color w:val="auto"/>
              </w:rPr>
            </w:pPr>
          </w:p>
        </w:tc>
        <w:tc>
          <w:tcPr>
            <w:tcW w:w="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107,548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Trademarks and trade names</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8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14,370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(6,938)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Calibri" w:cs="Calibri" w:eastAsia="Calibri" w:hAnsi="Calibri"/>
                <w:sz w:val="18"/>
                <w:szCs w:val="18"/>
                <w:color w:val="auto"/>
              </w:rPr>
              <w:t>$</w:t>
            </w:r>
          </w:p>
        </w:tc>
        <w:tc>
          <w:tcPr>
            <w:tcW w:w="7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7,432</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8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13,570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(5,968)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Calibri" w:cs="Calibri" w:eastAsia="Calibri" w:hAnsi="Calibri"/>
                <w:sz w:val="18"/>
                <w:szCs w:val="18"/>
                <w:color w:val="auto"/>
              </w:rPr>
              <w:t>$</w:t>
            </w:r>
          </w:p>
        </w:tc>
        <w:tc>
          <w:tcPr>
            <w:tcW w:w="7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7,602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ind w:left="360"/>
              <w:spacing w:after="0" w:line="215" w:lineRule="exact"/>
              <w:rPr>
                <w:sz w:val="20"/>
                <w:szCs w:val="20"/>
                <w:color w:val="auto"/>
              </w:rPr>
            </w:pPr>
            <w:r>
              <w:rPr>
                <w:rFonts w:ascii="Calibri" w:cs="Calibri" w:eastAsia="Calibri" w:hAnsi="Calibri"/>
                <w:sz w:val="18"/>
                <w:szCs w:val="18"/>
                <w:color w:val="auto"/>
              </w:rPr>
              <w:t>Other fnite-life intangible assets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4,310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(4,123)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187</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4,221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(3,972)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Total fnite-life intangible assets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194,544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(65,297)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129,247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171,485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(56,086)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115,399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line="215" w:lineRule="exact"/>
              <w:rPr>
                <w:sz w:val="20"/>
                <w:szCs w:val="20"/>
                <w:color w:val="auto"/>
              </w:rPr>
            </w:pPr>
            <w:r>
              <w:rPr>
                <w:rFonts w:ascii="Calibri" w:cs="Calibri" w:eastAsia="Calibri" w:hAnsi="Calibri"/>
                <w:sz w:val="18"/>
                <w:szCs w:val="18"/>
                <w:color w:val="auto"/>
              </w:rPr>
              <w:t>Indefnite-life intangible assets</w:t>
            </w:r>
          </w:p>
        </w:tc>
        <w:tc>
          <w:tcPr>
            <w:tcW w:w="180" w:type="dxa"/>
            <w:vAlign w:val="bottom"/>
          </w:tcPr>
          <w:p>
            <w:pPr>
              <w:spacing w:after="0"/>
              <w:rPr>
                <w:sz w:val="19"/>
                <w:szCs w:val="19"/>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1,227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86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1,227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1,227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4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1,227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Total intangible assets</w:t>
            </w:r>
          </w:p>
        </w:tc>
        <w:tc>
          <w:tcPr>
            <w:tcW w:w="1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195,771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(65,297)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130,474</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172,712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(56,086)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116,626</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9"/>
        </w:trPr>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255"/>
              <w:spacing w:after="0"/>
              <w:rPr>
                <w:sz w:val="20"/>
                <w:szCs w:val="20"/>
                <w:color w:val="auto"/>
              </w:rPr>
            </w:pPr>
            <w:r>
              <w:rPr>
                <w:rFonts w:ascii="Calibri" w:cs="Calibri" w:eastAsia="Calibri" w:hAnsi="Calibri"/>
                <w:sz w:val="18"/>
                <w:szCs w:val="18"/>
                <w:color w:val="auto"/>
              </w:rPr>
              <w:t>11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7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0"/>
        </w:trPr>
        <w:tc>
          <w:tcPr>
            <w:tcW w:w="7820" w:type="dxa"/>
            <w:vAlign w:val="bottom"/>
          </w:tcPr>
          <w:p>
            <w:pPr>
              <w:spacing w:after="0"/>
              <w:rPr>
                <w:sz w:val="20"/>
                <w:szCs w:val="20"/>
                <w:color w:val="auto"/>
              </w:rPr>
            </w:pPr>
            <w:r>
              <w:rPr>
                <w:rFonts w:ascii="Calibri" w:cs="Calibri" w:eastAsia="Calibri" w:hAnsi="Calibri"/>
                <w:sz w:val="18"/>
                <w:szCs w:val="18"/>
                <w:b w:val="1"/>
                <w:bCs w:val="1"/>
                <w:color w:val="auto"/>
              </w:rPr>
              <w:t>Note 8 – Debt</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24"/>
        </w:trPr>
        <w:tc>
          <w:tcPr>
            <w:tcW w:w="7820" w:type="dxa"/>
            <w:vAlign w:val="bottom"/>
          </w:tcPr>
          <w:p>
            <w:pPr>
              <w:spacing w:after="0"/>
              <w:rPr>
                <w:sz w:val="20"/>
                <w:szCs w:val="20"/>
                <w:color w:val="auto"/>
              </w:rPr>
            </w:pPr>
            <w:r>
              <w:rPr>
                <w:rFonts w:ascii="Calibri" w:cs="Calibri" w:eastAsia="Calibri" w:hAnsi="Calibri"/>
                <w:sz w:val="18"/>
                <w:szCs w:val="18"/>
                <w:color w:val="auto"/>
              </w:rPr>
              <w:t>Debt at December 29, 2024 and March 31, 2024 consisted of the following:</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9"/>
        </w:trPr>
        <w:tc>
          <w:tcPr>
            <w:tcW w:w="7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Calibri" w:cs="Calibri" w:eastAsia="Calibri" w:hAnsi="Calibri"/>
                <w:sz w:val="18"/>
                <w:szCs w:val="18"/>
                <w:b w:val="1"/>
                <w:bCs w:val="1"/>
                <w:color w:val="auto"/>
              </w:rPr>
              <w:t>December 29,</w:t>
            </w:r>
          </w:p>
        </w:tc>
        <w:tc>
          <w:tcPr>
            <w:tcW w:w="240" w:type="dxa"/>
            <w:vAlign w:val="bottom"/>
          </w:tcPr>
          <w:p>
            <w:pPr>
              <w:spacing w:after="0"/>
              <w:rPr>
                <w:sz w:val="24"/>
                <w:szCs w:val="24"/>
                <w:color w:val="auto"/>
              </w:rPr>
            </w:pPr>
          </w:p>
        </w:tc>
        <w:tc>
          <w:tcPr>
            <w:tcW w:w="1260" w:type="dxa"/>
            <w:vAlign w:val="bottom"/>
          </w:tcPr>
          <w:p>
            <w:pPr>
              <w:jc w:val="right"/>
              <w:ind w:right="290"/>
              <w:spacing w:after="0"/>
              <w:rPr>
                <w:sz w:val="20"/>
                <w:szCs w:val="20"/>
                <w:color w:val="auto"/>
              </w:rPr>
            </w:pPr>
            <w:r>
              <w:rPr>
                <w:rFonts w:ascii="Calibri" w:cs="Calibri" w:eastAsia="Calibri" w:hAnsi="Calibri"/>
                <w:sz w:val="18"/>
                <w:szCs w:val="18"/>
                <w:b w:val="1"/>
                <w:bCs w:val="1"/>
                <w:color w:val="auto"/>
              </w:rPr>
              <w:t>March 31,</w:t>
            </w:r>
          </w:p>
        </w:tc>
      </w:tr>
      <w:tr>
        <w:trPr>
          <w:trHeight w:val="215"/>
        </w:trPr>
        <w:tc>
          <w:tcPr>
            <w:tcW w:w="7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490"/>
              <w:spacing w:after="0" w:line="215" w:lineRule="exact"/>
              <w:rPr>
                <w:sz w:val="20"/>
                <w:szCs w:val="20"/>
                <w:color w:val="auto"/>
              </w:rPr>
            </w:pPr>
            <w:r>
              <w:rPr>
                <w:rFonts w:ascii="Calibri" w:cs="Calibri" w:eastAsia="Calibri" w:hAnsi="Calibri"/>
                <w:sz w:val="18"/>
                <w:szCs w:val="18"/>
                <w:b w:val="1"/>
                <w:bCs w:val="1"/>
                <w:color w:val="auto"/>
              </w:rPr>
              <w:t>2024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0"/>
              <w:spacing w:after="0" w:line="215" w:lineRule="exact"/>
              <w:rPr>
                <w:sz w:val="20"/>
                <w:szCs w:val="20"/>
                <w:color w:val="auto"/>
              </w:rPr>
            </w:pPr>
            <w:r>
              <w:rPr>
                <w:rFonts w:ascii="Calibri" w:cs="Calibri" w:eastAsia="Calibri" w:hAnsi="Calibri"/>
                <w:sz w:val="18"/>
                <w:szCs w:val="18"/>
                <w:b w:val="1"/>
                <w:bCs w:val="1"/>
                <w:color w:val="auto"/>
              </w:rPr>
              <w:t>2024</w:t>
            </w:r>
          </w:p>
        </w:tc>
      </w:tr>
      <w:tr>
        <w:trPr>
          <w:trHeight w:val="37"/>
        </w:trPr>
        <w:tc>
          <w:tcPr>
            <w:tcW w:w="78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63"/>
        </w:trPr>
        <w:tc>
          <w:tcPr>
            <w:tcW w:w="7820" w:type="dxa"/>
            <w:vAlign w:val="bottom"/>
            <w:tcBorders>
              <w:bottom w:val="single" w:sz="8" w:color="CCEEFF"/>
            </w:tcBorders>
            <w:shd w:val="clear" w:color="auto" w:fill="CCEEFF"/>
          </w:tcPr>
          <w:p>
            <w:pPr>
              <w:ind w:left="20"/>
              <w:spacing w:after="0" w:line="150" w:lineRule="exact"/>
              <w:rPr>
                <w:sz w:val="20"/>
                <w:szCs w:val="20"/>
                <w:color w:val="auto"/>
              </w:rPr>
            </w:pPr>
            <w:r>
              <w:rPr>
                <w:rFonts w:ascii="Calibri" w:cs="Calibri" w:eastAsia="Calibri" w:hAnsi="Calibri"/>
                <w:sz w:val="14"/>
                <w:szCs w:val="14"/>
                <w:b w:val="1"/>
                <w:bCs w:val="1"/>
                <w:color w:val="auto"/>
              </w:rPr>
              <w:t>(In thousands)</w:t>
            </w:r>
          </w:p>
        </w:tc>
        <w:tc>
          <w:tcPr>
            <w:tcW w:w="18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r>
      <w:tr>
        <w:trPr>
          <w:trHeight w:val="222"/>
        </w:trPr>
        <w:tc>
          <w:tcPr>
            <w:tcW w:w="7820" w:type="dxa"/>
            <w:vAlign w:val="bottom"/>
          </w:tcPr>
          <w:p>
            <w:pPr>
              <w:ind w:left="20"/>
              <w:spacing w:after="0" w:line="215" w:lineRule="exact"/>
              <w:rPr>
                <w:sz w:val="20"/>
                <w:szCs w:val="20"/>
                <w:color w:val="auto"/>
              </w:rPr>
            </w:pPr>
            <w:r>
              <w:rPr>
                <w:rFonts w:ascii="Calibri" w:cs="Calibri" w:eastAsia="Calibri" w:hAnsi="Calibri"/>
                <w:sz w:val="18"/>
                <w:szCs w:val="18"/>
                <w:color w:val="auto"/>
              </w:rPr>
              <w:t>Senior secured revolving loan</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114,000</w:t>
            </w:r>
          </w:p>
        </w:tc>
        <w:tc>
          <w:tcPr>
            <w:tcW w:w="180" w:type="dxa"/>
            <w:vAlign w:val="bottom"/>
          </w:tcPr>
          <w:p>
            <w:pPr>
              <w:spacing w:after="0"/>
              <w:rPr>
                <w:sz w:val="19"/>
                <w:szCs w:val="19"/>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99,000</w:t>
            </w:r>
          </w:p>
        </w:tc>
      </w:tr>
      <w:tr>
        <w:trPr>
          <w:trHeight w:val="237"/>
        </w:trPr>
        <w:tc>
          <w:tcPr>
            <w:tcW w:w="78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Less: unamortzed debt issuance costs</w:t>
            </w: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(203)</w:t>
            </w:r>
          </w:p>
        </w:tc>
        <w:tc>
          <w:tcPr>
            <w:tcW w:w="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(269)</w:t>
            </w:r>
          </w:p>
        </w:tc>
      </w:tr>
      <w:tr>
        <w:trPr>
          <w:trHeight w:val="216"/>
        </w:trPr>
        <w:tc>
          <w:tcPr>
            <w:tcW w:w="7820" w:type="dxa"/>
            <w:vAlign w:val="bottom"/>
          </w:tcPr>
          <w:p>
            <w:pPr>
              <w:ind w:left="140"/>
              <w:spacing w:after="0" w:line="199" w:lineRule="exact"/>
              <w:rPr>
                <w:sz w:val="20"/>
                <w:szCs w:val="20"/>
                <w:color w:val="auto"/>
              </w:rPr>
            </w:pPr>
            <w:r>
              <w:rPr>
                <w:rFonts w:ascii="Calibri" w:cs="Calibri" w:eastAsia="Calibri" w:hAnsi="Calibri"/>
                <w:sz w:val="18"/>
                <w:szCs w:val="18"/>
                <w:color w:val="auto"/>
              </w:rPr>
              <w:t>Total debt, net of debt issuance costs</w:t>
            </w:r>
          </w:p>
        </w:tc>
        <w:tc>
          <w:tcPr>
            <w:tcW w:w="180" w:type="dxa"/>
            <w:vAlign w:val="bottom"/>
          </w:tcPr>
          <w:p>
            <w:pPr>
              <w:spacing w:after="0"/>
              <w:rPr>
                <w:sz w:val="18"/>
                <w:szCs w:val="18"/>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113,797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98,731</w:t>
            </w:r>
          </w:p>
        </w:tc>
      </w:tr>
      <w:tr>
        <w:trPr>
          <w:trHeight w:val="230"/>
        </w:trPr>
        <w:tc>
          <w:tcPr>
            <w:tcW w:w="78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Less: current porton of long-term debt</w:t>
            </w: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(9,913)</w:t>
            </w:r>
          </w:p>
        </w:tc>
        <w:tc>
          <w:tcPr>
            <w:tcW w:w="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(9,913)</w:t>
            </w:r>
          </w:p>
        </w:tc>
      </w:tr>
      <w:tr>
        <w:trPr>
          <w:trHeight w:val="229"/>
        </w:trPr>
        <w:tc>
          <w:tcPr>
            <w:tcW w:w="7820" w:type="dxa"/>
            <w:vAlign w:val="bottom"/>
          </w:tcPr>
          <w:p>
            <w:pPr>
              <w:ind w:left="20"/>
              <w:spacing w:after="0"/>
              <w:rPr>
                <w:sz w:val="20"/>
                <w:szCs w:val="20"/>
                <w:color w:val="auto"/>
              </w:rPr>
            </w:pPr>
            <w:r>
              <w:rPr>
                <w:rFonts w:ascii="Calibri" w:cs="Calibri" w:eastAsia="Calibri" w:hAnsi="Calibri"/>
                <w:sz w:val="18"/>
                <w:szCs w:val="18"/>
                <w:color w:val="auto"/>
              </w:rPr>
              <w:t>Total long-term debt</w:t>
            </w: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103,884</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88,818</w:t>
            </w:r>
          </w:p>
        </w:tc>
      </w:tr>
      <w:tr>
        <w:trPr>
          <w:trHeight w:val="21"/>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color w:val="auto"/>
        </w:rPr>
        <w:t>We were in compliance with all covenants of our credit agreement as of December 29, 2024.</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9 – Income Taxes</w:t>
      </w:r>
    </w:p>
    <w:p>
      <w:pPr>
        <w:spacing w:after="0" w:line="109"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We are subject to U.S. federal income tax as well as income tax of multple state jurisdictons. The tax years prior to our fscal year ended March 28, 2021 are closed to examinaton by the Internal Revenue Service, and with few exceptons, state and local income tax jurisdictons. Our efectve income tax rate was 26% for the nine months ended December 29, 2024, compared to 25% for the nine months ended December 31, 2023. The efectve tax rate is impacted by projected levels of annual taxable income, permanent items, and state taxes.</w:t>
      </w:r>
    </w:p>
    <w:p>
      <w:pPr>
        <w:spacing w:after="0" w:line="35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10 – Share-Based Compensaton</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i w:val="1"/>
          <w:iCs w:val="1"/>
          <w:color w:val="auto"/>
        </w:rPr>
        <w:t>Performance-Based Restricted Stock Units</w:t>
      </w:r>
      <w:r>
        <w:rPr>
          <w:rFonts w:ascii="Calibri" w:cs="Calibri" w:eastAsia="Calibri" w:hAnsi="Calibri"/>
          <w:sz w:val="18"/>
          <w:szCs w:val="18"/>
          <w:i w:val="1"/>
          <w:i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Our Board of Directors (the “Board”) approved a performance-based equity compensaton arrangement for our</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executve ofcers during the frst quarters of each of fscal 2025 and fscal 2024. These performance-based arrangements provide for the grant of performance-based restricted stock units that represent a possible future issuance of restricted shares of our common stock based on a pre-tax income target for the applicable fscal year. The actual number of restricted shares to be issued to each executve ofcer is determined when our fnal fnancial informaton becomes available afer the applicable fscal year and will be between zero shares and 76,137 shares in the aggregate for fscal 2025. The restricted shares issued, if any, will fully vest approximately two years afer the last day of the fscal year on which the performance is based. We are recording the compensaton expense for the outstanding performance share units and the converted restricted stock over the life of the awards.</w:t>
      </w: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represents the restricted stock actvity for the nine months ended December 29, 2024: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center"/>
              <w:ind w:right="134"/>
              <w:spacing w:after="0"/>
              <w:rPr>
                <w:sz w:val="20"/>
                <w:szCs w:val="20"/>
                <w:color w:val="auto"/>
              </w:rPr>
            </w:pPr>
            <w:r>
              <w:rPr>
                <w:rFonts w:ascii="Calibri" w:cs="Calibri" w:eastAsia="Calibri" w:hAnsi="Calibri"/>
                <w:sz w:val="16"/>
                <w:szCs w:val="16"/>
                <w:b w:val="1"/>
                <w:bCs w:val="1"/>
                <w:color w:val="auto"/>
              </w:rPr>
              <w:t>Weighted-</w:t>
            </w:r>
          </w:p>
        </w:tc>
      </w:tr>
      <w:tr>
        <w:trPr>
          <w:trHeight w:val="162"/>
        </w:trPr>
        <w:tc>
          <w:tcPr>
            <w:tcW w:w="7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114"/>
              <w:spacing w:after="0" w:line="162" w:lineRule="exact"/>
              <w:rPr>
                <w:sz w:val="20"/>
                <w:szCs w:val="20"/>
                <w:color w:val="auto"/>
              </w:rPr>
            </w:pPr>
            <w:r>
              <w:rPr>
                <w:rFonts w:ascii="Calibri" w:cs="Calibri" w:eastAsia="Calibri" w:hAnsi="Calibri"/>
                <w:sz w:val="16"/>
                <w:szCs w:val="16"/>
                <w:b w:val="1"/>
                <w:bCs w:val="1"/>
                <w:color w:val="auto"/>
                <w:w w:val="99"/>
              </w:rPr>
              <w:t>Average Grant</w:t>
            </w:r>
          </w:p>
        </w:tc>
      </w:tr>
      <w:tr>
        <w:trPr>
          <w:trHeight w:val="194"/>
        </w:trPr>
        <w:tc>
          <w:tcPr>
            <w:tcW w:w="7880" w:type="dxa"/>
            <w:vAlign w:val="bottom"/>
          </w:tcPr>
          <w:p>
            <w:pPr>
              <w:spacing w:after="0"/>
              <w:rPr>
                <w:sz w:val="16"/>
                <w:szCs w:val="16"/>
                <w:color w:val="auto"/>
              </w:rPr>
            </w:pPr>
          </w:p>
        </w:tc>
        <w:tc>
          <w:tcPr>
            <w:tcW w:w="1420" w:type="dxa"/>
            <w:vAlign w:val="bottom"/>
            <w:gridSpan w:val="2"/>
          </w:tcPr>
          <w:p>
            <w:pPr>
              <w:ind w:left="440"/>
              <w:spacing w:after="0" w:line="193" w:lineRule="exact"/>
              <w:rPr>
                <w:sz w:val="20"/>
                <w:szCs w:val="20"/>
                <w:color w:val="auto"/>
              </w:rPr>
            </w:pPr>
            <w:r>
              <w:rPr>
                <w:rFonts w:ascii="Calibri" w:cs="Calibri" w:eastAsia="Calibri" w:hAnsi="Calibri"/>
                <w:sz w:val="16"/>
                <w:szCs w:val="16"/>
                <w:b w:val="1"/>
                <w:bCs w:val="1"/>
                <w:color w:val="auto"/>
              </w:rPr>
              <w:t>Shares</w:t>
            </w:r>
          </w:p>
        </w:tc>
        <w:tc>
          <w:tcPr>
            <w:tcW w:w="220" w:type="dxa"/>
            <w:vAlign w:val="bottom"/>
          </w:tcPr>
          <w:p>
            <w:pPr>
              <w:spacing w:after="0"/>
              <w:rPr>
                <w:sz w:val="16"/>
                <w:szCs w:val="16"/>
                <w:color w:val="auto"/>
              </w:rPr>
            </w:pPr>
          </w:p>
        </w:tc>
        <w:tc>
          <w:tcPr>
            <w:tcW w:w="1440" w:type="dxa"/>
            <w:vAlign w:val="bottom"/>
          </w:tcPr>
          <w:p>
            <w:pPr>
              <w:jc w:val="center"/>
              <w:ind w:right="134"/>
              <w:spacing w:after="0" w:line="193" w:lineRule="exact"/>
              <w:rPr>
                <w:sz w:val="20"/>
                <w:szCs w:val="20"/>
                <w:color w:val="auto"/>
              </w:rPr>
            </w:pPr>
            <w:r>
              <w:rPr>
                <w:rFonts w:ascii="Calibri" w:cs="Calibri" w:eastAsia="Calibri" w:hAnsi="Calibri"/>
                <w:sz w:val="16"/>
                <w:szCs w:val="16"/>
                <w:b w:val="1"/>
                <w:bCs w:val="1"/>
                <w:color w:val="auto"/>
              </w:rPr>
              <w:t>Date Fair Value</w:t>
            </w:r>
          </w:p>
        </w:tc>
      </w:tr>
      <w:tr>
        <w:trPr>
          <w:trHeight w:val="28"/>
        </w:trPr>
        <w:tc>
          <w:tcPr>
            <w:tcW w:w="78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88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Unvested at beginning of period</w:t>
            </w:r>
          </w:p>
        </w:tc>
        <w:tc>
          <w:tcPr>
            <w:tcW w:w="13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145,477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4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40.33</w:t>
            </w:r>
          </w:p>
        </w:tc>
      </w:tr>
      <w:tr>
        <w:trPr>
          <w:trHeight w:val="222"/>
        </w:trPr>
        <w:tc>
          <w:tcPr>
            <w:tcW w:w="7880" w:type="dxa"/>
            <w:vAlign w:val="bottom"/>
          </w:tcPr>
          <w:p>
            <w:pPr>
              <w:ind w:left="20"/>
              <w:spacing w:after="0" w:line="215" w:lineRule="exact"/>
              <w:rPr>
                <w:sz w:val="20"/>
                <w:szCs w:val="20"/>
                <w:color w:val="auto"/>
              </w:rPr>
            </w:pPr>
            <w:r>
              <w:rPr>
                <w:rFonts w:ascii="Calibri" w:cs="Calibri" w:eastAsia="Calibri" w:hAnsi="Calibri"/>
                <w:sz w:val="18"/>
                <w:szCs w:val="18"/>
                <w:color w:val="auto"/>
              </w:rPr>
              <w:t>Granted</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75,428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76.60</w:t>
            </w:r>
          </w:p>
        </w:tc>
      </w:tr>
      <w:tr>
        <w:trPr>
          <w:trHeight w:val="237"/>
        </w:trPr>
        <w:tc>
          <w:tcPr>
            <w:tcW w:w="78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Vested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(83,658)</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38.31</w:t>
            </w:r>
          </w:p>
        </w:tc>
      </w:tr>
      <w:tr>
        <w:trPr>
          <w:trHeight w:val="216"/>
        </w:trPr>
        <w:tc>
          <w:tcPr>
            <w:tcW w:w="7880" w:type="dxa"/>
            <w:vAlign w:val="bottom"/>
          </w:tcPr>
          <w:p>
            <w:pPr>
              <w:ind w:left="20"/>
              <w:spacing w:after="0" w:line="195" w:lineRule="exact"/>
              <w:rPr>
                <w:sz w:val="20"/>
                <w:szCs w:val="20"/>
                <w:color w:val="auto"/>
              </w:rPr>
            </w:pPr>
            <w:r>
              <w:rPr>
                <w:rFonts w:ascii="Calibri" w:cs="Calibri" w:eastAsia="Calibri" w:hAnsi="Calibri"/>
                <w:sz w:val="18"/>
                <w:szCs w:val="18"/>
                <w:color w:val="auto"/>
              </w:rPr>
              <w:t>Unvested at end of period</w:t>
            </w:r>
          </w:p>
        </w:tc>
        <w:tc>
          <w:tcPr>
            <w:tcW w:w="13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137,247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61.49</w:t>
            </w:r>
          </w:p>
        </w:tc>
      </w:tr>
      <w:tr>
        <w:trPr>
          <w:trHeight w:val="27"/>
        </w:trPr>
        <w:tc>
          <w:tcPr>
            <w:tcW w:w="78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67" w:lineRule="exact"/>
        <w:rPr>
          <w:sz w:val="20"/>
          <w:szCs w:val="20"/>
          <w:color w:val="auto"/>
        </w:rPr>
      </w:pPr>
    </w:p>
    <w:p>
      <w:pPr>
        <w:ind w:right="40"/>
        <w:spacing w:after="0" w:line="228" w:lineRule="auto"/>
        <w:rPr>
          <w:sz w:val="20"/>
          <w:szCs w:val="20"/>
          <w:color w:val="auto"/>
        </w:rPr>
      </w:pPr>
      <w:r>
        <w:rPr>
          <w:rFonts w:ascii="Calibri" w:cs="Calibri" w:eastAsia="Calibri" w:hAnsi="Calibri"/>
          <w:sz w:val="18"/>
          <w:szCs w:val="18"/>
          <w:color w:val="auto"/>
        </w:rPr>
        <w:t>We recorded compensaton expense related to performance share units and restricted stock of $1.3 million and $3.9 million for the three and nine months ended December 29, 2024, respectvely. We recorded compensaton expense related to performance share units and restricted stock of $1.0 million and $2.7 million for the three and nine months ended December 31, 2023, respectvely. Substantally all of the compensaton expense was recorded in selling, general and administratve expenses in the condensed consolidated statements of income.</w:t>
      </w:r>
    </w:p>
    <w:p>
      <w:pPr>
        <w:spacing w:after="0" w:line="110" w:lineRule="exact"/>
        <w:rPr>
          <w:sz w:val="20"/>
          <w:szCs w:val="20"/>
          <w:color w:val="auto"/>
        </w:rPr>
      </w:pPr>
    </w:p>
    <w:p>
      <w:pPr>
        <w:ind w:right="160"/>
        <w:spacing w:after="0" w:line="225" w:lineRule="auto"/>
        <w:rPr>
          <w:sz w:val="20"/>
          <w:szCs w:val="20"/>
          <w:color w:val="auto"/>
        </w:rPr>
      </w:pPr>
      <w:r>
        <w:rPr>
          <w:rFonts w:ascii="Calibri" w:cs="Calibri" w:eastAsia="Calibri" w:hAnsi="Calibri"/>
          <w:sz w:val="18"/>
          <w:szCs w:val="18"/>
          <w:b w:val="1"/>
          <w:bCs w:val="1"/>
          <w:i w:val="1"/>
          <w:iCs w:val="1"/>
          <w:color w:val="auto"/>
        </w:rPr>
        <w:t>Restricted Stock Awards</w:t>
      </w:r>
      <w:r>
        <w:rPr>
          <w:rFonts w:ascii="Calibri" w:cs="Calibri" w:eastAsia="Calibri" w:hAnsi="Calibri"/>
          <w:sz w:val="18"/>
          <w:szCs w:val="18"/>
          <w:i w:val="1"/>
          <w:i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As part of their retainer, our directors, other than the Chief Executve Ofcer, receive restricted stock for their Board services. The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restricted stock awards are generally expensed over a one-year vestng period, based on the market value on the date of grant. As of December 29, 2024, there were 6,734 shares of restricted stock with an average grant date fair value of $103.90 outstanding under this program. Compensaton expense for the three and nine months ended December 29, 2024 related to restricted stock awards to the Board was $0.2 million and $0.5 million, respectvely. Compensaton expense for the three and nine months ended December 31, 2023 related to restricted stock awards to the Board was $0.1 million and $0.4 million, respectvely.</w:t>
      </w:r>
    </w:p>
    <w:p>
      <w:pPr>
        <w:spacing w:after="0" w:line="37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4" w:name="page15"/>
    <w:bookmarkEnd w:id="14"/>
    <w:p>
      <w:pPr>
        <w:spacing w:after="0"/>
        <w:rPr>
          <w:sz w:val="20"/>
          <w:szCs w:val="20"/>
          <w:color w:val="auto"/>
        </w:rPr>
      </w:pPr>
      <w:r>
        <w:rPr>
          <w:rFonts w:ascii="Calibri" w:cs="Calibri" w:eastAsia="Calibri" w:hAnsi="Calibri"/>
          <w:sz w:val="18"/>
          <w:szCs w:val="18"/>
          <w:b w:val="1"/>
          <w:bCs w:val="1"/>
          <w:color w:val="auto"/>
        </w:rPr>
        <w:t>Note 11 – Share Repurchase Program</w:t>
      </w:r>
    </w:p>
    <w:p>
      <w:pPr>
        <w:spacing w:after="0" w:line="96" w:lineRule="exact"/>
        <w:rPr>
          <w:sz w:val="20"/>
          <w:szCs w:val="20"/>
          <w:color w:val="auto"/>
        </w:rPr>
      </w:pPr>
    </w:p>
    <w:p>
      <w:pPr>
        <w:ind w:right="40"/>
        <w:spacing w:after="0" w:line="223" w:lineRule="auto"/>
        <w:rPr>
          <w:sz w:val="20"/>
          <w:szCs w:val="20"/>
          <w:color w:val="auto"/>
        </w:rPr>
      </w:pPr>
      <w:r>
        <w:rPr>
          <w:rFonts w:ascii="Calibri" w:cs="Calibri" w:eastAsia="Calibri" w:hAnsi="Calibri"/>
          <w:sz w:val="18"/>
          <w:szCs w:val="18"/>
          <w:color w:val="auto"/>
        </w:rPr>
        <w:t>Our Board has authorized the repurchase of up to 2.6 million shares of our outstanding common shares. The shares may be repurchased on the open market or in privately negotated transactons subject to applicable securites laws and regulatons. Upon purchase of the shares, we reduce our common stock for the par value of the shares with the excess applied against additonal paid-in capital. During the three months ended December 29, 2024, no shares were repurchased, and during the nine months ended December 29, 2024, we repurchased 105,541 shares at an aggregate purchase price of $9.1 million. During the three months ended December 31, 2023, we repurchased 24,065 shares at an aggregate purchase price of $1.5 million, and during the nine months ended December 31, 2023, we repurchased 191,861 shares at an aggregate purchase price of $11.3 million. As of December 29, 2024, 831,946 shares remained available to be repurchased under the share repurchase program.</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12 – Commitments and Contngencies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i w:val="1"/>
          <w:iCs w:val="1"/>
          <w:color w:val="auto"/>
        </w:rPr>
        <w:t xml:space="preserve">Environmental Remediaton. </w:t>
      </w:r>
      <w:r>
        <w:rPr>
          <w:rFonts w:ascii="Calibri" w:cs="Calibri" w:eastAsia="Calibri" w:hAnsi="Calibri"/>
          <w:sz w:val="18"/>
          <w:szCs w:val="18"/>
          <w:color w:val="auto"/>
        </w:rPr>
        <w:t>In the fourth quarter of fscal 2024, we recorded a liability of $7.7 million related to estmated remediaton expenses associated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with perchlorinated biphenyls ("PCBs") discovered in the soil at our Rosemount, MN facility during our expansion project. We acquired the property, which had prior heavy industrial use, in fscal 2012. While the source of the PCBs is unknown, we have never brought PCBs onto the property or used PCBs on the site. The liability is not discounted as management expects to incur these expenses within the next twelve months. Given the many uncertaintes involved in assessing environmental claims, our reserves may prove to be insufcient. While it is possible that additonal expense related to the remediaton will be incurred in future periods if currently unknown issues arise, we are unable to estmate the extent of any further fnancial impact. No expenses were charged against this liability during the three and nine months ended December 29, 2024.</w:t>
      </w: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98" w:right="399" w:bottom="1440" w:gutter="0" w:footer="0" w:header="0"/>
        </w:sectPr>
      </w:pPr>
    </w:p>
    <w:bookmarkStart w:id="15" w:name="page16"/>
    <w:bookmarkEnd w:id="15"/>
    <w:p>
      <w:pPr>
        <w:spacing w:after="0"/>
        <w:rPr>
          <w:sz w:val="20"/>
          <w:szCs w:val="20"/>
          <w:color w:val="auto"/>
        </w:rPr>
      </w:pPr>
      <w:r>
        <w:rPr>
          <w:rFonts w:ascii="Calibri" w:cs="Calibri" w:eastAsia="Calibri" w:hAnsi="Calibri"/>
          <w:sz w:val="18"/>
          <w:szCs w:val="18"/>
          <w:b w:val="1"/>
          <w:bCs w:val="1"/>
          <w:color w:val="auto"/>
        </w:rPr>
        <w:t>Note 13 – Segment Informaton</w:t>
      </w:r>
    </w:p>
    <w:p>
      <w:pPr>
        <w:spacing w:after="0" w:line="109" w:lineRule="exact"/>
        <w:rPr>
          <w:sz w:val="20"/>
          <w:szCs w:val="20"/>
          <w:color w:val="auto"/>
        </w:rPr>
      </w:pPr>
    </w:p>
    <w:p>
      <w:pPr>
        <w:ind w:right="220"/>
        <w:spacing w:after="0" w:line="235" w:lineRule="auto"/>
        <w:rPr>
          <w:rFonts w:ascii="Calibri" w:cs="Calibri" w:eastAsia="Calibri" w:hAnsi="Calibri"/>
          <w:sz w:val="18"/>
          <w:szCs w:val="18"/>
          <w:color w:val="auto"/>
        </w:rPr>
      </w:pPr>
      <w:r>
        <w:rPr>
          <w:rFonts w:ascii="Calibri" w:cs="Calibri" w:eastAsia="Calibri" w:hAnsi="Calibri"/>
          <w:sz w:val="18"/>
          <w:szCs w:val="18"/>
          <w:color w:val="auto"/>
        </w:rPr>
        <w:t xml:space="preserve">We have three reportable segments: Water Treatment, Industrial, and Health and Nutriton. The accountng policies of the segments are the same as those described in the summary of signifcant accountng policies in our </w:t>
      </w:r>
      <w:hyperlink r:id="rId19">
        <w:r>
          <w:rPr>
            <w:rFonts w:ascii="Calibri" w:cs="Calibri" w:eastAsia="Calibri" w:hAnsi="Calibri"/>
            <w:sz w:val="18"/>
            <w:szCs w:val="18"/>
            <w:u w:val="single" w:color="auto"/>
            <w:color w:val="0000FF"/>
          </w:rPr>
          <w:t>Annual Report on Form 10-K for the fscal year ended March 31, 2024</w:t>
        </w:r>
      </w:hyperlink>
      <w:r>
        <w:rPr>
          <w:rFonts w:ascii="Calibri" w:cs="Calibri" w:eastAsia="Calibri" w:hAnsi="Calibri"/>
          <w:sz w:val="18"/>
          <w:szCs w:val="18"/>
          <w:color w:val="auto"/>
        </w:rPr>
        <w:t>.</w:t>
      </w:r>
    </w:p>
    <w:p>
      <w:pPr>
        <w:spacing w:after="0" w:line="110"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We evaluate performance based on proft or loss from operatons before income taxes not including nonrecurring gains and losses. Reportable segments are defned primarily by product and type of customer. Segments are responsible for the sales, marketng and development of their products and services. We allocate certain corporate expenses to our operatng segments. There are no intersegment sales and no operatng segments have been aggregated. No single customer’s revenues amounted to 10% or more of our total revenue. Sales are primarily within the United States and all assets are located within the United States.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Calibri" w:cs="Calibri" w:eastAsia="Calibri" w:hAnsi="Calibri"/>
                <w:sz w:val="18"/>
                <w:szCs w:val="18"/>
                <w:b w:val="1"/>
                <w:bCs w:val="1"/>
                <w:color w:val="auto"/>
                <w:w w:val="93"/>
              </w:rPr>
              <w:t>Water</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Calibri" w:cs="Calibri" w:eastAsia="Calibri" w:hAnsi="Calibri"/>
                <w:sz w:val="18"/>
                <w:szCs w:val="18"/>
                <w:b w:val="1"/>
                <w:bCs w:val="1"/>
                <w:color w:val="auto"/>
                <w:w w:val="97"/>
              </w:rPr>
              <w:t>Health and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8"/>
        </w:trPr>
        <w:tc>
          <w:tcPr>
            <w:tcW w:w="5600" w:type="dxa"/>
            <w:vAlign w:val="bottom"/>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200" w:type="dxa"/>
            <w:vAlign w:val="bottom"/>
          </w:tcPr>
          <w:p>
            <w:pPr>
              <w:spacing w:after="0"/>
              <w:rPr>
                <w:sz w:val="19"/>
                <w:szCs w:val="19"/>
                <w:color w:val="auto"/>
              </w:rPr>
            </w:pPr>
          </w:p>
        </w:tc>
        <w:tc>
          <w:tcPr>
            <w:tcW w:w="1220" w:type="dxa"/>
            <w:vAlign w:val="bottom"/>
            <w:gridSpan w:val="2"/>
          </w:tcPr>
          <w:p>
            <w:pPr>
              <w:jc w:val="center"/>
              <w:ind w:right="300"/>
              <w:spacing w:after="0" w:line="215" w:lineRule="exact"/>
              <w:rPr>
                <w:sz w:val="20"/>
                <w:szCs w:val="20"/>
                <w:color w:val="auto"/>
              </w:rPr>
            </w:pPr>
            <w:r>
              <w:rPr>
                <w:rFonts w:ascii="Calibri" w:cs="Calibri" w:eastAsia="Calibri" w:hAnsi="Calibri"/>
                <w:sz w:val="18"/>
                <w:szCs w:val="18"/>
                <w:b w:val="1"/>
                <w:bCs w:val="1"/>
                <w:color w:val="auto"/>
                <w:w w:val="96"/>
              </w:rPr>
              <w:t>Treatment</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Calibri" w:cs="Calibri" w:eastAsia="Calibri" w:hAnsi="Calibri"/>
                <w:sz w:val="18"/>
                <w:szCs w:val="18"/>
                <w:b w:val="1"/>
                <w:bCs w:val="1"/>
                <w:color w:val="auto"/>
              </w:rPr>
              <w:t>Industrial</w:t>
            </w:r>
          </w:p>
        </w:tc>
        <w:tc>
          <w:tcPr>
            <w:tcW w:w="200" w:type="dxa"/>
            <w:vAlign w:val="bottom"/>
          </w:tcPr>
          <w:p>
            <w:pPr>
              <w:spacing w:after="0"/>
              <w:rPr>
                <w:sz w:val="19"/>
                <w:szCs w:val="19"/>
                <w:color w:val="auto"/>
              </w:rPr>
            </w:pPr>
          </w:p>
        </w:tc>
        <w:tc>
          <w:tcPr>
            <w:tcW w:w="1280" w:type="dxa"/>
            <w:vAlign w:val="bottom"/>
            <w:gridSpan w:val="2"/>
          </w:tcPr>
          <w:p>
            <w:pPr>
              <w:jc w:val="center"/>
              <w:ind w:right="340"/>
              <w:spacing w:after="0" w:line="215" w:lineRule="exact"/>
              <w:rPr>
                <w:sz w:val="20"/>
                <w:szCs w:val="20"/>
                <w:color w:val="auto"/>
              </w:rPr>
            </w:pPr>
            <w:r>
              <w:rPr>
                <w:rFonts w:ascii="Calibri" w:cs="Calibri" w:eastAsia="Calibri" w:hAnsi="Calibri"/>
                <w:sz w:val="18"/>
                <w:szCs w:val="18"/>
                <w:b w:val="1"/>
                <w:bCs w:val="1"/>
                <w:color w:val="auto"/>
              </w:rPr>
              <w:t>Nutriton</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Calibri" w:cs="Calibri" w:eastAsia="Calibri" w:hAnsi="Calibri"/>
                <w:sz w:val="18"/>
                <w:szCs w:val="18"/>
                <w:b w:val="1"/>
                <w:bCs w:val="1"/>
                <w:color w:val="auto"/>
              </w:rPr>
              <w:t>Total</w:t>
            </w:r>
          </w:p>
        </w:tc>
      </w:tr>
      <w:tr>
        <w:trPr>
          <w:trHeight w:val="23"/>
        </w:trPr>
        <w:tc>
          <w:tcPr>
            <w:tcW w:w="5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0"/>
        </w:trPr>
        <w:tc>
          <w:tcPr>
            <w:tcW w:w="560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Three months ended December 29, 2024:</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2"/>
        </w:trPr>
        <w:tc>
          <w:tcPr>
            <w:tcW w:w="5600" w:type="dxa"/>
            <w:vAlign w:val="bottom"/>
          </w:tcPr>
          <w:p>
            <w:pPr>
              <w:ind w:left="360"/>
              <w:spacing w:after="0" w:line="215" w:lineRule="exact"/>
              <w:rPr>
                <w:sz w:val="20"/>
                <w:szCs w:val="20"/>
                <w:color w:val="auto"/>
              </w:rPr>
            </w:pPr>
            <w:r>
              <w:rPr>
                <w:rFonts w:ascii="Calibri" w:cs="Calibri" w:eastAsia="Calibri" w:hAnsi="Calibri"/>
                <w:sz w:val="18"/>
                <w:szCs w:val="18"/>
                <w:color w:val="auto"/>
              </w:rPr>
              <w:t>Sales</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99,752</w:t>
            </w:r>
          </w:p>
        </w:tc>
        <w:tc>
          <w:tcPr>
            <w:tcW w:w="100" w:type="dxa"/>
            <w:vAlign w:val="bottom"/>
          </w:tcPr>
          <w:p>
            <w:pPr>
              <w:spacing w:after="0"/>
              <w:rPr>
                <w:sz w:val="19"/>
                <w:szCs w:val="19"/>
                <w:color w:val="auto"/>
              </w:rPr>
            </w:pP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91,997</w:t>
            </w:r>
          </w:p>
        </w:tc>
        <w:tc>
          <w:tcPr>
            <w:tcW w:w="100" w:type="dxa"/>
            <w:vAlign w:val="bottom"/>
          </w:tcPr>
          <w:p>
            <w:pPr>
              <w:spacing w:after="0"/>
              <w:rPr>
                <w:sz w:val="19"/>
                <w:szCs w:val="19"/>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34,456</w:t>
            </w:r>
          </w:p>
        </w:tc>
        <w:tc>
          <w:tcPr>
            <w:tcW w:w="14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226,205</w:t>
            </w:r>
          </w:p>
        </w:tc>
      </w:tr>
      <w:tr>
        <w:trPr>
          <w:trHeight w:val="237"/>
        </w:trPr>
        <w:tc>
          <w:tcPr>
            <w:tcW w:w="56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Gross proft</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26,027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15,180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7,217</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48,424</w:t>
            </w:r>
          </w:p>
        </w:tc>
      </w:tr>
      <w:tr>
        <w:trPr>
          <w:trHeight w:val="222"/>
        </w:trPr>
        <w:tc>
          <w:tcPr>
            <w:tcW w:w="5600" w:type="dxa"/>
            <w:vAlign w:val="bottom"/>
          </w:tcPr>
          <w:p>
            <w:pPr>
              <w:ind w:left="36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16,054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7,058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4,249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27,361</w:t>
            </w:r>
          </w:p>
        </w:tc>
      </w:tr>
      <w:tr>
        <w:trPr>
          <w:trHeight w:val="237"/>
        </w:trPr>
        <w:tc>
          <w:tcPr>
            <w:tcW w:w="56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Operatng income</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9,973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8,122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2,968</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21,063</w:t>
            </w:r>
          </w:p>
        </w:tc>
      </w:tr>
      <w:tr>
        <w:trPr>
          <w:trHeight w:val="222"/>
        </w:trPr>
        <w:tc>
          <w:tcPr>
            <w:tcW w:w="5600" w:type="dxa"/>
            <w:vAlign w:val="bottom"/>
          </w:tcPr>
          <w:p>
            <w:pPr>
              <w:ind w:left="20"/>
              <w:spacing w:after="0" w:line="215" w:lineRule="exact"/>
              <w:rPr>
                <w:sz w:val="20"/>
                <w:szCs w:val="20"/>
                <w:color w:val="auto"/>
              </w:rPr>
            </w:pPr>
            <w:r>
              <w:rPr>
                <w:rFonts w:ascii="Calibri" w:cs="Calibri" w:eastAsia="Calibri" w:hAnsi="Calibri"/>
                <w:sz w:val="18"/>
                <w:szCs w:val="18"/>
                <w:color w:val="auto"/>
              </w:rPr>
              <w:t>Three months ended December 31, 2023:</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7"/>
        </w:trPr>
        <w:tc>
          <w:tcPr>
            <w:tcW w:w="56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Sales</w:t>
            </w: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82,019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92,990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33,487</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208,496</w:t>
            </w:r>
          </w:p>
        </w:tc>
      </w:tr>
      <w:tr>
        <w:trPr>
          <w:trHeight w:val="222"/>
        </w:trPr>
        <w:tc>
          <w:tcPr>
            <w:tcW w:w="5600" w:type="dxa"/>
            <w:vAlign w:val="bottom"/>
          </w:tcPr>
          <w:p>
            <w:pPr>
              <w:ind w:left="360"/>
              <w:spacing w:after="0" w:line="215" w:lineRule="exact"/>
              <w:rPr>
                <w:sz w:val="20"/>
                <w:szCs w:val="20"/>
                <w:color w:val="auto"/>
              </w:rPr>
            </w:pPr>
            <w:r>
              <w:rPr>
                <w:rFonts w:ascii="Calibri" w:cs="Calibri" w:eastAsia="Calibri" w:hAnsi="Calibri"/>
                <w:sz w:val="18"/>
                <w:szCs w:val="18"/>
                <w:color w:val="auto"/>
              </w:rPr>
              <w:t>Gross proft</w:t>
            </w: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20,241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16,495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5,512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42,248</w:t>
            </w:r>
          </w:p>
        </w:tc>
      </w:tr>
      <w:tr>
        <w:trPr>
          <w:trHeight w:val="237"/>
        </w:trPr>
        <w:tc>
          <w:tcPr>
            <w:tcW w:w="56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Selling, general, and administratve expenses</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12,470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7,292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4,012</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23,774</w:t>
            </w:r>
          </w:p>
        </w:tc>
      </w:tr>
      <w:tr>
        <w:trPr>
          <w:trHeight w:val="222"/>
        </w:trPr>
        <w:tc>
          <w:tcPr>
            <w:tcW w:w="5600" w:type="dxa"/>
            <w:vAlign w:val="bottom"/>
          </w:tcPr>
          <w:p>
            <w:pPr>
              <w:ind w:left="360"/>
              <w:spacing w:after="0" w:line="215" w:lineRule="exact"/>
              <w:rPr>
                <w:sz w:val="20"/>
                <w:szCs w:val="20"/>
                <w:color w:val="auto"/>
              </w:rPr>
            </w:pPr>
            <w:r>
              <w:rPr>
                <w:rFonts w:ascii="Calibri" w:cs="Calibri" w:eastAsia="Calibri" w:hAnsi="Calibri"/>
                <w:sz w:val="18"/>
                <w:szCs w:val="18"/>
                <w:color w:val="auto"/>
              </w:rPr>
              <w:t>Operatng income</w:t>
            </w: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7,771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9,203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1,500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18,474</w:t>
            </w:r>
          </w:p>
        </w:tc>
      </w:tr>
      <w:tr>
        <w:trPr>
          <w:trHeight w:val="237"/>
        </w:trPr>
        <w:tc>
          <w:tcPr>
            <w:tcW w:w="56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Nine months ended December 29, 2024:</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2"/>
        </w:trPr>
        <w:tc>
          <w:tcPr>
            <w:tcW w:w="5600" w:type="dxa"/>
            <w:vAlign w:val="bottom"/>
          </w:tcPr>
          <w:p>
            <w:pPr>
              <w:ind w:left="360"/>
              <w:spacing w:after="0" w:line="215" w:lineRule="exact"/>
              <w:rPr>
                <w:sz w:val="20"/>
                <w:szCs w:val="20"/>
                <w:color w:val="auto"/>
              </w:rPr>
            </w:pPr>
            <w:r>
              <w:rPr>
                <w:rFonts w:ascii="Calibri" w:cs="Calibri" w:eastAsia="Calibri" w:hAnsi="Calibri"/>
                <w:sz w:val="18"/>
                <w:szCs w:val="18"/>
                <w:color w:val="auto"/>
              </w:rPr>
              <w:t>Sales</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341,456</w:t>
            </w:r>
          </w:p>
        </w:tc>
        <w:tc>
          <w:tcPr>
            <w:tcW w:w="100" w:type="dxa"/>
            <w:vAlign w:val="bottom"/>
          </w:tcPr>
          <w:p>
            <w:pPr>
              <w:spacing w:after="0"/>
              <w:rPr>
                <w:sz w:val="19"/>
                <w:szCs w:val="19"/>
                <w:color w:val="auto"/>
              </w:rPr>
            </w:pP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285,135</w:t>
            </w:r>
          </w:p>
        </w:tc>
        <w:tc>
          <w:tcPr>
            <w:tcW w:w="100" w:type="dxa"/>
            <w:vAlign w:val="bottom"/>
          </w:tcPr>
          <w:p>
            <w:pPr>
              <w:spacing w:after="0"/>
              <w:rPr>
                <w:sz w:val="19"/>
                <w:szCs w:val="19"/>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102,522</w:t>
            </w:r>
          </w:p>
        </w:tc>
        <w:tc>
          <w:tcPr>
            <w:tcW w:w="14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729,113</w:t>
            </w:r>
          </w:p>
        </w:tc>
      </w:tr>
      <w:tr>
        <w:trPr>
          <w:trHeight w:val="237"/>
        </w:trPr>
        <w:tc>
          <w:tcPr>
            <w:tcW w:w="56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Gross proft</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96,572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55,324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21,405</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173,301</w:t>
            </w:r>
          </w:p>
        </w:tc>
      </w:tr>
      <w:tr>
        <w:trPr>
          <w:trHeight w:val="222"/>
        </w:trPr>
        <w:tc>
          <w:tcPr>
            <w:tcW w:w="5600" w:type="dxa"/>
            <w:vAlign w:val="bottom"/>
          </w:tcPr>
          <w:p>
            <w:pPr>
              <w:ind w:left="36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45,732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20,649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12,321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78,702</w:t>
            </w:r>
          </w:p>
        </w:tc>
      </w:tr>
      <w:tr>
        <w:trPr>
          <w:trHeight w:val="237"/>
        </w:trPr>
        <w:tc>
          <w:tcPr>
            <w:tcW w:w="56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Operatng income</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50,840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34,675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9,084</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94,599</w:t>
            </w:r>
          </w:p>
        </w:tc>
      </w:tr>
      <w:tr>
        <w:trPr>
          <w:trHeight w:val="222"/>
        </w:trPr>
        <w:tc>
          <w:tcPr>
            <w:tcW w:w="5600" w:type="dxa"/>
            <w:vAlign w:val="bottom"/>
          </w:tcPr>
          <w:p>
            <w:pPr>
              <w:ind w:left="20"/>
              <w:spacing w:after="0" w:line="215" w:lineRule="exact"/>
              <w:rPr>
                <w:sz w:val="20"/>
                <w:szCs w:val="20"/>
                <w:color w:val="auto"/>
              </w:rPr>
            </w:pPr>
            <w:r>
              <w:rPr>
                <w:rFonts w:ascii="Calibri" w:cs="Calibri" w:eastAsia="Calibri" w:hAnsi="Calibri"/>
                <w:sz w:val="18"/>
                <w:szCs w:val="18"/>
                <w:color w:val="auto"/>
              </w:rPr>
              <w:t>Nine months ended December 31, 2023:</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7"/>
        </w:trPr>
        <w:tc>
          <w:tcPr>
            <w:tcW w:w="56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Sales</w:t>
            </w: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276,595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312,398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107,149</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696,142</w:t>
            </w:r>
          </w:p>
        </w:tc>
      </w:tr>
      <w:tr>
        <w:trPr>
          <w:trHeight w:val="222"/>
        </w:trPr>
        <w:tc>
          <w:tcPr>
            <w:tcW w:w="5600" w:type="dxa"/>
            <w:vAlign w:val="bottom"/>
          </w:tcPr>
          <w:p>
            <w:pPr>
              <w:ind w:left="360"/>
              <w:spacing w:after="0" w:line="215" w:lineRule="exact"/>
              <w:rPr>
                <w:sz w:val="20"/>
                <w:szCs w:val="20"/>
                <w:color w:val="auto"/>
              </w:rPr>
            </w:pPr>
            <w:r>
              <w:rPr>
                <w:rFonts w:ascii="Calibri" w:cs="Calibri" w:eastAsia="Calibri" w:hAnsi="Calibri"/>
                <w:sz w:val="18"/>
                <w:szCs w:val="18"/>
                <w:color w:val="auto"/>
              </w:rPr>
              <w:t>Gross proft</w:t>
            </w: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75,957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53,645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18,523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148,125</w:t>
            </w:r>
          </w:p>
        </w:tc>
      </w:tr>
      <w:tr>
        <w:trPr>
          <w:trHeight w:val="237"/>
        </w:trPr>
        <w:tc>
          <w:tcPr>
            <w:tcW w:w="56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Selling, general and administratve expenses</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31,741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20,673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11,759</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64,173</w:t>
            </w:r>
          </w:p>
        </w:tc>
      </w:tr>
      <w:tr>
        <w:trPr>
          <w:trHeight w:val="215"/>
        </w:trPr>
        <w:tc>
          <w:tcPr>
            <w:tcW w:w="5600" w:type="dxa"/>
            <w:vAlign w:val="bottom"/>
          </w:tcPr>
          <w:p>
            <w:pPr>
              <w:ind w:left="360"/>
              <w:spacing w:after="0" w:line="215" w:lineRule="exact"/>
              <w:rPr>
                <w:sz w:val="20"/>
                <w:szCs w:val="20"/>
                <w:color w:val="auto"/>
              </w:rPr>
            </w:pPr>
            <w:r>
              <w:rPr>
                <w:rFonts w:ascii="Calibri" w:cs="Calibri" w:eastAsia="Calibri" w:hAnsi="Calibri"/>
                <w:sz w:val="18"/>
                <w:szCs w:val="18"/>
                <w:color w:val="auto"/>
              </w:rPr>
              <w:t>Operatng income</w:t>
            </w:r>
          </w:p>
        </w:tc>
        <w:tc>
          <w:tcPr>
            <w:tcW w:w="20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44,216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32,972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6,764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83,952</w:t>
            </w:r>
          </w:p>
        </w:tc>
      </w:tr>
    </w:tbl>
    <w:p>
      <w:pPr>
        <w:spacing w:after="0" w:line="190" w:lineRule="exact"/>
        <w:rPr>
          <w:sz w:val="20"/>
          <w:szCs w:val="20"/>
          <w:color w:val="auto"/>
        </w:rPr>
      </w:pPr>
    </w:p>
    <w:p>
      <w:pPr>
        <w:spacing w:after="0"/>
        <w:rPr>
          <w:sz w:val="20"/>
          <w:szCs w:val="20"/>
          <w:color w:val="auto"/>
        </w:rPr>
      </w:pPr>
      <w:r>
        <w:rPr>
          <w:rFonts w:ascii="Calibri" w:cs="Calibri" w:eastAsia="Calibri" w:hAnsi="Calibri"/>
          <w:sz w:val="18"/>
          <w:szCs w:val="18"/>
          <w:color w:val="auto"/>
        </w:rPr>
        <w:t>No signifcant changes to identfable assets by segment occurred during the nine months ended December 29, 2024.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 w:name="page17"/>
    <w:bookmarkEnd w:id="16"/>
    <w:p>
      <w:pPr>
        <w:spacing w:after="0"/>
        <w:tabs>
          <w:tab w:leader="none" w:pos="680" w:val="left"/>
        </w:tabs>
        <w:rPr>
          <w:sz w:val="20"/>
          <w:szCs w:val="20"/>
          <w:color w:val="auto"/>
        </w:rPr>
      </w:pPr>
      <w:r>
        <w:rPr>
          <w:rFonts w:ascii="Calibri" w:cs="Calibri" w:eastAsia="Calibri" w:hAnsi="Calibri"/>
          <w:sz w:val="18"/>
          <w:szCs w:val="18"/>
          <w:color w:val="auto"/>
        </w:rPr>
        <w:t>ITEM 2.</w:t>
      </w:r>
      <w:r>
        <w:rPr>
          <w:sz w:val="20"/>
          <w:szCs w:val="20"/>
          <w:color w:val="auto"/>
        </w:rPr>
        <w:tab/>
      </w:r>
      <w:r>
        <w:rPr>
          <w:rFonts w:ascii="Calibri" w:cs="Calibri" w:eastAsia="Calibri" w:hAnsi="Calibri"/>
          <w:sz w:val="17"/>
          <w:szCs w:val="17"/>
          <w:color w:val="auto"/>
        </w:rPr>
        <w:t>MANAGEMENT’S DISCUSSION AND ANALYSIS OF FINANCIAL CONDITION AND RESULTS OF OPERATIONS</w:t>
      </w:r>
    </w:p>
    <w:p>
      <w:pPr>
        <w:spacing w:after="0" w:line="244" w:lineRule="exact"/>
        <w:rPr>
          <w:sz w:val="20"/>
          <w:szCs w:val="20"/>
          <w:color w:val="auto"/>
        </w:rPr>
      </w:pPr>
    </w:p>
    <w:p>
      <w:pPr>
        <w:ind w:right="140"/>
        <w:spacing w:after="0" w:line="235" w:lineRule="auto"/>
        <w:rPr>
          <w:rFonts w:ascii="Calibri" w:cs="Calibri" w:eastAsia="Calibri" w:hAnsi="Calibri"/>
          <w:sz w:val="18"/>
          <w:szCs w:val="18"/>
          <w:color w:val="0000FF"/>
        </w:rPr>
      </w:pPr>
      <w:r>
        <w:rPr>
          <w:rFonts w:ascii="Calibri" w:cs="Calibri" w:eastAsia="Calibri" w:hAnsi="Calibri"/>
          <w:sz w:val="18"/>
          <w:szCs w:val="18"/>
          <w:color w:val="auto"/>
        </w:rPr>
        <w:t xml:space="preserve">The following is a discussion and analysis of our fnancial conditon and results of operatons for the nine months ended December 29, 2024 as compared to the similar period ended December 31, 2023. This discussion should be read in conjuncton with the condensed consolidated fnancial statements and notes </w:t>
      </w:r>
      <w:hyperlink r:id="rId19">
        <w:r>
          <w:rPr>
            <w:rFonts w:ascii="Calibri" w:cs="Calibri" w:eastAsia="Calibri" w:hAnsi="Calibri"/>
            <w:sz w:val="18"/>
            <w:szCs w:val="18"/>
            <w:color w:val="auto"/>
          </w:rPr>
          <w:t xml:space="preserve">to condensed consolidated fnancial statements included in this quarterly report on Form 10-Q and Item 8 of our </w:t>
        </w:r>
        <w:r>
          <w:rPr>
            <w:rFonts w:ascii="Calibri" w:cs="Calibri" w:eastAsia="Calibri" w:hAnsi="Calibri"/>
            <w:sz w:val="18"/>
            <w:szCs w:val="18"/>
            <w:u w:val="single" w:color="auto"/>
            <w:color w:val="0000FF"/>
          </w:rPr>
          <w:t>Annual Report on Form 10-K for the fscal</w:t>
        </w:r>
      </w:hyperlink>
      <w:r>
        <w:rPr>
          <w:rFonts w:ascii="Calibri" w:cs="Calibri" w:eastAsia="Calibri" w:hAnsi="Calibri"/>
          <w:sz w:val="18"/>
          <w:szCs w:val="18"/>
          <w:color w:val="auto"/>
        </w:rPr>
        <w:t xml:space="preserve"> </w:t>
      </w:r>
      <w:hyperlink r:id="rId19">
        <w:r>
          <w:rPr>
            <w:rFonts w:ascii="Calibri" w:cs="Calibri" w:eastAsia="Calibri" w:hAnsi="Calibri"/>
            <w:sz w:val="18"/>
            <w:szCs w:val="18"/>
            <w:u w:val="single" w:color="auto"/>
            <w:color w:val="0000FF"/>
          </w:rPr>
          <w:t>year ended March 31, 2024</w:t>
        </w:r>
        <w:r>
          <w:rPr>
            <w:rFonts w:ascii="Calibri" w:cs="Calibri" w:eastAsia="Calibri" w:hAnsi="Calibri"/>
            <w:sz w:val="18"/>
            <w:szCs w:val="18"/>
            <w:color w:val="000000"/>
          </w:rPr>
          <w:t>.</w:t>
        </w:r>
      </w:hyperlink>
    </w:p>
    <w:p>
      <w:pPr>
        <w:spacing w:after="0" w:line="25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Overview</w:t>
      </w:r>
    </w:p>
    <w:p>
      <w:pPr>
        <w:spacing w:after="0" w:line="10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We derive substantally all of our revenues from the sale of chemicals and specialty ingredients to our customers in a wide variety of industries. We began our operatons primarily as a distributor of bulk chemicals with a strong customer focus. Over the years, we have maintained the strong customer focus and have expanded our business by increasing our sales of value-added chemicals and specialty ingredients, including manufacturing, blending, and repackaging certain products.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Business Acquisitons</w:t>
      </w:r>
    </w:p>
    <w:p>
      <w:pPr>
        <w:spacing w:after="0" w:line="82" w:lineRule="exact"/>
        <w:rPr>
          <w:sz w:val="20"/>
          <w:szCs w:val="20"/>
          <w:color w:val="auto"/>
        </w:rPr>
      </w:pPr>
    </w:p>
    <w:p>
      <w:pPr>
        <w:ind w:right="260"/>
        <w:spacing w:after="0" w:line="227" w:lineRule="auto"/>
        <w:rPr>
          <w:sz w:val="20"/>
          <w:szCs w:val="20"/>
          <w:color w:val="auto"/>
        </w:rPr>
      </w:pPr>
      <w:r>
        <w:rPr>
          <w:rFonts w:ascii="Calibri" w:cs="Calibri" w:eastAsia="Calibri" w:hAnsi="Calibri"/>
          <w:sz w:val="18"/>
          <w:szCs w:val="18"/>
          <w:color w:val="auto"/>
        </w:rPr>
        <w:t>We completed the following acquisitons in fscal 2024 and fscal 2025.The results of operatons since the date of each acquisiton and the assets, including goodwill associated with these acquisitons, are included in our Water Treatment segment.</w:t>
      </w:r>
    </w:p>
    <w:p>
      <w:pPr>
        <w:spacing w:after="0" w:line="259" w:lineRule="exact"/>
        <w:rPr>
          <w:sz w:val="20"/>
          <w:szCs w:val="20"/>
          <w:color w:val="auto"/>
        </w:rPr>
      </w:pPr>
    </w:p>
    <w:p>
      <w:pPr>
        <w:ind w:left="660" w:right="160" w:hanging="328"/>
        <w:spacing w:after="0" w:line="235" w:lineRule="auto"/>
        <w:tabs>
          <w:tab w:leader="none" w:pos="655"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18"/>
          <w:szCs w:val="18"/>
          <w:color w:val="auto"/>
        </w:rPr>
        <w:t>On October 30, 2024, we acquired substantally all the assets of Water Guard for $18.0 million. Water Guard distributes water treatment chemicals and equipment to its customers primarily throughout North Carolina.</w:t>
      </w:r>
    </w:p>
    <w:p>
      <w:pPr>
        <w:spacing w:after="0" w:line="96" w:lineRule="exact"/>
        <w:rPr>
          <w:rFonts w:ascii="Times New Roman" w:cs="Times New Roman" w:eastAsia="Times New Roman" w:hAnsi="Times New Roman"/>
          <w:sz w:val="18"/>
          <w:szCs w:val="18"/>
          <w:color w:val="auto"/>
        </w:rPr>
      </w:pPr>
    </w:p>
    <w:p>
      <w:pPr>
        <w:ind w:left="660" w:right="20" w:hanging="328"/>
        <w:spacing w:after="0" w:line="227" w:lineRule="auto"/>
        <w:tabs>
          <w:tab w:leader="none" w:pos="653"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On June 28, 2024, we acquired substantally all the assets of Woford for $3.4 million. Woford distributed water treatment chemicals and equipment to customers mainly in Mississippi.</w:t>
      </w:r>
    </w:p>
    <w:p>
      <w:pPr>
        <w:spacing w:after="0" w:line="245" w:lineRule="exact"/>
        <w:rPr>
          <w:rFonts w:ascii="Calibri" w:cs="Calibri" w:eastAsia="Calibri" w:hAnsi="Calibri"/>
          <w:sz w:val="18"/>
          <w:szCs w:val="18"/>
          <w:color w:val="auto"/>
        </w:rPr>
      </w:pPr>
    </w:p>
    <w:p>
      <w:pPr>
        <w:ind w:left="660" w:right="360" w:hanging="328"/>
        <w:spacing w:after="0" w:line="235" w:lineRule="auto"/>
        <w:tabs>
          <w:tab w:leader="none" w:pos="653" w:val="left"/>
        </w:tabs>
        <w:numPr>
          <w:ilvl w:val="0"/>
          <w:numId w:val="2"/>
        </w:numPr>
        <w:rPr>
          <w:rFonts w:ascii="Calibri" w:cs="Calibri" w:eastAsia="Calibri" w:hAnsi="Calibri"/>
          <w:sz w:val="18"/>
          <w:szCs w:val="18"/>
          <w:b w:val="1"/>
          <w:bCs w:val="1"/>
          <w:i w:val="1"/>
          <w:iCs w:val="1"/>
          <w:color w:val="auto"/>
        </w:rPr>
      </w:pPr>
      <w:r>
        <w:rPr>
          <w:rFonts w:ascii="Calibri" w:cs="Calibri" w:eastAsia="Calibri" w:hAnsi="Calibri"/>
          <w:sz w:val="18"/>
          <w:szCs w:val="18"/>
          <w:color w:val="auto"/>
        </w:rPr>
        <w:t>On June 3, 2024, we acquired substantally all the assets of Intercoastal for $22.0 million. Intercoastal distributes water treatment chemicals and equipment to its customers in Maryland, Delaware and Virginia.</w:t>
      </w:r>
    </w:p>
    <w:p>
      <w:pPr>
        <w:spacing w:after="0" w:line="96" w:lineRule="exact"/>
        <w:rPr>
          <w:rFonts w:ascii="Calibri" w:cs="Calibri" w:eastAsia="Calibri" w:hAnsi="Calibri"/>
          <w:sz w:val="18"/>
          <w:szCs w:val="18"/>
          <w:b w:val="1"/>
          <w:bCs w:val="1"/>
          <w:i w:val="1"/>
          <w:iCs w:val="1"/>
          <w:color w:val="auto"/>
        </w:rPr>
      </w:pPr>
    </w:p>
    <w:p>
      <w:pPr>
        <w:ind w:left="660" w:right="300" w:hanging="328"/>
        <w:spacing w:after="0" w:line="242" w:lineRule="auto"/>
        <w:tabs>
          <w:tab w:leader="none" w:pos="653" w:val="left"/>
        </w:tabs>
        <w:numPr>
          <w:ilvl w:val="0"/>
          <w:numId w:val="2"/>
        </w:numPr>
        <w:rPr>
          <w:rFonts w:ascii="Calibri" w:cs="Calibri" w:eastAsia="Calibri" w:hAnsi="Calibri"/>
          <w:sz w:val="17"/>
          <w:szCs w:val="17"/>
          <w:color w:val="auto"/>
        </w:rPr>
      </w:pPr>
      <w:r>
        <w:rPr>
          <w:rFonts w:ascii="Calibri" w:cs="Calibri" w:eastAsia="Calibri" w:hAnsi="Calibri"/>
          <w:sz w:val="17"/>
          <w:szCs w:val="17"/>
          <w:color w:val="auto"/>
        </w:rPr>
        <w:t>In the fourth quarter of fscal 2024, we acquired substantally all the assets of Industrial Research for $4.6 million. Industrial Research was a distributor of water treatment chemicals and equipment for its customers in central to northern Louisiana, eastern Texas and southern Arkansas.</w:t>
      </w:r>
    </w:p>
    <w:p>
      <w:pPr>
        <w:spacing w:after="0" w:line="108" w:lineRule="exact"/>
        <w:rPr>
          <w:rFonts w:ascii="Calibri" w:cs="Calibri" w:eastAsia="Calibri" w:hAnsi="Calibri"/>
          <w:sz w:val="17"/>
          <w:szCs w:val="17"/>
          <w:color w:val="auto"/>
        </w:rPr>
      </w:pPr>
    </w:p>
    <w:p>
      <w:pPr>
        <w:ind w:left="660" w:right="840" w:hanging="328"/>
        <w:spacing w:after="0" w:line="227" w:lineRule="auto"/>
        <w:tabs>
          <w:tab w:leader="none" w:pos="653"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In the third quarter of fscal 2024, we acquired substantally all the assets of Miami Products for $15.5 million. Miami Products is a bleach manufacturer and distributor serving customers primarily throughout Ohio and the surrounding region.</w:t>
      </w:r>
    </w:p>
    <w:p>
      <w:pPr>
        <w:spacing w:after="0" w:line="97" w:lineRule="exact"/>
        <w:rPr>
          <w:rFonts w:ascii="Calibri" w:cs="Calibri" w:eastAsia="Calibri" w:hAnsi="Calibri"/>
          <w:sz w:val="18"/>
          <w:szCs w:val="18"/>
          <w:color w:val="auto"/>
        </w:rPr>
      </w:pPr>
    </w:p>
    <w:p>
      <w:pPr>
        <w:ind w:left="660" w:right="260" w:hanging="328"/>
        <w:spacing w:after="0" w:line="228" w:lineRule="auto"/>
        <w:tabs>
          <w:tab w:leader="none" w:pos="653" w:val="left"/>
        </w:tabs>
        <w:numPr>
          <w:ilvl w:val="0"/>
          <w:numId w:val="2"/>
        </w:numPr>
        <w:rPr>
          <w:rFonts w:ascii="Calibri" w:cs="Calibri" w:eastAsia="Calibri" w:hAnsi="Calibri"/>
          <w:sz w:val="18"/>
          <w:szCs w:val="18"/>
          <w:b w:val="1"/>
          <w:bCs w:val="1"/>
          <w:i w:val="1"/>
          <w:iCs w:val="1"/>
          <w:color w:val="auto"/>
        </w:rPr>
      </w:pPr>
      <w:r>
        <w:rPr>
          <w:rFonts w:ascii="Calibri" w:cs="Calibri" w:eastAsia="Calibri" w:hAnsi="Calibri"/>
          <w:sz w:val="18"/>
          <w:szCs w:val="18"/>
          <w:color w:val="auto"/>
        </w:rPr>
        <w:t>In the third quarter of fscal 2024, we acquired substantally all the assets of Water Solutons for $60 million and an additonal amount to be paid afer three years based on achieving certain targets. The total purchase price was estmated to be $70.7 million, including the estmated potental earnout to be paid of $10.7 million. Water Solutons is a manufacturer and distributor of water treatment chemicals serving customers primarily throughout Indiana, Illinois and Michigan.</w:t>
      </w:r>
    </w:p>
    <w:p>
      <w:pPr>
        <w:spacing w:after="0" w:line="96" w:lineRule="exact"/>
        <w:rPr>
          <w:rFonts w:ascii="Calibri" w:cs="Calibri" w:eastAsia="Calibri" w:hAnsi="Calibri"/>
          <w:sz w:val="18"/>
          <w:szCs w:val="18"/>
          <w:b w:val="1"/>
          <w:bCs w:val="1"/>
          <w:i w:val="1"/>
          <w:iCs w:val="1"/>
          <w:color w:val="auto"/>
        </w:rPr>
      </w:pPr>
    </w:p>
    <w:p>
      <w:pPr>
        <w:ind w:left="660" w:right="100" w:hanging="328"/>
        <w:spacing w:after="0" w:line="235" w:lineRule="auto"/>
        <w:tabs>
          <w:tab w:leader="none" w:pos="653" w:val="left"/>
        </w:tabs>
        <w:numPr>
          <w:ilvl w:val="0"/>
          <w:numId w:val="2"/>
        </w:numPr>
        <w:rPr>
          <w:rFonts w:ascii="Calibri" w:cs="Calibri" w:eastAsia="Calibri" w:hAnsi="Calibri"/>
          <w:sz w:val="18"/>
          <w:szCs w:val="18"/>
          <w:b w:val="1"/>
          <w:bCs w:val="1"/>
          <w:i w:val="1"/>
          <w:iCs w:val="1"/>
          <w:color w:val="auto"/>
        </w:rPr>
      </w:pPr>
      <w:r>
        <w:rPr>
          <w:rFonts w:ascii="Calibri" w:cs="Calibri" w:eastAsia="Calibri" w:hAnsi="Calibri"/>
          <w:sz w:val="18"/>
          <w:szCs w:val="18"/>
          <w:color w:val="auto"/>
        </w:rPr>
        <w:t>In the second quarter of fscal 2024, we acquired substantally all the assets of EcoTech for $3.4 million. EcoTech was a manufacturer and distributor of water treatment chemicals serving customers throughout Arkansas and surrounding states.</w:t>
      </w:r>
    </w:p>
    <w:p>
      <w:pPr>
        <w:spacing w:after="0" w:line="110"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The aggregate annual revenue of these seven businesses acquired in fscal 2024 and fscal 2025 totaled approximately $105 million, as determined using the applicable twelve-month period preceding each respectve acquisiton date.</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Share Repurchase Program</w:t>
      </w:r>
    </w:p>
    <w:p>
      <w:pPr>
        <w:spacing w:after="0" w:line="96" w:lineRule="exact"/>
        <w:rPr>
          <w:sz w:val="20"/>
          <w:szCs w:val="20"/>
          <w:color w:val="auto"/>
        </w:rPr>
      </w:pPr>
    </w:p>
    <w:p>
      <w:pPr>
        <w:ind w:right="640"/>
        <w:spacing w:after="0" w:line="235" w:lineRule="auto"/>
        <w:rPr>
          <w:sz w:val="20"/>
          <w:szCs w:val="20"/>
          <w:color w:val="auto"/>
        </w:rPr>
      </w:pPr>
      <w:r>
        <w:rPr>
          <w:rFonts w:ascii="Calibri" w:cs="Calibri" w:eastAsia="Calibri" w:hAnsi="Calibri"/>
          <w:sz w:val="18"/>
          <w:szCs w:val="18"/>
          <w:color w:val="auto"/>
        </w:rPr>
        <w:t>We have in place a share repurchase program for up to 2.6 million shares of our common shares. As of December 29, 2024, 831,946 shares remained available to be repurchased under this program.</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Financial Results</w:t>
      </w:r>
    </w:p>
    <w:p>
      <w:pPr>
        <w:spacing w:after="0" w:line="9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focus on total proftability dollars when evaluatng our fnancial results as opposed to proftability as a percentage of sales, as sales dollars tend to fuctuate as raw material prices rise and fall, partcularly in our Water Treatment and Industrial segments. The costs for certain of our raw materials can rise or fall rapidly, causing fuctuatons in gross proft as a percentage of sales.</w:t>
      </w:r>
    </w:p>
    <w:p>
      <w:pPr>
        <w:spacing w:after="0" w:line="246"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We use the last in, frst out (“LIFO”) method of valuing the majority of our inventory in our Water Treatment and Industrial segments, which causes the most recent product costs to be recognized in our income statement. The LIFO inventory</w:t>
      </w:r>
    </w:p>
    <w:p>
      <w:pPr>
        <w:spacing w:after="0" w:line="2"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valuaton method and the resultng cost of sales are consistent with our business practces of pricing to current chemical raw material prices. Inventories in our Health and Nutriton segment are valued using the frst-in, frst-out (“FIFO”) method.</w:t>
      </w:r>
    </w:p>
    <w:p>
      <w:pPr>
        <w:spacing w:after="0" w:line="245" w:lineRule="exact"/>
        <w:rPr>
          <w:sz w:val="20"/>
          <w:szCs w:val="20"/>
          <w:color w:val="auto"/>
        </w:rPr>
      </w:pPr>
    </w:p>
    <w:p>
      <w:pPr>
        <w:ind w:right="20"/>
        <w:spacing w:after="0" w:line="229" w:lineRule="auto"/>
        <w:rPr>
          <w:sz w:val="20"/>
          <w:szCs w:val="20"/>
          <w:color w:val="auto"/>
        </w:rPr>
      </w:pPr>
      <w:r>
        <w:rPr>
          <w:rFonts w:ascii="Calibri" w:cs="Calibri" w:eastAsia="Calibri" w:hAnsi="Calibri"/>
          <w:sz w:val="18"/>
          <w:szCs w:val="18"/>
          <w:color w:val="auto"/>
        </w:rPr>
        <w:t>We disclose the sales of our bulk commodity products as a percentage of total sales dollars for our Water Treatment and Industrial segments. Our defniton of bulk commodity products includes products that we do not modify in any way, but receive, store, and ship from our facilites, or direct ship to our customers in large quanttes. We disclose the percentage of our overall sales that consist of sales of bulk commodity products as these products are generally distributed and we do not add signifcant value to these products in comparison to our non-bulk products. Sales of these products are generally highly compettve and price sensitve. As a result, bulk commodity products generally have our lowest margins.</w:t>
      </w:r>
    </w:p>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Results of Operatons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sets forth the percentage relatonship of certain items to sales for the period indicated:</w:t>
      </w:r>
    </w:p>
    <w:p>
      <w:pPr>
        <w:sectPr>
          <w:pgSz w:w="11900" w:h="16838" w:orient="portrait"/>
          <w:cols w:equalWidth="0" w:num="1">
            <w:col w:w="11240"/>
          </w:cols>
          <w:pgMar w:left="320" w:top="882" w:right="339" w:bottom="1440" w:gutter="0" w:footer="0" w:header="0"/>
        </w:sectPr>
      </w:pPr>
    </w:p>
    <w:bookmarkStart w:id="17" w:name="page18"/>
    <w:bookmarkEnd w:id="17"/>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60" w:type="dxa"/>
            <w:vAlign w:val="bottom"/>
          </w:tcPr>
          <w:p>
            <w:pPr>
              <w:spacing w:after="0"/>
              <w:rPr>
                <w:sz w:val="19"/>
                <w:szCs w:val="19"/>
                <w:color w:val="auto"/>
              </w:rPr>
            </w:pPr>
          </w:p>
        </w:tc>
        <w:tc>
          <w:tcPr>
            <w:tcW w:w="3400" w:type="dxa"/>
            <w:vAlign w:val="bottom"/>
            <w:gridSpan w:val="4"/>
          </w:tcPr>
          <w:p>
            <w:pPr>
              <w:ind w:left="900"/>
              <w:spacing w:after="0"/>
              <w:rPr>
                <w:sz w:val="20"/>
                <w:szCs w:val="20"/>
                <w:color w:val="auto"/>
              </w:rPr>
            </w:pPr>
            <w:r>
              <w:rPr>
                <w:rFonts w:ascii="Calibri" w:cs="Calibri" w:eastAsia="Calibri" w:hAnsi="Calibri"/>
                <w:sz w:val="18"/>
                <w:szCs w:val="18"/>
                <w:b w:val="1"/>
                <w:bCs w:val="1"/>
                <w:color w:val="auto"/>
              </w:rPr>
              <w:t>Three Months Ended</w:t>
            </w:r>
          </w:p>
        </w:tc>
        <w:tc>
          <w:tcPr>
            <w:tcW w:w="3380" w:type="dxa"/>
            <w:vAlign w:val="bottom"/>
            <w:gridSpan w:val="3"/>
          </w:tcPr>
          <w:p>
            <w:pPr>
              <w:jc w:val="right"/>
              <w:ind w:right="870"/>
              <w:spacing w:after="0"/>
              <w:rPr>
                <w:sz w:val="20"/>
                <w:szCs w:val="20"/>
                <w:color w:val="auto"/>
              </w:rPr>
            </w:pPr>
            <w:r>
              <w:rPr>
                <w:rFonts w:ascii="Calibri" w:cs="Calibri" w:eastAsia="Calibri" w:hAnsi="Calibri"/>
                <w:sz w:val="18"/>
                <w:szCs w:val="18"/>
                <w:b w:val="1"/>
                <w:bCs w:val="1"/>
                <w:color w:val="auto"/>
              </w:rPr>
              <w:t>Nine Months Ended</w:t>
            </w:r>
          </w:p>
        </w:tc>
      </w:tr>
      <w:tr>
        <w:trPr>
          <w:trHeight w:val="23"/>
        </w:trPr>
        <w:tc>
          <w:tcPr>
            <w:tcW w:w="44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44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00"/>
              <w:spacing w:after="0" w:line="215" w:lineRule="exact"/>
              <w:rPr>
                <w:sz w:val="20"/>
                <w:szCs w:val="20"/>
                <w:color w:val="auto"/>
              </w:rPr>
            </w:pPr>
            <w:r>
              <w:rPr>
                <w:rFonts w:ascii="Calibri" w:cs="Calibri" w:eastAsia="Calibri" w:hAnsi="Calibri"/>
                <w:sz w:val="18"/>
                <w:szCs w:val="18"/>
                <w:b w:val="1"/>
                <w:bCs w:val="1"/>
                <w:color w:val="auto"/>
              </w:rPr>
              <w:t>December 29, 2024</w:t>
            </w:r>
          </w:p>
        </w:tc>
        <w:tc>
          <w:tcPr>
            <w:tcW w:w="160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b w:val="1"/>
                <w:bCs w:val="1"/>
                <w:color w:val="auto"/>
              </w:rPr>
              <w:t>December 31, 2023</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00"/>
              <w:spacing w:after="0" w:line="215" w:lineRule="exact"/>
              <w:rPr>
                <w:sz w:val="20"/>
                <w:szCs w:val="20"/>
                <w:color w:val="auto"/>
              </w:rPr>
            </w:pPr>
            <w:r>
              <w:rPr>
                <w:rFonts w:ascii="Calibri" w:cs="Calibri" w:eastAsia="Calibri" w:hAnsi="Calibri"/>
                <w:sz w:val="18"/>
                <w:szCs w:val="18"/>
                <w:b w:val="1"/>
                <w:bCs w:val="1"/>
                <w:color w:val="auto"/>
              </w:rPr>
              <w:t>December 29, 2024</w:t>
            </w:r>
          </w:p>
        </w:tc>
        <w:tc>
          <w:tcPr>
            <w:tcW w:w="160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b w:val="1"/>
                <w:bCs w:val="1"/>
                <w:color w:val="auto"/>
              </w:rPr>
              <w:t>December 31, 2023</w:t>
            </w:r>
          </w:p>
        </w:tc>
      </w:tr>
      <w:tr>
        <w:trPr>
          <w:trHeight w:val="216"/>
        </w:trPr>
        <w:tc>
          <w:tcPr>
            <w:tcW w:w="4460" w:type="dxa"/>
            <w:vAlign w:val="bottom"/>
          </w:tcPr>
          <w:p>
            <w:pPr>
              <w:ind w:left="20"/>
              <w:spacing w:after="0" w:line="195" w:lineRule="exact"/>
              <w:rPr>
                <w:sz w:val="20"/>
                <w:szCs w:val="20"/>
                <w:color w:val="auto"/>
              </w:rPr>
            </w:pPr>
            <w:r>
              <w:rPr>
                <w:rFonts w:ascii="Calibri" w:cs="Calibri" w:eastAsia="Calibri" w:hAnsi="Calibri"/>
                <w:sz w:val="18"/>
                <w:szCs w:val="18"/>
                <w:color w:val="auto"/>
              </w:rPr>
              <w:t>Sales</w:t>
            </w:r>
          </w:p>
        </w:tc>
        <w:tc>
          <w:tcPr>
            <w:tcW w:w="160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100.0 %</w:t>
            </w:r>
          </w:p>
        </w:tc>
        <w:tc>
          <w:tcPr>
            <w:tcW w:w="100" w:type="dxa"/>
            <w:vAlign w:val="bottom"/>
          </w:tcPr>
          <w:p>
            <w:pPr>
              <w:spacing w:after="0"/>
              <w:rPr>
                <w:sz w:val="18"/>
                <w:szCs w:val="18"/>
                <w:color w:val="auto"/>
              </w:rPr>
            </w:pPr>
          </w:p>
        </w:tc>
        <w:tc>
          <w:tcPr>
            <w:tcW w:w="160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100.0 %</w:t>
            </w:r>
          </w:p>
        </w:tc>
        <w:tc>
          <w:tcPr>
            <w:tcW w:w="100" w:type="dxa"/>
            <w:vAlign w:val="bottom"/>
          </w:tcPr>
          <w:p>
            <w:pPr>
              <w:spacing w:after="0"/>
              <w:rPr>
                <w:sz w:val="18"/>
                <w:szCs w:val="18"/>
                <w:color w:val="auto"/>
              </w:rPr>
            </w:pPr>
          </w:p>
        </w:tc>
        <w:tc>
          <w:tcPr>
            <w:tcW w:w="160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100.0 %</w:t>
            </w:r>
          </w:p>
        </w:tc>
        <w:tc>
          <w:tcPr>
            <w:tcW w:w="180" w:type="dxa"/>
            <w:vAlign w:val="bottom"/>
          </w:tcPr>
          <w:p>
            <w:pPr>
              <w:spacing w:after="0"/>
              <w:rPr>
                <w:sz w:val="18"/>
                <w:szCs w:val="18"/>
                <w:color w:val="auto"/>
              </w:rPr>
            </w:pPr>
          </w:p>
        </w:tc>
        <w:tc>
          <w:tcPr>
            <w:tcW w:w="160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100.0 %</w:t>
            </w:r>
          </w:p>
        </w:tc>
      </w:tr>
      <w:tr>
        <w:trPr>
          <w:trHeight w:val="237"/>
        </w:trPr>
        <w:tc>
          <w:tcPr>
            <w:tcW w:w="44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Cost of sales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(78.6)%</w:t>
            </w:r>
          </w:p>
        </w:tc>
        <w:tc>
          <w:tcPr>
            <w:tcW w:w="100" w:type="dxa"/>
            <w:vAlign w:val="bottom"/>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(79.7)%</w:t>
            </w:r>
          </w:p>
        </w:tc>
        <w:tc>
          <w:tcPr>
            <w:tcW w:w="100" w:type="dxa"/>
            <w:vAlign w:val="bottom"/>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(76.2)%</w:t>
            </w:r>
          </w:p>
        </w:tc>
        <w:tc>
          <w:tcPr>
            <w:tcW w:w="180" w:type="dxa"/>
            <w:vAlign w:val="bottom"/>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(78.7)%</w:t>
            </w:r>
          </w:p>
        </w:tc>
      </w:tr>
      <w:tr>
        <w:trPr>
          <w:trHeight w:val="216"/>
        </w:trPr>
        <w:tc>
          <w:tcPr>
            <w:tcW w:w="4460" w:type="dxa"/>
            <w:vAlign w:val="bottom"/>
          </w:tcPr>
          <w:p>
            <w:pPr>
              <w:ind w:left="20"/>
              <w:spacing w:after="0" w:line="195" w:lineRule="exact"/>
              <w:rPr>
                <w:sz w:val="20"/>
                <w:szCs w:val="20"/>
                <w:color w:val="auto"/>
              </w:rPr>
            </w:pPr>
            <w:r>
              <w:rPr>
                <w:rFonts w:ascii="Calibri" w:cs="Calibri" w:eastAsia="Calibri" w:hAnsi="Calibri"/>
                <w:sz w:val="18"/>
                <w:szCs w:val="18"/>
                <w:color w:val="auto"/>
              </w:rPr>
              <w:t>Gross proft</w:t>
            </w: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21.4 %</w:t>
            </w:r>
          </w:p>
        </w:tc>
        <w:tc>
          <w:tcPr>
            <w:tcW w:w="100" w:type="dxa"/>
            <w:vAlign w:val="bottom"/>
          </w:tcPr>
          <w:p>
            <w:pPr>
              <w:spacing w:after="0"/>
              <w:rPr>
                <w:sz w:val="18"/>
                <w:szCs w:val="18"/>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20.3 %</w:t>
            </w:r>
          </w:p>
        </w:tc>
        <w:tc>
          <w:tcPr>
            <w:tcW w:w="100" w:type="dxa"/>
            <w:vAlign w:val="bottom"/>
          </w:tcPr>
          <w:p>
            <w:pPr>
              <w:spacing w:after="0"/>
              <w:rPr>
                <w:sz w:val="18"/>
                <w:szCs w:val="18"/>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23.8 %</w:t>
            </w:r>
          </w:p>
        </w:tc>
        <w:tc>
          <w:tcPr>
            <w:tcW w:w="180" w:type="dxa"/>
            <w:vAlign w:val="bottom"/>
          </w:tcPr>
          <w:p>
            <w:pPr>
              <w:spacing w:after="0"/>
              <w:rPr>
                <w:sz w:val="18"/>
                <w:szCs w:val="18"/>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21.3 %</w:t>
            </w:r>
          </w:p>
        </w:tc>
      </w:tr>
      <w:tr>
        <w:trPr>
          <w:trHeight w:val="237"/>
        </w:trPr>
        <w:tc>
          <w:tcPr>
            <w:tcW w:w="44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Selling, general and administratve expenses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(12.1)%</w:t>
            </w:r>
          </w:p>
        </w:tc>
        <w:tc>
          <w:tcPr>
            <w:tcW w:w="100" w:type="dxa"/>
            <w:vAlign w:val="bottom"/>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(11.4)%</w:t>
            </w:r>
          </w:p>
        </w:tc>
        <w:tc>
          <w:tcPr>
            <w:tcW w:w="100" w:type="dxa"/>
            <w:vAlign w:val="bottom"/>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(10.8)%</w:t>
            </w:r>
          </w:p>
        </w:tc>
        <w:tc>
          <w:tcPr>
            <w:tcW w:w="180" w:type="dxa"/>
            <w:vAlign w:val="bottom"/>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(9.2)%</w:t>
            </w:r>
          </w:p>
        </w:tc>
      </w:tr>
      <w:tr>
        <w:trPr>
          <w:trHeight w:val="216"/>
        </w:trPr>
        <w:tc>
          <w:tcPr>
            <w:tcW w:w="4460" w:type="dxa"/>
            <w:vAlign w:val="bottom"/>
          </w:tcPr>
          <w:p>
            <w:pPr>
              <w:ind w:left="20"/>
              <w:spacing w:after="0" w:line="195" w:lineRule="exact"/>
              <w:rPr>
                <w:sz w:val="20"/>
                <w:szCs w:val="20"/>
                <w:color w:val="auto"/>
              </w:rPr>
            </w:pPr>
            <w:r>
              <w:rPr>
                <w:rFonts w:ascii="Calibri" w:cs="Calibri" w:eastAsia="Calibri" w:hAnsi="Calibri"/>
                <w:sz w:val="18"/>
                <w:szCs w:val="18"/>
                <w:color w:val="auto"/>
              </w:rPr>
              <w:t>Operatng income</w:t>
            </w: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9.3 %</w:t>
            </w:r>
          </w:p>
        </w:tc>
        <w:tc>
          <w:tcPr>
            <w:tcW w:w="100" w:type="dxa"/>
            <w:vAlign w:val="bottom"/>
          </w:tcPr>
          <w:p>
            <w:pPr>
              <w:spacing w:after="0"/>
              <w:rPr>
                <w:sz w:val="18"/>
                <w:szCs w:val="18"/>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8.9 %</w:t>
            </w:r>
          </w:p>
        </w:tc>
        <w:tc>
          <w:tcPr>
            <w:tcW w:w="100" w:type="dxa"/>
            <w:vAlign w:val="bottom"/>
          </w:tcPr>
          <w:p>
            <w:pPr>
              <w:spacing w:after="0"/>
              <w:rPr>
                <w:sz w:val="18"/>
                <w:szCs w:val="18"/>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13.0 %</w:t>
            </w:r>
          </w:p>
        </w:tc>
        <w:tc>
          <w:tcPr>
            <w:tcW w:w="180" w:type="dxa"/>
            <w:vAlign w:val="bottom"/>
          </w:tcPr>
          <w:p>
            <w:pPr>
              <w:spacing w:after="0"/>
              <w:rPr>
                <w:sz w:val="18"/>
                <w:szCs w:val="18"/>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12.1 %</w:t>
            </w:r>
          </w:p>
        </w:tc>
      </w:tr>
      <w:tr>
        <w:trPr>
          <w:trHeight w:val="237"/>
        </w:trPr>
        <w:tc>
          <w:tcPr>
            <w:tcW w:w="44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Interest expense, net</w:t>
            </w:r>
          </w:p>
        </w:tc>
        <w:tc>
          <w:tcPr>
            <w:tcW w:w="16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(0.5)%</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(0.6)%</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(0.5)%</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(0.4)%</w:t>
            </w:r>
          </w:p>
        </w:tc>
      </w:tr>
      <w:tr>
        <w:trPr>
          <w:trHeight w:val="223"/>
        </w:trPr>
        <w:tc>
          <w:tcPr>
            <w:tcW w:w="446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Other (expense) income</w:t>
            </w:r>
          </w:p>
        </w:tc>
        <w:tc>
          <w:tcPr>
            <w:tcW w:w="1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0.2 %</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0.4 %</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0.2 %</w:t>
            </w:r>
          </w:p>
        </w:tc>
        <w:tc>
          <w:tcPr>
            <w:tcW w:w="1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0.1 %</w:t>
            </w:r>
          </w:p>
        </w:tc>
      </w:tr>
      <w:tr>
        <w:trPr>
          <w:trHeight w:val="230"/>
        </w:trPr>
        <w:tc>
          <w:tcPr>
            <w:tcW w:w="446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Income before income taxes</w:t>
            </w:r>
          </w:p>
        </w:tc>
        <w:tc>
          <w:tcPr>
            <w:tcW w:w="16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9.0 %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8.7 %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12.7 %</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11.8 %</w:t>
            </w:r>
          </w:p>
        </w:tc>
      </w:tr>
      <w:tr>
        <w:trPr>
          <w:trHeight w:val="223"/>
        </w:trPr>
        <w:tc>
          <w:tcPr>
            <w:tcW w:w="446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Income tax expense</w:t>
            </w:r>
          </w:p>
        </w:tc>
        <w:tc>
          <w:tcPr>
            <w:tcW w:w="1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(3.3)%</w:t>
            </w:r>
          </w:p>
        </w:tc>
        <w:tc>
          <w:tcPr>
            <w:tcW w:w="1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(2.9)%</w:t>
            </w:r>
          </w:p>
        </w:tc>
      </w:tr>
      <w:tr>
        <w:trPr>
          <w:trHeight w:val="248"/>
        </w:trPr>
        <w:tc>
          <w:tcPr>
            <w:tcW w:w="4460" w:type="dxa"/>
            <w:vAlign w:val="bottom"/>
            <w:tcBorders>
              <w:bottom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Net income</w:t>
            </w:r>
          </w:p>
        </w:tc>
        <w:tc>
          <w:tcPr>
            <w:tcW w:w="16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6.7 %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7.1 %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9.4 %</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8.9 %</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Three Months Ended December 29, 2024 Compared to Three Months Ended December 31, 2023</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Sales</w:t>
      </w:r>
    </w:p>
    <w:p>
      <w:pPr>
        <w:spacing w:after="0" w:line="163"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Sales were $226.2 million for the three months ended December 29, 2024, an increase of $17.7 million, or 8%, from sales of $208.5 million in the same period a year ago. Sales in our Water Treatment segment increased 22%, sales in our Health and Nutriton segment increased 3%, while sales in our Industrial segment decreased slightly.</w:t>
      </w:r>
    </w:p>
    <w:p>
      <w:pPr>
        <w:spacing w:after="0" w:line="246" w:lineRule="exact"/>
        <w:rPr>
          <w:sz w:val="20"/>
          <w:szCs w:val="20"/>
          <w:color w:val="auto"/>
        </w:rPr>
      </w:pPr>
    </w:p>
    <w:p>
      <w:pPr>
        <w:ind w:right="40"/>
        <w:spacing w:after="0" w:line="228" w:lineRule="auto"/>
        <w:rPr>
          <w:sz w:val="20"/>
          <w:szCs w:val="20"/>
          <w:color w:val="auto"/>
        </w:rPr>
      </w:pPr>
      <w:r>
        <w:rPr>
          <w:rFonts w:ascii="Calibri" w:cs="Calibri" w:eastAsia="Calibri" w:hAnsi="Calibri"/>
          <w:sz w:val="18"/>
          <w:szCs w:val="18"/>
          <w:i w:val="1"/>
          <w:iCs w:val="1"/>
          <w:color w:val="auto"/>
        </w:rPr>
        <w:t xml:space="preserve">Water Treatment Segment. </w:t>
      </w:r>
      <w:r>
        <w:rPr>
          <w:rFonts w:ascii="Calibri" w:cs="Calibri" w:eastAsia="Calibri" w:hAnsi="Calibri"/>
          <w:sz w:val="18"/>
          <w:szCs w:val="18"/>
          <w:color w:val="auto"/>
        </w:rPr>
        <w:t>Water Treatment segment sales increased $17.8 million, or 22%, to $99.8 million for the three months ended December 29, 2024,</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from sales of $82.0 million in the same period a year ago. Sales of bulk commodity products in the Water Treatment segment were approximately 9% of sales dollars for both the current quarter and in the same period a year ago. Sales increased as a result of $12 million of added sales from acquired businesses as well as increased sales volumes in our legacy business.</w:t>
      </w:r>
    </w:p>
    <w:p>
      <w:pPr>
        <w:spacing w:after="0" w:line="232" w:lineRule="exact"/>
        <w:rPr>
          <w:sz w:val="20"/>
          <w:szCs w:val="20"/>
          <w:color w:val="auto"/>
        </w:rPr>
      </w:pPr>
    </w:p>
    <w:p>
      <w:pPr>
        <w:ind w:right="220"/>
        <w:spacing w:after="0" w:line="228" w:lineRule="auto"/>
        <w:rPr>
          <w:sz w:val="20"/>
          <w:szCs w:val="20"/>
          <w:color w:val="auto"/>
        </w:rPr>
      </w:pPr>
      <w:r>
        <w:rPr>
          <w:rFonts w:ascii="Calibri" w:cs="Calibri" w:eastAsia="Calibri" w:hAnsi="Calibri"/>
          <w:sz w:val="18"/>
          <w:szCs w:val="18"/>
          <w:i w:val="1"/>
          <w:iCs w:val="1"/>
          <w:color w:val="auto"/>
        </w:rPr>
        <w:t xml:space="preserve">Industrial Segment. </w:t>
      </w:r>
      <w:r>
        <w:rPr>
          <w:rFonts w:ascii="Calibri" w:cs="Calibri" w:eastAsia="Calibri" w:hAnsi="Calibri"/>
          <w:sz w:val="18"/>
          <w:szCs w:val="18"/>
          <w:color w:val="auto"/>
        </w:rPr>
        <w:t>Industrial segment sales decreased $1.0 million, or 1%, to $92.0 million for the three months ended December 29, 2024, from sales of</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$93.0 million in the same period a year ago. Sales of bulk commodity products in the Industrial segment were approximately 15% of sales dollars in the current quarter and 14% in the same period a year ago. Sales decreased as a result of lower selling prices on certain products, driven by lower raw material costs, product mix changes and compettve pricing pressures.</w:t>
      </w:r>
    </w:p>
    <w:p>
      <w:pPr>
        <w:spacing w:after="0" w:line="245" w:lineRule="exact"/>
        <w:rPr>
          <w:sz w:val="20"/>
          <w:szCs w:val="20"/>
          <w:color w:val="auto"/>
        </w:rPr>
      </w:pPr>
    </w:p>
    <w:p>
      <w:pPr>
        <w:ind w:right="320"/>
        <w:spacing w:after="0" w:line="227" w:lineRule="auto"/>
        <w:rPr>
          <w:sz w:val="20"/>
          <w:szCs w:val="20"/>
          <w:color w:val="auto"/>
        </w:rPr>
      </w:pPr>
      <w:r>
        <w:rPr>
          <w:rFonts w:ascii="Calibri" w:cs="Calibri" w:eastAsia="Calibri" w:hAnsi="Calibri"/>
          <w:sz w:val="18"/>
          <w:szCs w:val="18"/>
          <w:i w:val="1"/>
          <w:iCs w:val="1"/>
          <w:color w:val="auto"/>
        </w:rPr>
        <w:t xml:space="preserve">Health &amp; Nutriton Segment. </w:t>
      </w:r>
      <w:r>
        <w:rPr>
          <w:rFonts w:ascii="Calibri" w:cs="Calibri" w:eastAsia="Calibri" w:hAnsi="Calibri"/>
          <w:sz w:val="18"/>
          <w:szCs w:val="18"/>
          <w:color w:val="auto"/>
        </w:rPr>
        <w:t>Health and Nutriton segment sales increased $1.0 million, or 3%, to $34.5 million for the three months ended December 29,</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2024, from sales of $33.5 million in the same period a year ago. Sales increased due to increased sales volumes of our manufactured products.</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Gross Proft</w:t>
      </w:r>
    </w:p>
    <w:p>
      <w:pPr>
        <w:spacing w:after="0" w:line="163"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Gross proft increased $6.2 million, or 15%, to $48.4 million, or 21% of sales, for the three months ended December 29, 2024, from $42.2 million, or 20% of sales, in the same period a year ago. During the current quarter, the LIFO reserve decreased,</w:t>
      </w:r>
    </w:p>
    <w:p>
      <w:pPr>
        <w:spacing w:after="0" w:line="164"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and gross proft increased, by $0.8 million, primarily due to lower antcipated fscal year-end prices on certain products. In the same period a year ago, the LIFO reserve decreased, and gross proft increased, by $2.5 million.</w:t>
      </w:r>
    </w:p>
    <w:p>
      <w:pPr>
        <w:spacing w:after="0" w:line="245" w:lineRule="exact"/>
        <w:rPr>
          <w:sz w:val="20"/>
          <w:szCs w:val="20"/>
          <w:color w:val="auto"/>
        </w:rPr>
      </w:pPr>
    </w:p>
    <w:p>
      <w:pPr>
        <w:spacing w:after="0" w:line="228" w:lineRule="auto"/>
        <w:rPr>
          <w:sz w:val="20"/>
          <w:szCs w:val="20"/>
          <w:color w:val="auto"/>
        </w:rPr>
      </w:pPr>
      <w:r>
        <w:rPr>
          <w:rFonts w:ascii="Calibri" w:cs="Calibri" w:eastAsia="Calibri" w:hAnsi="Calibri"/>
          <w:sz w:val="18"/>
          <w:szCs w:val="18"/>
          <w:i w:val="1"/>
          <w:iCs w:val="1"/>
          <w:color w:val="auto"/>
        </w:rPr>
        <w:t xml:space="preserve">Water Treatment Segment. </w:t>
      </w:r>
      <w:r>
        <w:rPr>
          <w:rFonts w:ascii="Calibri" w:cs="Calibri" w:eastAsia="Calibri" w:hAnsi="Calibri"/>
          <w:sz w:val="18"/>
          <w:szCs w:val="18"/>
          <w:color w:val="auto"/>
        </w:rPr>
        <w:t>Gross proft for the Water Treatment segment increased $5.8 million, or 29%, to $26.0 million, or 26% of sales, for the three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months ended December 29, 2024, from $20.2 million, or 25% of sales, in the same period a year ago. During the current quarter, the LIFO reserve decreased, and gross proft increased, by $0.1 million. In the same period a year ago, the LIFO reserve decreased, and gross proft increased, by $0.4 million. Gross proft increased as a result of increased sales, including the increased sales from our acquired businesses.</w:t>
      </w:r>
    </w:p>
    <w:p>
      <w:pPr>
        <w:spacing w:after="0" w:line="245" w:lineRule="exact"/>
        <w:rPr>
          <w:sz w:val="20"/>
          <w:szCs w:val="20"/>
          <w:color w:val="auto"/>
        </w:rPr>
      </w:pPr>
    </w:p>
    <w:p>
      <w:pPr>
        <w:ind w:right="40"/>
        <w:spacing w:after="0" w:line="228" w:lineRule="auto"/>
        <w:rPr>
          <w:sz w:val="20"/>
          <w:szCs w:val="20"/>
          <w:color w:val="auto"/>
        </w:rPr>
      </w:pPr>
      <w:r>
        <w:rPr>
          <w:rFonts w:ascii="Calibri" w:cs="Calibri" w:eastAsia="Calibri" w:hAnsi="Calibri"/>
          <w:sz w:val="18"/>
          <w:szCs w:val="18"/>
          <w:i w:val="1"/>
          <w:iCs w:val="1"/>
          <w:color w:val="auto"/>
        </w:rPr>
        <w:t xml:space="preserve">Industrial Segment. </w:t>
      </w:r>
      <w:r>
        <w:rPr>
          <w:rFonts w:ascii="Calibri" w:cs="Calibri" w:eastAsia="Calibri" w:hAnsi="Calibri"/>
          <w:sz w:val="18"/>
          <w:szCs w:val="18"/>
          <w:color w:val="auto"/>
        </w:rPr>
        <w:t>Gross proft for the Industrial segment decreased $1.3 million, or 8%, to $15.2 million, or 17% of sales, for the three months ended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December 29, 2024, from $16.5 million, or 18% of sales, in the same period a year ago. During the current quarter, the LIFO reserve decreased, and gross proft increased, by $0.6 million. In the same period a year ago, the LIFO reserve decreased, and gross proft increased, by $2.1 million. Gross proft decreased primarily as a result of product mix changes and the change in the LIFO reserve.</w:t>
      </w:r>
    </w:p>
    <w:p>
      <w:pPr>
        <w:spacing w:after="0" w:line="232" w:lineRule="exact"/>
        <w:rPr>
          <w:sz w:val="20"/>
          <w:szCs w:val="20"/>
          <w:color w:val="auto"/>
        </w:rPr>
      </w:pPr>
    </w:p>
    <w:p>
      <w:pPr>
        <w:jc w:val="both"/>
        <w:ind w:right="60"/>
        <w:spacing w:after="0" w:line="242" w:lineRule="auto"/>
        <w:rPr>
          <w:sz w:val="20"/>
          <w:szCs w:val="20"/>
          <w:color w:val="auto"/>
        </w:rPr>
      </w:pPr>
      <w:r>
        <w:rPr>
          <w:rFonts w:ascii="Calibri" w:cs="Calibri" w:eastAsia="Calibri" w:hAnsi="Calibri"/>
          <w:sz w:val="17"/>
          <w:szCs w:val="17"/>
          <w:i w:val="1"/>
          <w:iCs w:val="1"/>
          <w:color w:val="auto"/>
        </w:rPr>
        <w:t>Health and Nutriton Segment</w:t>
      </w:r>
      <w:r>
        <w:rPr>
          <w:rFonts w:ascii="Calibri" w:cs="Calibri" w:eastAsia="Calibri" w:hAnsi="Calibri"/>
          <w:sz w:val="17"/>
          <w:szCs w:val="17"/>
          <w:color w:val="auto"/>
        </w:rPr>
        <w:t>. Gross proft for our Health and Nutriton segment increased $1.7 million, or 31%, to $7.2 million, or 21% of sales, for the three</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months ended December 29, 2024, from $5.5 million, or 16% of sales, in the same period a year ago. Gross proft increased as a result of the increased sales.</w:t>
      </w:r>
    </w:p>
    <w:p>
      <w:pPr>
        <w:spacing w:after="0" w:line="23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Selling, General and Administratve Expenses</w:t>
      </w:r>
    </w:p>
    <w:p>
      <w:pPr>
        <w:spacing w:after="0" w:line="163" w:lineRule="exact"/>
        <w:rPr>
          <w:sz w:val="20"/>
          <w:szCs w:val="20"/>
          <w:color w:val="auto"/>
        </w:rPr>
      </w:pPr>
    </w:p>
    <w:p>
      <w:pPr>
        <w:ind w:right="20"/>
        <w:spacing w:after="0" w:line="254" w:lineRule="auto"/>
        <w:rPr>
          <w:sz w:val="20"/>
          <w:szCs w:val="20"/>
          <w:color w:val="auto"/>
        </w:rPr>
      </w:pPr>
      <w:r>
        <w:rPr>
          <w:rFonts w:ascii="Calibri" w:cs="Calibri" w:eastAsia="Calibri" w:hAnsi="Calibri"/>
          <w:sz w:val="17"/>
          <w:szCs w:val="17"/>
          <w:color w:val="auto"/>
        </w:rPr>
        <w:t>Selling, general and administratve (“SG&amp;A”) expenses increased $3.6 million, or 15%, to $27.4 million, or 12% of sales, for the three months ended December 29, 2024, from $23.8 million, or 11% of sales, in the same period a year ago. Expenses increased largely due to $1.9 million in added costs from the acquired businesses in our Water Treatment segment, including amortzaton of intangibles of $0.8 million, as well as other increased variable costs.</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Operatng Income</w:t>
      </w:r>
    </w:p>
    <w:p>
      <w:pPr>
        <w:spacing w:after="0" w:line="163"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Operatng income increased $2.6 million, or 14%, to $21.1 million, or 9% of sales, for the three months ended December 29, 2024, from $18.5 million, or 9% of sales, in the same period a year ago due to the combined impact of the factors discussed above.</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Interest Expense, Net</w:t>
      </w:r>
    </w:p>
    <w:p>
      <w:pPr>
        <w:spacing w:after="0" w:line="163" w:lineRule="exact"/>
        <w:rPr>
          <w:sz w:val="20"/>
          <w:szCs w:val="20"/>
          <w:color w:val="auto"/>
        </w:rPr>
      </w:pPr>
    </w:p>
    <w:p>
      <w:pPr>
        <w:jc w:val="both"/>
        <w:ind w:right="180"/>
        <w:spacing w:after="0" w:line="258" w:lineRule="auto"/>
        <w:rPr>
          <w:sz w:val="20"/>
          <w:szCs w:val="20"/>
          <w:color w:val="auto"/>
        </w:rPr>
      </w:pPr>
      <w:r>
        <w:rPr>
          <w:rFonts w:ascii="Calibri" w:cs="Calibri" w:eastAsia="Calibri" w:hAnsi="Calibri"/>
          <w:sz w:val="17"/>
          <w:szCs w:val="17"/>
          <w:color w:val="auto"/>
        </w:rPr>
        <w:t>Interest expense was $1.2 million for both the three months ended December 29, 2024 and the same period a year ago. Interest expense was fat year over year as an increase in outstanding borrowings in the current quarter, as compared to the same period a year ago, was ofset by slightly lower interest rates.</w:t>
      </w:r>
    </w:p>
    <w:p>
      <w:pPr>
        <w:spacing w:after="0" w:line="22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Other Income</w:t>
      </w:r>
    </w:p>
    <w:p>
      <w:pPr>
        <w:spacing w:after="0" w:line="150" w:lineRule="exact"/>
        <w:rPr>
          <w:sz w:val="20"/>
          <w:szCs w:val="20"/>
          <w:color w:val="auto"/>
        </w:rPr>
      </w:pPr>
    </w:p>
    <w:p>
      <w:pPr>
        <w:ind w:right="420"/>
        <w:spacing w:after="0" w:line="242" w:lineRule="auto"/>
        <w:rPr>
          <w:sz w:val="20"/>
          <w:szCs w:val="20"/>
          <w:color w:val="auto"/>
        </w:rPr>
      </w:pPr>
      <w:r>
        <w:rPr>
          <w:rFonts w:ascii="Calibri" w:cs="Calibri" w:eastAsia="Calibri" w:hAnsi="Calibri"/>
          <w:sz w:val="17"/>
          <w:szCs w:val="17"/>
          <w:color w:val="auto"/>
        </w:rPr>
        <w:t>Other income was $0.4 million for the three months ended December 29, 2024 compared to $0.9 million in the same period a year ago. The income represents gains recorded on investments held for our non-qualifed deferred compensaton plan. The amounts recorded as a gain were ofset by similar</w:t>
      </w:r>
    </w:p>
    <w:p>
      <w:pPr>
        <w:sectPr>
          <w:pgSz w:w="11900" w:h="16896" w:orient="portrait"/>
          <w:cols w:equalWidth="0" w:num="1">
            <w:col w:w="11240"/>
          </w:cols>
          <w:pgMar w:left="320" w:top="342" w:right="339" w:bottom="0" w:gutter="0" w:footer="0" w:header="0"/>
        </w:sectPr>
      </w:pPr>
    </w:p>
    <w:bookmarkStart w:id="18" w:name="page19"/>
    <w:bookmarkEnd w:id="18"/>
    <w:p>
      <w:pPr>
        <w:spacing w:after="0" w:line="40" w:lineRule="exact"/>
        <w:rPr>
          <w:sz w:val="20"/>
          <w:szCs w:val="20"/>
          <w:color w:val="auto"/>
        </w:rPr>
      </w:pPr>
    </w:p>
    <w:p>
      <w:pPr>
        <w:spacing w:after="0"/>
        <w:rPr>
          <w:sz w:val="20"/>
          <w:szCs w:val="20"/>
          <w:color w:val="auto"/>
        </w:rPr>
      </w:pPr>
      <w:r>
        <w:rPr>
          <w:rFonts w:ascii="Calibri" w:cs="Calibri" w:eastAsia="Calibri" w:hAnsi="Calibri"/>
          <w:sz w:val="18"/>
          <w:szCs w:val="18"/>
          <w:color w:val="auto"/>
        </w:rPr>
        <w:t>amounts recorded as an increase to compensaton expense within SG&amp;A expenses.</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Income Tax Provision</w:t>
      </w:r>
    </w:p>
    <w:p>
      <w:pPr>
        <w:spacing w:after="0" w:line="163"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Our efectve income tax rate was 26% for the three months ended December 29, 2024 and 18% for the same period a year ago. The efectve tax rate in the third quarter of both years was impacted by favorable tax provision adjustments recorded. The efectve tax rate is impacted by projected levels of annual taxable income, permanent items, and state taxes. Our efectve tax rate for the full year is expected to be approximately 26 to 27%.</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Nine Months Ended December 29, 2024 Compared to Nine Months Ended December 31, 2023</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Sales</w:t>
      </w:r>
    </w:p>
    <w:p>
      <w:pPr>
        <w:spacing w:after="0" w:line="163"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Sales were $729.1 million for the nine months ended December 29, 2024, an increase of $33.0 million, or 5%, from sales of $696.1 million in the same period a year ago. Increased sales in our Water Treatment segment more than ofset decreased sales in our Industrial and Health and Nutriton segments.</w:t>
      </w:r>
    </w:p>
    <w:p>
      <w:pPr>
        <w:spacing w:after="0" w:line="245" w:lineRule="exact"/>
        <w:rPr>
          <w:sz w:val="20"/>
          <w:szCs w:val="20"/>
          <w:color w:val="auto"/>
        </w:rPr>
      </w:pPr>
    </w:p>
    <w:p>
      <w:pPr>
        <w:ind w:right="20"/>
        <w:spacing w:after="0" w:line="228" w:lineRule="auto"/>
        <w:rPr>
          <w:sz w:val="20"/>
          <w:szCs w:val="20"/>
          <w:color w:val="auto"/>
        </w:rPr>
      </w:pPr>
      <w:r>
        <w:rPr>
          <w:rFonts w:ascii="Calibri" w:cs="Calibri" w:eastAsia="Calibri" w:hAnsi="Calibri"/>
          <w:sz w:val="18"/>
          <w:szCs w:val="18"/>
          <w:i w:val="1"/>
          <w:iCs w:val="1"/>
          <w:color w:val="auto"/>
        </w:rPr>
        <w:t xml:space="preserve">Water Treatment Segment. </w:t>
      </w:r>
      <w:r>
        <w:rPr>
          <w:rFonts w:ascii="Calibri" w:cs="Calibri" w:eastAsia="Calibri" w:hAnsi="Calibri"/>
          <w:sz w:val="18"/>
          <w:szCs w:val="18"/>
          <w:color w:val="auto"/>
        </w:rPr>
        <w:t>Water Treatment segment sales increased $64.9 million, or 23%, to $341.5 million for the nine months ended December 29, 2024,</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from sales of $276.6 million in the same period a year ago. Sales of bulk commodity products in the Water Treatment segment were approximately 9% of sales dollars in the current period and in the same period a year ago. Sales increased as a result of added sales from acquired businesses as well as increased sales volumes in our legacy business.</w:t>
      </w:r>
    </w:p>
    <w:p>
      <w:pPr>
        <w:spacing w:after="0" w:line="245" w:lineRule="exact"/>
        <w:rPr>
          <w:sz w:val="20"/>
          <w:szCs w:val="20"/>
          <w:color w:val="auto"/>
        </w:rPr>
      </w:pPr>
    </w:p>
    <w:p>
      <w:pPr>
        <w:ind w:right="200"/>
        <w:spacing w:after="0" w:line="228" w:lineRule="auto"/>
        <w:rPr>
          <w:sz w:val="20"/>
          <w:szCs w:val="20"/>
          <w:color w:val="auto"/>
        </w:rPr>
      </w:pPr>
      <w:r>
        <w:rPr>
          <w:rFonts w:ascii="Calibri" w:cs="Calibri" w:eastAsia="Calibri" w:hAnsi="Calibri"/>
          <w:sz w:val="18"/>
          <w:szCs w:val="18"/>
          <w:i w:val="1"/>
          <w:iCs w:val="1"/>
          <w:color w:val="auto"/>
        </w:rPr>
        <w:t xml:space="preserve">Industrial Segment. </w:t>
      </w:r>
      <w:r>
        <w:rPr>
          <w:rFonts w:ascii="Calibri" w:cs="Calibri" w:eastAsia="Calibri" w:hAnsi="Calibri"/>
          <w:sz w:val="18"/>
          <w:szCs w:val="18"/>
          <w:color w:val="auto"/>
        </w:rPr>
        <w:t>Industrial segment sales decreased $27.3 million or 9%, to $285.1 million for the nine months ended December 29, 2024, from sales of</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$312.4 million in the same period a year ago. Sales of bulk commodity products in the Industrial segment were approximately 14% of sales dollars in the current period and 13% in the same period of the prior year. Although overall volumes increased slightly year over year, sales decreased as a result of lower selling prices on certain of our products, driven by lower raw material costs, product mix changes and compettve pricing pressures.</w:t>
      </w:r>
    </w:p>
    <w:p>
      <w:pPr>
        <w:spacing w:after="0" w:line="232" w:lineRule="exact"/>
        <w:rPr>
          <w:sz w:val="20"/>
          <w:szCs w:val="20"/>
          <w:color w:val="auto"/>
        </w:rPr>
      </w:pPr>
    </w:p>
    <w:p>
      <w:pPr>
        <w:ind w:right="240"/>
        <w:spacing w:after="0" w:line="228" w:lineRule="auto"/>
        <w:rPr>
          <w:sz w:val="20"/>
          <w:szCs w:val="20"/>
          <w:color w:val="auto"/>
        </w:rPr>
      </w:pPr>
      <w:r>
        <w:rPr>
          <w:rFonts w:ascii="Calibri" w:cs="Calibri" w:eastAsia="Calibri" w:hAnsi="Calibri"/>
          <w:sz w:val="18"/>
          <w:szCs w:val="18"/>
          <w:i w:val="1"/>
          <w:iCs w:val="1"/>
          <w:color w:val="auto"/>
        </w:rPr>
        <w:t xml:space="preserve">Health &amp; Nutriton Segment. </w:t>
      </w:r>
      <w:r>
        <w:rPr>
          <w:rFonts w:ascii="Calibri" w:cs="Calibri" w:eastAsia="Calibri" w:hAnsi="Calibri"/>
          <w:sz w:val="18"/>
          <w:szCs w:val="18"/>
          <w:color w:val="auto"/>
        </w:rPr>
        <w:t>Health and Nutriton segment sales decreased $4.6 million, or 4%, to $102.5 million for the nine months ended December 29,</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2024, from sales of $107.1 million in the same period a year ago. Sales decreased due to lower sales of our manufactured products, driven by reduced volumes and selling prices due to decreased demand for certain of our products in the frst two quarters of the year, ofset somewhat by increased sales of our distributed products.</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Gross Proft</w:t>
      </w:r>
    </w:p>
    <w:p>
      <w:pPr>
        <w:spacing w:after="0" w:line="163" w:lineRule="exact"/>
        <w:rPr>
          <w:sz w:val="20"/>
          <w:szCs w:val="20"/>
          <w:color w:val="auto"/>
        </w:rPr>
      </w:pPr>
    </w:p>
    <w:p>
      <w:pPr>
        <w:ind w:right="20"/>
        <w:spacing w:after="0" w:line="254" w:lineRule="auto"/>
        <w:rPr>
          <w:sz w:val="20"/>
          <w:szCs w:val="20"/>
          <w:color w:val="auto"/>
        </w:rPr>
      </w:pPr>
      <w:r>
        <w:rPr>
          <w:rFonts w:ascii="Calibri" w:cs="Calibri" w:eastAsia="Calibri" w:hAnsi="Calibri"/>
          <w:sz w:val="17"/>
          <w:szCs w:val="17"/>
          <w:color w:val="auto"/>
        </w:rPr>
        <w:t>Gross proft increased $25.2 million, or 17%, to $173.3 million, or 24% of sales, for the nine months ended December 29, 2024, from $148.1 million, or 21% of sales, in the same period a year ago. During the current period, the LIFO reserve decreased, and gross proft increased, by $0.3 million due primarily to lower antcipated fscal year-end prices on certain products. In the same quarter a year ago, the LIFO reserve decreased, and gross proft increased, by $6.0 million.</w:t>
      </w:r>
    </w:p>
    <w:p>
      <w:pPr>
        <w:spacing w:after="0" w:line="232" w:lineRule="exact"/>
        <w:rPr>
          <w:sz w:val="20"/>
          <w:szCs w:val="20"/>
          <w:color w:val="auto"/>
        </w:rPr>
      </w:pPr>
    </w:p>
    <w:p>
      <w:pPr>
        <w:ind w:right="100"/>
        <w:spacing w:after="0" w:line="228" w:lineRule="auto"/>
        <w:rPr>
          <w:sz w:val="20"/>
          <w:szCs w:val="20"/>
          <w:color w:val="auto"/>
        </w:rPr>
      </w:pPr>
      <w:r>
        <w:rPr>
          <w:rFonts w:ascii="Calibri" w:cs="Calibri" w:eastAsia="Calibri" w:hAnsi="Calibri"/>
          <w:sz w:val="18"/>
          <w:szCs w:val="18"/>
          <w:i w:val="1"/>
          <w:iCs w:val="1"/>
          <w:color w:val="auto"/>
        </w:rPr>
        <w:t xml:space="preserve">Water Treatment Segment. </w:t>
      </w:r>
      <w:r>
        <w:rPr>
          <w:rFonts w:ascii="Calibri" w:cs="Calibri" w:eastAsia="Calibri" w:hAnsi="Calibri"/>
          <w:sz w:val="18"/>
          <w:szCs w:val="18"/>
          <w:color w:val="auto"/>
        </w:rPr>
        <w:t>Gross proft for the Water Treatment segment increased $20.6 million, or 27%, to $96.6 million, or 28% of sales, for the nine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months ended December 29, 2024, from $76.0 million, or 27% of sales, in the same period a year ago. During the current period, the LIFO reserve increased, and gross proft decreased, slightly. In the same quarter a year ago, the LIFO reserve decreased, and gross proft increased, by $0.9 million. Gross proft increased primarily as a result of increased sales from our acquired businesses.</w:t>
      </w:r>
    </w:p>
    <w:p>
      <w:pPr>
        <w:spacing w:after="0" w:line="245" w:lineRule="exact"/>
        <w:rPr>
          <w:sz w:val="20"/>
          <w:szCs w:val="20"/>
          <w:color w:val="auto"/>
        </w:rPr>
      </w:pPr>
    </w:p>
    <w:p>
      <w:pPr>
        <w:spacing w:after="0" w:line="228" w:lineRule="auto"/>
        <w:rPr>
          <w:sz w:val="20"/>
          <w:szCs w:val="20"/>
          <w:color w:val="auto"/>
        </w:rPr>
      </w:pPr>
      <w:r>
        <w:rPr>
          <w:rFonts w:ascii="Calibri" w:cs="Calibri" w:eastAsia="Calibri" w:hAnsi="Calibri"/>
          <w:sz w:val="18"/>
          <w:szCs w:val="18"/>
          <w:i w:val="1"/>
          <w:iCs w:val="1"/>
          <w:color w:val="auto"/>
        </w:rPr>
        <w:t xml:space="preserve">Industrial Segment. </w:t>
      </w:r>
      <w:r>
        <w:rPr>
          <w:rFonts w:ascii="Calibri" w:cs="Calibri" w:eastAsia="Calibri" w:hAnsi="Calibri"/>
          <w:sz w:val="18"/>
          <w:szCs w:val="18"/>
          <w:color w:val="auto"/>
        </w:rPr>
        <w:t>Gross proft for the Industrial segment increased $1.7 million, or 3% to $55.3 million, or 19% of sales, for the nine months ended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December 29, 2024, from $53.6 million, or 17% of sales, in the same period a year ago. During the current period, the LIFO reserve decreased, and gross proft increased, by $0.4 million. In the same quarter a year ago, the LIFO reserve decreased, and gross proft increased, by $5.0 million. Gross proft increased as a result of net favorable product mix changes.</w:t>
      </w:r>
    </w:p>
    <w:p>
      <w:pPr>
        <w:spacing w:after="0" w:line="232" w:lineRule="exact"/>
        <w:rPr>
          <w:sz w:val="20"/>
          <w:szCs w:val="20"/>
          <w:color w:val="auto"/>
        </w:rPr>
      </w:pPr>
    </w:p>
    <w:p>
      <w:pPr>
        <w:ind w:right="40"/>
        <w:spacing w:after="0" w:line="230" w:lineRule="auto"/>
        <w:rPr>
          <w:sz w:val="20"/>
          <w:szCs w:val="20"/>
          <w:color w:val="auto"/>
        </w:rPr>
      </w:pPr>
      <w:r>
        <w:rPr>
          <w:rFonts w:ascii="Calibri" w:cs="Calibri" w:eastAsia="Calibri" w:hAnsi="Calibri"/>
          <w:sz w:val="18"/>
          <w:szCs w:val="18"/>
          <w:i w:val="1"/>
          <w:iCs w:val="1"/>
          <w:color w:val="auto"/>
        </w:rPr>
        <w:t>Health and Nutriton Segment</w:t>
      </w:r>
      <w:r>
        <w:rPr>
          <w:rFonts w:ascii="Calibri" w:cs="Calibri" w:eastAsia="Calibri" w:hAnsi="Calibri"/>
          <w:sz w:val="18"/>
          <w:szCs w:val="18"/>
          <w:color w:val="auto"/>
        </w:rPr>
        <w:t>. Gross proft for our Health and Nutriton segment increased $2.9 million, or 16%, to $21.4 million, or 21% of sales, for the nine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months ended December 29, 2024, from $18.5 million, or 17% of sales, in the same period a year ago. Gross proft increased as a result of product mix changes.</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Selling, General and Administratve Expenses</w:t>
      </w:r>
    </w:p>
    <w:p>
      <w:pPr>
        <w:spacing w:after="0" w:line="16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SG&amp;A expenses increased $14.5 million, or 23%, to $78.7 million, or 11% of sales, for the nine months ended December 29, 2024, from $64.2 million, or 9% of sales, in the same period a year ago. Expenses increased primarily due to $9.0 million in added costs from the acquired businesses in our Water Treatment segment, including amortzaton of intangibles of $3.4 million as well as other increased variable costs.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Operatng Income</w:t>
      </w:r>
    </w:p>
    <w:p>
      <w:pPr>
        <w:spacing w:after="0" w:line="163"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Operatng income increased $10.6 million, or 13%, to $94.6 million, or 13% of sales, for the nine months ended December 29, 2024, from $84.0 million, or 12% of sales, in the same period a year ago due to the combined impact of the factors discussed above.</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Interest Expense, Net</w:t>
      </w:r>
    </w:p>
    <w:p>
      <w:pPr>
        <w:spacing w:after="0" w:line="163"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Interest expense was $3.9 million for the nine months ended December 29, 2024 and $3.0 million the same period a year ago. Interest expense increased due to an increase in outstanding borrowings in the current year as compared to a year ago as well as slightly higher interest rates.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Other Income</w:t>
      </w:r>
    </w:p>
    <w:p>
      <w:pPr>
        <w:spacing w:after="0" w:line="150" w:lineRule="exact"/>
        <w:rPr>
          <w:sz w:val="20"/>
          <w:szCs w:val="20"/>
          <w:color w:val="auto"/>
        </w:rPr>
      </w:pPr>
    </w:p>
    <w:p>
      <w:pPr>
        <w:ind w:right="420"/>
        <w:spacing w:after="0" w:line="230" w:lineRule="auto"/>
        <w:rPr>
          <w:sz w:val="20"/>
          <w:szCs w:val="20"/>
          <w:color w:val="auto"/>
        </w:rPr>
      </w:pPr>
      <w:r>
        <w:rPr>
          <w:rFonts w:ascii="Calibri" w:cs="Calibri" w:eastAsia="Calibri" w:hAnsi="Calibri"/>
          <w:sz w:val="18"/>
          <w:szCs w:val="18"/>
          <w:color w:val="auto"/>
        </w:rPr>
        <w:t>Other income was $1.3 million for the nine months ended December 29, 2024 compared to $0.9 million in the same period a year ago. The income represents gains recorded on investments held for our non-qualifed deferred compensaton plan. The amounts recorded as a gain were ofset by similar amounts recorded as an increase to compensaton expense within SG&amp;A expenses.</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Income Tax Provision</w:t>
      </w:r>
    </w:p>
    <w:p>
      <w:pPr>
        <w:spacing w:after="0" w:line="163"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Our efectve income tax rate was 26% for the nine months ended December 29, 2024 and 25% in the same period a year ago. The efectve tax rate in the frst nine months of the current year and the same period a year was impacted by favorable tax provision adjustments recorded. The efectve tax rate is impacted by projected levels of annual taxable income, permanent items, and state taxes. Our efectve tax rate for the full year is currently expected to be approximately 26 to 27%.</w:t>
      </w:r>
    </w:p>
    <w:p>
      <w:pPr>
        <w:sectPr>
          <w:pgSz w:w="11900" w:h="16879" w:orient="portrait"/>
          <w:cols w:equalWidth="0" w:num="1">
            <w:col w:w="11240"/>
          </w:cols>
          <w:pgMar w:left="320" w:top="112" w:right="339" w:bottom="0" w:gutter="0" w:footer="0" w:header="0"/>
        </w:sectPr>
      </w:pPr>
    </w:p>
    <w:bookmarkStart w:id="19" w:name="page20"/>
    <w:bookmarkEnd w:id="19"/>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Cash was $8.3 million at December 29, 2024, an increase of $1.1 million as compared with the $7.2 million available as of March 31, 2024.</w:t>
      </w:r>
    </w:p>
    <w:p>
      <w:pPr>
        <w:spacing w:after="0" w:line="244"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Cash provided by operatng actvites was $80.3 million for the nine months ended December 29, 2024, compared to cash provided by operatng actvites of $117.6 million in the same period a year ago. The year-over-year decrease in cash provided by operatng actvites in the current period was primarily driven by unfavorable year-over-year changes in inventory and receivables, slightly ofset by increased net income compared to the same period a year ago. Due to the nature of our operatons, which includes purchases of large quanttes of bulk chemicals, the tming of purchases can result in signifcant changes in working capital investment and the resultng operatng cash fow.</w:t>
      </w:r>
    </w:p>
    <w:p>
      <w:pPr>
        <w:spacing w:after="0" w:line="247"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Cash used in investng actvites was $72.8 million for the nine months ended December 29, 2024, compared to $106.4 million in the same period a year ago. In the current period, we incurred acquisiton spending of $43.4 million, with the acquisitons of Water Guard for $18.0 million, Intercoastal for $22.0 million and Woford for $3.4 million. Capital expenditures were $30.0 million for the current period, compared to $28.2 million in the same period a year ago. In the current period, we purchased a building in Texas for $2.5 million and had more investments in equipment and containers, resultng in an increase in overall capital expenditures compared to the prior year. In the prior year, we invested $5.1 million to complete an expansion of one of our Minnesota manufacturing facilites.</w:t>
      </w:r>
    </w:p>
    <w:p>
      <w:pPr>
        <w:spacing w:after="0" w:line="248"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Cash used in fnancing actvites was $6.3 million for the nine months ended December 29, 2024, compared to $13.1 million of cash used in fnancing actvites in the same period a year ago. Included in fnancing actvites in the current period were net debt borrowing of $15.0 million, compared to net debt borrowing of $8.0 million in the same period a year ago. In additon, we repurchased $9.1 million of our common stock in the current period, compared to $11.3 million in the same period of the prior year.</w:t>
      </w:r>
    </w:p>
    <w:p>
      <w:pPr>
        <w:spacing w:after="0" w:line="246"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We expect our cash balances and funds available under our credit facility, discussed below, along with cash fows generated from operatons, will be sufcient to fund the cash requirements of our ongoing operatons for the foreseeable future.</w:t>
      </w:r>
    </w:p>
    <w:p>
      <w:pPr>
        <w:spacing w:after="0" w:line="245"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Our Board has authorized the repurchase of up to 2.6 million shares of our outstanding common shares. The shares may be purchased on the open market or in privately negotated transactons subject to applicable securites laws and regulatons. The primary objectve of the share repurchase program is to ofset the impact of diluton from issuances relatng to employee and director equity grants and our employee stock purchase program. During the nine months ended December 29, 2024, we repurchased 105,541 shares of common stock with an aggregate purchase price of $9.1 million. In the same period a year ago, we repurchased 191,861 shares of common stock with an aggregate purchase price of $11.3 million. As of December 29, 2024, 831,946 shares remained available to be repurchased under the share repurchase program.</w:t>
      </w:r>
    </w:p>
    <w:p>
      <w:pPr>
        <w:spacing w:after="0" w:line="24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party to a second amended and restated credit agreement (the “Credit Agreement”) with U.S. Bank Natonal Associaton (“U.S. Bank”) as Sole Lead Arranger and Sole Book Runner, and other lenders from tme to tme party thereto (collectvely, the “Lenders”), whereby U.S. Bank is also serving as Administratve Agent. The Credit Agreement refnanced the revolving loan under our previous credit agreement with U.S. Bank and provides us with senior secured revolving credit facilites (the “Revolving Loan Facility”) totaling $250 million. The Revolving Loan Facility includes a $10 million leter of credit subfacility and $25 million swingline subfacility. The Revolving Loan Facility has a fve-year maturity date, maturing on April 30, 2027. The Revolving Loan Facility is secured by substantally all of our personal property assets and those of our subsidiaries. We may use the amount available under the Revolving Loan Facility for working capital, capital expenditures, share repurchases, restricted payments and acquisitons permited under the Credit Agreement, and other general corporate purposes.</w:t>
      </w:r>
    </w:p>
    <w:p>
      <w:pPr>
        <w:spacing w:after="0" w:line="250"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Borrowings under the Revolving Loan Facility bear interest at a rate per annum equal to one of the following, plus, in both cases, an applicable margin based upon our leverage rato: (a) Term SOFR, which includes a credit spread adjustment of 0.10%, for an interest period of one, three or six months as selected by us, reset at the end of the selected interest period, or (b) a base rate determined by reference to the highest of (1) U. S. Bank’s prime rate, (2) the Federal Funds Efectve Rate plus 0.5%, or (3) one-month Term SOFR for U.S. dollars plus 1.0%. The Term SOFR margin is between 0.85% and 1.35%, depending on our leverage rato. The base rate margin is between 0.00% and 0.35%, depending on our leverage rato. At December 29, 2024, the efectve interest rate on our borrowings was 4.2%.</w:t>
      </w:r>
    </w:p>
    <w:p>
      <w:pPr>
        <w:spacing w:after="0" w:line="2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to paying interest on the outstanding principal under the Revolving Loan Facility, we are required to pay a commitment fee on the unutlized commitments thereunder. The commitment fee is between 0.15% and 0.25%, depending on our leverage rato.</w:t>
      </w:r>
    </w:p>
    <w:p>
      <w:pPr>
        <w:spacing w:after="0" w:line="245" w:lineRule="exact"/>
        <w:rPr>
          <w:sz w:val="20"/>
          <w:szCs w:val="20"/>
          <w:color w:val="auto"/>
        </w:rPr>
      </w:pPr>
    </w:p>
    <w:p>
      <w:pPr>
        <w:ind w:right="560"/>
        <w:spacing w:after="0" w:line="235" w:lineRule="auto"/>
        <w:rPr>
          <w:sz w:val="20"/>
          <w:szCs w:val="20"/>
          <w:color w:val="auto"/>
        </w:rPr>
      </w:pPr>
      <w:r>
        <w:rPr>
          <w:rFonts w:ascii="Calibri" w:cs="Calibri" w:eastAsia="Calibri" w:hAnsi="Calibri"/>
          <w:sz w:val="18"/>
          <w:szCs w:val="18"/>
          <w:color w:val="auto"/>
        </w:rPr>
        <w:t>Debt issuance costs paid to the Lenders are being amortzed as interest expense over the term of the Credit Agreement. As of December 29, 2024, the unamortzed balance of these costs was $0.2 million, and is refected as a reducton of debt on our balance sheet.</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Credit Agreement requires us to maintain (a) a minimum fxed charge coverage rato of 1.15 to 1.00 and (b) a maximum total cash fow leverage rato of 3.0 to 1.0. The Credit Agreement also contains other customary afrmatve and negatve covenants, including covenants that restrict our ability to incur additonal indebtedness, dispose of signifcant assets, make certain investments, including any acquisitons other than permited acquisitons, make certain payments, enter into sale and leaseback transactons, grant liens on our assets or enter into rate management transactons, subject to certain limitatons. We are permited to make distributons, pay dividends and repurchase shares so long as no default or event of default exists or would exist as a result thereof. We were in compliance with all covenants of the Credit Agreement as of December 29, 2024 and expect to remain in compliance with all covenants for the next 12 months.</w:t>
      </w:r>
    </w:p>
    <w:p>
      <w:pPr>
        <w:spacing w:after="0" w:line="24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246"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We have in place an interest rate swap agreement to manage the risk associated with a porton of our variable-rate long-term debt. We do not utlize derivatve instruments for speculatve purposes. The interest rate swap involves the exchange of fxed-rate and variable-rate payments without the exchange of the underlying notonal amount on which the interest payments are calculated. The notonal amount of the swap agreement is $60 million, and it will terminate on May 1, 2027.</w:t>
      </w:r>
    </w:p>
    <w:p>
      <w:pPr>
        <w:spacing w:after="0" w:line="2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part of our growth strategy, we have acquired businesses and may pursue acquisitons or other strategic relatonships in the future that we believe will complement or expand our existng businesses or increase our customer base. We believe we could borrow additonal funds under our current or new credit facilites or sell equity for strategic reasons or to further strengthen our fnancial positon.</w:t>
      </w:r>
    </w:p>
    <w:p>
      <w:pPr>
        <w:sectPr>
          <w:pgSz w:w="11900" w:h="16866" w:orient="portrait"/>
          <w:cols w:equalWidth="0" w:num="1">
            <w:col w:w="11240"/>
          </w:cols>
          <w:pgMar w:left="320" w:top="355" w:right="339" w:bottom="0" w:gutter="0" w:footer="0" w:header="0"/>
        </w:sectPr>
      </w:pPr>
    </w:p>
    <w:bookmarkStart w:id="20" w:name="page21"/>
    <w:bookmarkEnd w:id="20"/>
    <w:p>
      <w:pPr>
        <w:spacing w:after="0"/>
        <w:rPr>
          <w:sz w:val="20"/>
          <w:szCs w:val="20"/>
          <w:color w:val="auto"/>
        </w:rPr>
      </w:pPr>
      <w:r>
        <w:rPr>
          <w:rFonts w:ascii="Calibri" w:cs="Calibri" w:eastAsia="Calibri" w:hAnsi="Calibri"/>
          <w:sz w:val="18"/>
          <w:szCs w:val="18"/>
          <w:b w:val="1"/>
          <w:bCs w:val="1"/>
          <w:i w:val="1"/>
          <w:iCs w:val="1"/>
          <w:color w:val="auto"/>
        </w:rPr>
        <w:t>Critcal Accountng Estmates</w:t>
      </w:r>
    </w:p>
    <w:p>
      <w:pPr>
        <w:spacing w:after="0" w:line="163" w:lineRule="exact"/>
        <w:rPr>
          <w:sz w:val="20"/>
          <w:szCs w:val="20"/>
          <w:color w:val="auto"/>
        </w:rPr>
      </w:pPr>
    </w:p>
    <w:p>
      <w:pPr>
        <w:spacing w:after="0" w:line="235" w:lineRule="auto"/>
        <w:rPr>
          <w:rFonts w:ascii="Calibri" w:cs="Calibri" w:eastAsia="Calibri" w:hAnsi="Calibri"/>
          <w:sz w:val="18"/>
          <w:szCs w:val="18"/>
          <w:color w:val="0000FF"/>
        </w:rPr>
      </w:pPr>
      <w:hyperlink r:id="rId19">
        <w:r>
          <w:rPr>
            <w:rFonts w:ascii="Calibri" w:cs="Calibri" w:eastAsia="Calibri" w:hAnsi="Calibri"/>
            <w:sz w:val="18"/>
            <w:szCs w:val="18"/>
            <w:color w:val="auto"/>
          </w:rPr>
          <w:t xml:space="preserve">There were no material changes in our critcal accountng estmates since the fling of our </w:t>
        </w:r>
        <w:r>
          <w:rPr>
            <w:rFonts w:ascii="Calibri" w:cs="Calibri" w:eastAsia="Calibri" w:hAnsi="Calibri"/>
            <w:sz w:val="18"/>
            <w:szCs w:val="18"/>
            <w:u w:val="single" w:color="auto"/>
            <w:color w:val="0000FF"/>
          </w:rPr>
          <w:t>Annual Report on Form 10-K for the fscal year ended March 31,</w:t>
        </w:r>
      </w:hyperlink>
      <w:r>
        <w:rPr>
          <w:rFonts w:ascii="Calibri" w:cs="Calibri" w:eastAsia="Calibri" w:hAnsi="Calibri"/>
          <w:sz w:val="18"/>
          <w:szCs w:val="18"/>
          <w:color w:val="auto"/>
        </w:rPr>
        <w:t xml:space="preserve"> </w:t>
      </w:r>
      <w:hyperlink r:id="rId19">
        <w:r>
          <w:rPr>
            <w:rFonts w:ascii="Calibri" w:cs="Calibri" w:eastAsia="Calibri" w:hAnsi="Calibri"/>
            <w:sz w:val="18"/>
            <w:szCs w:val="18"/>
            <w:u w:val="single" w:color="auto"/>
            <w:color w:val="0000FF"/>
          </w:rPr>
          <w:t>2024</w:t>
        </w:r>
        <w:r>
          <w:rPr>
            <w:rFonts w:ascii="Calibri" w:cs="Calibri" w:eastAsia="Calibri" w:hAnsi="Calibri"/>
            <w:sz w:val="18"/>
            <w:szCs w:val="18"/>
            <w:color w:val="000000"/>
          </w:rPr>
          <w:t>.</w:t>
        </w:r>
      </w:hyperlink>
    </w:p>
    <w:p>
      <w:pPr>
        <w:spacing w:after="0" w:line="200" w:lineRule="exact"/>
        <w:rPr>
          <w:sz w:val="20"/>
          <w:szCs w:val="20"/>
          <w:color w:val="auto"/>
        </w:rPr>
      </w:pPr>
    </w:p>
    <w:p>
      <w:pPr>
        <w:spacing w:after="0" w:line="350" w:lineRule="exact"/>
        <w:rPr>
          <w:sz w:val="20"/>
          <w:szCs w:val="20"/>
          <w:color w:val="auto"/>
        </w:rPr>
      </w:pPr>
    </w:p>
    <w:p>
      <w:pPr>
        <w:jc w:val="center"/>
        <w:ind w:right="-319"/>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355" w:right="639" w:bottom="1440" w:gutter="0" w:footer="0" w:header="0"/>
        </w:sectPr>
      </w:pPr>
    </w:p>
    <w:bookmarkStart w:id="21" w:name="page22"/>
    <w:bookmarkEnd w:id="21"/>
    <w:p>
      <w:pPr>
        <w:spacing w:after="0"/>
        <w:rPr>
          <w:sz w:val="20"/>
          <w:szCs w:val="20"/>
          <w:color w:val="auto"/>
        </w:rPr>
      </w:pPr>
      <w:r>
        <w:rPr>
          <w:rFonts w:ascii="Calibri" w:cs="Calibri" w:eastAsia="Calibri" w:hAnsi="Calibri"/>
          <w:sz w:val="18"/>
          <w:szCs w:val="18"/>
          <w:b w:val="1"/>
          <w:bCs w:val="1"/>
          <w:i w:val="1"/>
          <w:iCs w:val="1"/>
          <w:color w:val="auto"/>
        </w:rPr>
        <w:t>Forward-Looking Statements</w:t>
      </w:r>
    </w:p>
    <w:p>
      <w:pPr>
        <w:spacing w:after="0" w:line="109" w:lineRule="exact"/>
        <w:rPr>
          <w:sz w:val="20"/>
          <w:szCs w:val="20"/>
          <w:color w:val="auto"/>
        </w:rPr>
      </w:pPr>
    </w:p>
    <w:p>
      <w:pPr>
        <w:spacing w:after="0" w:line="235" w:lineRule="auto"/>
        <w:rPr>
          <w:rFonts w:ascii="Calibri" w:cs="Calibri" w:eastAsia="Calibri" w:hAnsi="Calibri"/>
          <w:sz w:val="18"/>
          <w:szCs w:val="18"/>
          <w:color w:val="0000FF"/>
        </w:rPr>
      </w:pPr>
      <w:r>
        <w:rPr>
          <w:rFonts w:ascii="Calibri" w:cs="Calibri" w:eastAsia="Calibri" w:hAnsi="Calibri"/>
          <w:sz w:val="18"/>
          <w:szCs w:val="18"/>
          <w:color w:val="auto"/>
        </w:rPr>
        <w:t xml:space="preserve">The informaton presented in this Quarterly Report on Form 10-Q contains forward-looking statements within the meaning of Secton 21E of the Securites Exchange Act of 1934, as amended (the “Exchange Act”). These forward-looking statements have been made pursuant to the provisions of the Private Securites Litgaton Reform Act of 1995. These statements are not historical facts, but rather are based on our current expectatons, estmates and projectons, and our beliefs and assumptons. Words such as “antcipate,” “believe,” “estmate,” “expect,” “intend,” “plan,” “will” and similar expressions to identfy forward-looking statements. These statements are not guarantees of future performance and are subject to certain risks, uncertaintes and other factors, some of which are beyond our control and are difcult to predict. These factors could cause actual results to difer materially from those expressed or forecasted in the forward-looking statements. Additonal informaton concerning potental factors that could afect future fnancial results is included in our </w:t>
      </w:r>
      <w:hyperlink r:id="rId19">
        <w:r>
          <w:rPr>
            <w:rFonts w:ascii="Calibri" w:cs="Calibri" w:eastAsia="Calibri" w:hAnsi="Calibri"/>
            <w:sz w:val="18"/>
            <w:szCs w:val="18"/>
            <w:u w:val="single" w:color="auto"/>
            <w:color w:val="0000FF"/>
          </w:rPr>
          <w:t>Annual Report on Form 10-K for the fscal year ended March 31, 2024</w:t>
        </w:r>
      </w:hyperlink>
      <w:r>
        <w:rPr>
          <w:rFonts w:ascii="Calibri" w:cs="Calibri" w:eastAsia="Calibri" w:hAnsi="Calibri"/>
          <w:sz w:val="18"/>
          <w:szCs w:val="18"/>
          <w:color w:val="000000"/>
        </w:rPr>
        <w:t>.</w:t>
      </w:r>
      <w:r>
        <w:rPr>
          <w:rFonts w:ascii="Calibri" w:cs="Calibri" w:eastAsia="Calibri" w:hAnsi="Calibri"/>
          <w:sz w:val="18"/>
          <w:szCs w:val="18"/>
          <w:color w:val="0000FF"/>
        </w:rPr>
        <w:t xml:space="preserve"> </w:t>
      </w:r>
      <w:r>
        <w:rPr>
          <w:rFonts w:ascii="Calibri" w:cs="Calibri" w:eastAsia="Calibri" w:hAnsi="Calibri"/>
          <w:sz w:val="18"/>
          <w:szCs w:val="18"/>
          <w:color w:val="000000"/>
        </w:rPr>
        <w:t>We cauton you not to place undue reliance on these forward-looking statements,</w:t>
      </w:r>
      <w:r>
        <w:rPr>
          <w:rFonts w:ascii="Calibri" w:cs="Calibri" w:eastAsia="Calibri" w:hAnsi="Calibri"/>
          <w:sz w:val="18"/>
          <w:szCs w:val="18"/>
          <w:color w:val="0000FF"/>
        </w:rPr>
        <w:t xml:space="preserve"> </w:t>
      </w:r>
      <w:r>
        <w:rPr>
          <w:rFonts w:ascii="Calibri" w:cs="Calibri" w:eastAsia="Calibri" w:hAnsi="Calibri"/>
          <w:sz w:val="18"/>
          <w:szCs w:val="18"/>
          <w:color w:val="000000"/>
        </w:rPr>
        <w:t>which refect our management’s view only as of the date of this Quarterly Report on Form 10-Q. We are not obligated to update these statements or publicly release the result of any revisions to them to refect events or circumstances afer the date of this Quarterly Report on Form 10-Q or to refect the occurrence of unantcipated events.</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8" w:right="379" w:bottom="1440" w:gutter="0" w:footer="0" w:header="0"/>
        </w:sectPr>
      </w:pPr>
    </w:p>
    <w:bookmarkStart w:id="22" w:name="page23"/>
    <w:bookmarkEnd w:id="22"/>
    <w:p>
      <w:pPr>
        <w:spacing w:after="0"/>
        <w:tabs>
          <w:tab w:leader="none" w:pos="840" w:val="left"/>
        </w:tabs>
        <w:rPr>
          <w:sz w:val="20"/>
          <w:szCs w:val="20"/>
          <w:color w:val="auto"/>
        </w:rPr>
      </w:pPr>
      <w:r>
        <w:rPr>
          <w:rFonts w:ascii="Calibri" w:cs="Calibri" w:eastAsia="Calibri" w:hAnsi="Calibri"/>
          <w:sz w:val="18"/>
          <w:szCs w:val="18"/>
          <w:color w:val="auto"/>
        </w:rPr>
        <w:t>ITEM 3.</w:t>
      </w:r>
      <w:r>
        <w:rPr>
          <w:sz w:val="20"/>
          <w:szCs w:val="20"/>
          <w:color w:val="auto"/>
        </w:rPr>
        <w:tab/>
      </w:r>
      <w:r>
        <w:rPr>
          <w:rFonts w:ascii="Calibri" w:cs="Calibri" w:eastAsia="Calibri" w:hAnsi="Calibri"/>
          <w:sz w:val="17"/>
          <w:szCs w:val="17"/>
          <w:color w:val="auto"/>
        </w:rPr>
        <w:t>QUANTITATIVE AND QUALITATIVE DISCLOSURES ABOUT MARKET RISK</w:t>
      </w:r>
    </w:p>
    <w:p>
      <w:pPr>
        <w:spacing w:after="0" w:line="163"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We are subject to the risk inherent in the cyclical nature of commodity chemical prices. However, we do not currently purchase forward contracts or otherwise engage in hedging actvites with respect to the purchase of commodity chemicals. We atempt to pass changes in the cost of our materials to our customers. However, there are no assurances that we will be able to pass on the increases in the future.</w:t>
      </w:r>
    </w:p>
    <w:p>
      <w:pPr>
        <w:spacing w:after="0" w:line="24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are exposed to market risks related to interest rates. Our exposure to changes in interest rates is primarily related to borrowings under our Revolving Loan Facility. We have in place an interest rate swap agreement to manage the risk associated with a porton of our variable-rate long-term debt. The interest rate swap involves the exchange of fxed-rate and variable-rate payments without the exchange of the underlying notonal amount on which the interest payments are calculated. The notonal amount of the swap agreement is $60.0 million, and it will terminate on May 1, 2027. As of December 29, 2024, a 25-basis point change in interest rates on our unhedged variable-rate debt would potentally increase or decrease our annual interest expense by approximately $0.1 million.</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color w:val="auto"/>
        </w:rPr>
        <w:t>Other types of market risk, such as foreign currency risk, do not arise in the normal course of our business actvites.</w:t>
      </w:r>
    </w:p>
    <w:p>
      <w:pPr>
        <w:spacing w:after="0" w:line="239" w:lineRule="exact"/>
        <w:rPr>
          <w:sz w:val="20"/>
          <w:szCs w:val="20"/>
          <w:color w:val="auto"/>
        </w:rPr>
      </w:pPr>
    </w:p>
    <w:p>
      <w:pPr>
        <w:spacing w:after="0"/>
        <w:tabs>
          <w:tab w:leader="none" w:pos="840" w:val="left"/>
        </w:tabs>
        <w:rPr>
          <w:sz w:val="20"/>
          <w:szCs w:val="20"/>
          <w:color w:val="auto"/>
        </w:rPr>
      </w:pPr>
      <w:r>
        <w:rPr>
          <w:rFonts w:ascii="Calibri" w:cs="Calibri" w:eastAsia="Calibri" w:hAnsi="Calibri"/>
          <w:sz w:val="18"/>
          <w:szCs w:val="18"/>
          <w:color w:val="auto"/>
        </w:rPr>
        <w:t>ITEM 4.</w:t>
      </w:r>
      <w:r>
        <w:rPr>
          <w:sz w:val="20"/>
          <w:szCs w:val="20"/>
          <w:color w:val="auto"/>
        </w:rPr>
        <w:tab/>
      </w:r>
      <w:r>
        <w:rPr>
          <w:rFonts w:ascii="Calibri" w:cs="Calibri" w:eastAsia="Calibri" w:hAnsi="Calibri"/>
          <w:sz w:val="17"/>
          <w:szCs w:val="17"/>
          <w:color w:val="auto"/>
        </w:rPr>
        <w:t>CONTROLS AND PROCEDURES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Evaluaton of Disclosure Controls and Procedures</w:t>
      </w:r>
    </w:p>
    <w:p>
      <w:pPr>
        <w:spacing w:after="0" w:line="82"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As of the end of the period covered by this Quarterly Report on Form 10-Q, we conducted an evaluaton, under supervision and with the partcipaton of management, including the chief executve ofcer and chief fnancial ofcer, of the efectveness of the design and operaton of our disclosure controls and procedures pursuant to Rules 13a-15 and 15d-15 of the Exchange Act. Based upon that evaluaton, our chief executve ofcer and chief fnancial ofcer concluded that our disclosure controls and procedures were efectve as of December 29, 2024. Disclosure controls and procedures are defned by Rules 13a-15(e) and 15d-15(e) of the Exchange Act as controls and other procedures that are designed to ensure that informaton required to be disclosed by us in reports fled with the SEC under the Exchange Act is recorded, processed, summarized and reported within the tme periods specifed in the SEC’s rules and forms. Disclosure controls and procedures include, without limitaton, controls and procedures designed to ensure that informaton required to be disclosed by us in reports fled under the Exchange Act is accumulated and communicated to our management, including our principal executve and principal fnancial ofcers, or person performing similar functons, as appropriate to allow tmely decisions regarding required disclosure.</w:t>
      </w:r>
    </w:p>
    <w:p>
      <w:pPr>
        <w:spacing w:after="0" w:line="2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Changes in Internal Control</w:t>
      </w:r>
    </w:p>
    <w:p>
      <w:pPr>
        <w:spacing w:after="0" w:line="96"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There was no change in our internal control over fnancial reportng during the third quarter of fscal 2025 that has materially afected, or is reasonably likely to materially afect, our internal control over fnancial reportng.</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3" w:name="page24"/>
    <w:bookmarkEnd w:id="23"/>
    <w:p>
      <w:pPr>
        <w:jc w:val="center"/>
        <w:ind w:right="-79"/>
        <w:spacing w:after="0"/>
        <w:rPr>
          <w:sz w:val="20"/>
          <w:szCs w:val="20"/>
          <w:color w:val="auto"/>
        </w:rPr>
      </w:pPr>
      <w:r>
        <w:rPr>
          <w:rFonts w:ascii="Calibri" w:cs="Calibri" w:eastAsia="Calibri" w:hAnsi="Calibri"/>
          <w:sz w:val="18"/>
          <w:szCs w:val="18"/>
          <w:b w:val="1"/>
          <w:bCs w:val="1"/>
          <w:color w:val="auto"/>
        </w:rPr>
        <w:t>PART II. OTHER INFORMATION</w:t>
      </w:r>
    </w:p>
    <w:p>
      <w:pPr>
        <w:spacing w:after="0" w:line="185" w:lineRule="exact"/>
        <w:rPr>
          <w:sz w:val="20"/>
          <w:szCs w:val="20"/>
          <w:color w:val="auto"/>
        </w:rPr>
      </w:pPr>
    </w:p>
    <w:p>
      <w:pPr>
        <w:spacing w:after="0"/>
        <w:tabs>
          <w:tab w:leader="none" w:pos="840" w:val="left"/>
        </w:tabs>
        <w:rPr>
          <w:sz w:val="20"/>
          <w:szCs w:val="20"/>
          <w:color w:val="auto"/>
        </w:rPr>
      </w:pPr>
      <w:r>
        <w:rPr>
          <w:rFonts w:ascii="Calibri" w:cs="Calibri" w:eastAsia="Calibri" w:hAnsi="Calibri"/>
          <w:sz w:val="18"/>
          <w:szCs w:val="18"/>
          <w:color w:val="auto"/>
        </w:rPr>
        <w:t>ITEM 1.</w:t>
      </w:r>
      <w:r>
        <w:rPr>
          <w:sz w:val="20"/>
          <w:szCs w:val="20"/>
          <w:color w:val="auto"/>
        </w:rPr>
        <w:tab/>
      </w:r>
      <w:r>
        <w:rPr>
          <w:rFonts w:ascii="Calibri" w:cs="Calibri" w:eastAsia="Calibri" w:hAnsi="Calibri"/>
          <w:sz w:val="17"/>
          <w:szCs w:val="17"/>
          <w:color w:val="auto"/>
        </w:rPr>
        <w:t>LEGAL PROCEEDINGS</w:t>
      </w:r>
    </w:p>
    <w:p>
      <w:pPr>
        <w:spacing w:after="0" w:line="16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There are no material pending legal proceedings, other than ordinary routne litgaton incidental to the business, to which we or any of our subsidiaries are a party or of which any of our property is the subject.</w:t>
      </w:r>
    </w:p>
    <w:p>
      <w:pPr>
        <w:spacing w:after="0" w:line="213" w:lineRule="exact"/>
        <w:rPr>
          <w:sz w:val="20"/>
          <w:szCs w:val="20"/>
          <w:color w:val="auto"/>
        </w:rPr>
      </w:pPr>
    </w:p>
    <w:p>
      <w:pPr>
        <w:spacing w:after="0"/>
        <w:tabs>
          <w:tab w:leader="none" w:pos="780" w:val="left"/>
        </w:tabs>
        <w:rPr>
          <w:sz w:val="20"/>
          <w:szCs w:val="20"/>
          <w:color w:val="auto"/>
        </w:rPr>
      </w:pPr>
      <w:r>
        <w:rPr>
          <w:rFonts w:ascii="Calibri" w:cs="Calibri" w:eastAsia="Calibri" w:hAnsi="Calibri"/>
          <w:sz w:val="18"/>
          <w:szCs w:val="18"/>
          <w:color w:val="auto"/>
        </w:rPr>
        <w:t>ITEM 1A.</w:t>
      </w:r>
      <w:r>
        <w:rPr>
          <w:sz w:val="20"/>
          <w:szCs w:val="20"/>
          <w:color w:val="auto"/>
        </w:rPr>
        <w:tab/>
      </w:r>
      <w:r>
        <w:rPr>
          <w:rFonts w:ascii="Calibri" w:cs="Calibri" w:eastAsia="Calibri" w:hAnsi="Calibri"/>
          <w:sz w:val="17"/>
          <w:szCs w:val="17"/>
          <w:color w:val="auto"/>
        </w:rPr>
        <w:t>RISK FACTORS</w:t>
      </w:r>
    </w:p>
    <w:p>
      <w:pPr>
        <w:spacing w:after="0" w:line="163" w:lineRule="exact"/>
        <w:rPr>
          <w:sz w:val="20"/>
          <w:szCs w:val="20"/>
          <w:color w:val="auto"/>
        </w:rPr>
      </w:pPr>
    </w:p>
    <w:p>
      <w:pPr>
        <w:spacing w:after="0"/>
        <w:rPr>
          <w:rFonts w:ascii="Calibri" w:cs="Calibri" w:eastAsia="Calibri" w:hAnsi="Calibri"/>
          <w:sz w:val="17"/>
          <w:szCs w:val="17"/>
          <w:color w:val="auto"/>
        </w:rPr>
      </w:pPr>
      <w:r>
        <w:rPr>
          <w:rFonts w:ascii="Calibri" w:cs="Calibri" w:eastAsia="Calibri" w:hAnsi="Calibri"/>
          <w:sz w:val="17"/>
          <w:szCs w:val="17"/>
          <w:color w:val="auto"/>
        </w:rPr>
        <w:t xml:space="preserve">There have been no material changes to our risk factors from those disclosed in our </w:t>
      </w:r>
      <w:hyperlink r:id="rId19">
        <w:r>
          <w:rPr>
            <w:rFonts w:ascii="Calibri" w:cs="Calibri" w:eastAsia="Calibri" w:hAnsi="Calibri"/>
            <w:sz w:val="17"/>
            <w:szCs w:val="17"/>
            <w:u w:val="single" w:color="auto"/>
            <w:color w:val="0000FF"/>
          </w:rPr>
          <w:t>Annual Report on Form 10-K for the fscal year ended March 31, 2024</w:t>
        </w:r>
      </w:hyperlink>
      <w:r>
        <w:rPr>
          <w:rFonts w:ascii="Calibri" w:cs="Calibri" w:eastAsia="Calibri" w:hAnsi="Calibri"/>
          <w:sz w:val="17"/>
          <w:szCs w:val="17"/>
          <w:color w:val="auto"/>
        </w:rPr>
        <w:t>.</w:t>
      </w:r>
    </w:p>
    <w:p>
      <w:pPr>
        <w:spacing w:after="0" w:line="200" w:lineRule="exact"/>
        <w:rPr>
          <w:sz w:val="20"/>
          <w:szCs w:val="20"/>
          <w:color w:val="auto"/>
        </w:rPr>
      </w:pPr>
    </w:p>
    <w:p>
      <w:pPr>
        <w:spacing w:after="0" w:line="209" w:lineRule="exact"/>
        <w:rPr>
          <w:sz w:val="20"/>
          <w:szCs w:val="20"/>
          <w:color w:val="auto"/>
        </w:rPr>
      </w:pPr>
    </w:p>
    <w:p>
      <w:pPr>
        <w:spacing w:after="0"/>
        <w:tabs>
          <w:tab w:leader="none" w:pos="840" w:val="left"/>
        </w:tabs>
        <w:rPr>
          <w:sz w:val="20"/>
          <w:szCs w:val="20"/>
          <w:color w:val="auto"/>
        </w:rPr>
      </w:pPr>
      <w:r>
        <w:rPr>
          <w:rFonts w:ascii="Calibri" w:cs="Calibri" w:eastAsia="Calibri" w:hAnsi="Calibri"/>
          <w:sz w:val="18"/>
          <w:szCs w:val="18"/>
          <w:color w:val="auto"/>
        </w:rPr>
        <w:t>ITEM 2.</w:t>
      </w:r>
      <w:r>
        <w:rPr>
          <w:sz w:val="20"/>
          <w:szCs w:val="20"/>
          <w:color w:val="auto"/>
        </w:rPr>
        <w:tab/>
      </w:r>
      <w:r>
        <w:rPr>
          <w:rFonts w:ascii="Calibri" w:cs="Calibri" w:eastAsia="Calibri" w:hAnsi="Calibri"/>
          <w:sz w:val="17"/>
          <w:szCs w:val="17"/>
          <w:color w:val="auto"/>
        </w:rPr>
        <w:t>UNREGISTERED SALES OF EQUITY SECURITIES AND USE OF PROCEEDS</w:t>
      </w:r>
    </w:p>
    <w:p>
      <w:pPr>
        <w:spacing w:after="0" w:line="244"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Our Board has authorized the repurchase of up to 2.6 million shares of our outstanding common stock, initally approved on May 29, 2014 and subsequently amended from tme to tme. The repurchase plan has no expiraton date. The shares may be purchased on the open market or in privately negotated transactons subject to applicable securites laws and regulatons. The following table sets forth informaton concerning purchases of our common stock for the three months ended December 29, 2024:</w:t>
      </w:r>
    </w:p>
    <w:p>
      <w:pPr>
        <w:spacing w:after="0" w:line="15"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Calibri" w:cs="Calibri" w:eastAsia="Calibri" w:hAnsi="Calibri"/>
                <w:sz w:val="16"/>
                <w:szCs w:val="16"/>
                <w:b w:val="1"/>
                <w:bCs w:val="1"/>
                <w:color w:val="auto"/>
              </w:rPr>
              <w:t>Total Number of Shares</w:t>
            </w: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162"/>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rPr>
              <w:t>Purchased as Part of a</w:t>
            </w:r>
          </w:p>
        </w:tc>
        <w:tc>
          <w:tcPr>
            <w:tcW w:w="100" w:type="dxa"/>
            <w:vAlign w:val="bottom"/>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rPr>
              <w:t>Maximum Number of Shares</w:t>
            </w:r>
          </w:p>
        </w:tc>
      </w:tr>
      <w:tr>
        <w:trPr>
          <w:trHeight w:val="162"/>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w w:val="98"/>
              </w:rPr>
              <w:t>Total Number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240"/>
              <w:spacing w:after="0" w:line="162" w:lineRule="exact"/>
              <w:rPr>
                <w:sz w:val="20"/>
                <w:szCs w:val="20"/>
                <w:color w:val="auto"/>
              </w:rPr>
            </w:pPr>
            <w:r>
              <w:rPr>
                <w:rFonts w:ascii="Calibri" w:cs="Calibri" w:eastAsia="Calibri" w:hAnsi="Calibri"/>
                <w:sz w:val="16"/>
                <w:szCs w:val="16"/>
                <w:b w:val="1"/>
                <w:bCs w:val="1"/>
                <w:color w:val="auto"/>
              </w:rPr>
              <w:t>Average Price Paid</w:t>
            </w:r>
          </w:p>
        </w:tc>
        <w:tc>
          <w:tcPr>
            <w:tcW w:w="1960" w:type="dxa"/>
            <w:vAlign w:val="bottom"/>
          </w:tcPr>
          <w:p>
            <w:pPr>
              <w:jc w:val="right"/>
              <w:spacing w:after="0" w:line="162" w:lineRule="exact"/>
              <w:rPr>
                <w:sz w:val="20"/>
                <w:szCs w:val="20"/>
                <w:color w:val="auto"/>
              </w:rPr>
            </w:pPr>
            <w:r>
              <w:rPr>
                <w:rFonts w:ascii="Calibri" w:cs="Calibri" w:eastAsia="Calibri" w:hAnsi="Calibri"/>
                <w:sz w:val="16"/>
                <w:szCs w:val="16"/>
                <w:b w:val="1"/>
                <w:bCs w:val="1"/>
                <w:color w:val="auto"/>
              </w:rPr>
              <w:t>Publicly Announced Plan or</w:t>
            </w:r>
          </w:p>
        </w:tc>
        <w:tc>
          <w:tcPr>
            <w:tcW w:w="100" w:type="dxa"/>
            <w:vAlign w:val="bottom"/>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w w:val="99"/>
              </w:rPr>
              <w:t>that May Yet be Purchased</w:t>
            </w:r>
          </w:p>
        </w:tc>
      </w:tr>
      <w:tr>
        <w:trPr>
          <w:trHeight w:val="193"/>
        </w:trPr>
        <w:tc>
          <w:tcPr>
            <w:tcW w:w="2580" w:type="dxa"/>
            <w:vAlign w:val="bottom"/>
            <w:gridSpan w:val="2"/>
          </w:tcPr>
          <w:p>
            <w:pPr>
              <w:ind w:left="20"/>
              <w:spacing w:after="0" w:line="193" w:lineRule="exact"/>
              <w:rPr>
                <w:sz w:val="20"/>
                <w:szCs w:val="20"/>
                <w:color w:val="auto"/>
              </w:rPr>
            </w:pPr>
            <w:r>
              <w:rPr>
                <w:rFonts w:ascii="Calibri" w:cs="Calibri" w:eastAsia="Calibri" w:hAnsi="Calibri"/>
                <w:sz w:val="16"/>
                <w:szCs w:val="16"/>
                <w:b w:val="1"/>
                <w:bCs w:val="1"/>
                <w:color w:val="auto"/>
              </w:rPr>
              <w:t>Period</w:t>
            </w:r>
          </w:p>
        </w:tc>
        <w:tc>
          <w:tcPr>
            <w:tcW w:w="150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Shares Purchased</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40"/>
              <w:spacing w:after="0" w:line="193" w:lineRule="exact"/>
              <w:rPr>
                <w:sz w:val="20"/>
                <w:szCs w:val="20"/>
                <w:color w:val="auto"/>
              </w:rPr>
            </w:pPr>
            <w:r>
              <w:rPr>
                <w:rFonts w:ascii="Calibri" w:cs="Calibri" w:eastAsia="Calibri" w:hAnsi="Calibri"/>
                <w:sz w:val="16"/>
                <w:szCs w:val="16"/>
                <w:b w:val="1"/>
                <w:bCs w:val="1"/>
                <w:color w:val="auto"/>
              </w:rPr>
              <w:t>Per Share</w:t>
            </w:r>
          </w:p>
        </w:tc>
        <w:tc>
          <w:tcPr>
            <w:tcW w:w="196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Program</w:t>
            </w:r>
          </w:p>
        </w:tc>
        <w:tc>
          <w:tcPr>
            <w:tcW w:w="100" w:type="dxa"/>
            <w:vAlign w:val="bottom"/>
          </w:tcPr>
          <w:p>
            <w:pPr>
              <w:spacing w:after="0"/>
              <w:rPr>
                <w:sz w:val="16"/>
                <w:szCs w:val="16"/>
                <w:color w:val="auto"/>
              </w:rPr>
            </w:pPr>
          </w:p>
        </w:tc>
        <w:tc>
          <w:tcPr>
            <w:tcW w:w="210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under Plans or Programs</w:t>
            </w:r>
          </w:p>
        </w:tc>
      </w:tr>
      <w:tr>
        <w:trPr>
          <w:trHeight w:val="28"/>
        </w:trPr>
        <w:tc>
          <w:tcPr>
            <w:tcW w:w="2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23"/>
        </w:trPr>
        <w:tc>
          <w:tcPr>
            <w:tcW w:w="24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09/30/2024-10/27/2024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ind w:left="126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400" w:type="dxa"/>
            <w:vAlign w:val="bottom"/>
            <w:shd w:val="clear" w:color="auto" w:fill="CCEEFF"/>
          </w:tcPr>
          <w:p>
            <w:pPr>
              <w:ind w:left="118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831,946</w:t>
            </w:r>
          </w:p>
        </w:tc>
      </w:tr>
      <w:tr>
        <w:trPr>
          <w:trHeight w:val="222"/>
        </w:trPr>
        <w:tc>
          <w:tcPr>
            <w:tcW w:w="2460" w:type="dxa"/>
            <w:vAlign w:val="bottom"/>
          </w:tcPr>
          <w:p>
            <w:pPr>
              <w:ind w:left="20"/>
              <w:spacing w:after="0" w:line="215" w:lineRule="exact"/>
              <w:rPr>
                <w:sz w:val="20"/>
                <w:szCs w:val="20"/>
                <w:color w:val="auto"/>
              </w:rPr>
            </w:pPr>
            <w:r>
              <w:rPr>
                <w:rFonts w:ascii="Calibri" w:cs="Calibri" w:eastAsia="Calibri" w:hAnsi="Calibri"/>
                <w:sz w:val="18"/>
                <w:szCs w:val="18"/>
                <w:color w:val="auto"/>
              </w:rPr>
              <w:t>10/28/2024-11/24/2024</w:t>
            </w:r>
          </w:p>
        </w:tc>
        <w:tc>
          <w:tcPr>
            <w:tcW w:w="120" w:type="dxa"/>
            <w:vAlign w:val="bottom"/>
          </w:tcPr>
          <w:p>
            <w:pPr>
              <w:spacing w:after="0"/>
              <w:rPr>
                <w:sz w:val="19"/>
                <w:szCs w:val="19"/>
                <w:color w:val="auto"/>
              </w:rPr>
            </w:pPr>
          </w:p>
        </w:tc>
        <w:tc>
          <w:tcPr>
            <w:tcW w:w="1500" w:type="dxa"/>
            <w:vAlign w:val="bottom"/>
          </w:tcPr>
          <w:p>
            <w:pPr>
              <w:ind w:left="126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ind w:left="1180"/>
              <w:spacing w:after="0" w:line="215" w:lineRule="exact"/>
              <w:rPr>
                <w:sz w:val="20"/>
                <w:szCs w:val="20"/>
                <w:color w:val="auto"/>
              </w:rPr>
            </w:pPr>
            <w:r>
              <w:rPr>
                <w:rFonts w:ascii="Calibri" w:cs="Calibri" w:eastAsia="Calibri" w:hAnsi="Calibri"/>
                <w:sz w:val="18"/>
                <w:szCs w:val="18"/>
                <w:color w:val="auto"/>
              </w:rPr>
              <w:t>—</w:t>
            </w:r>
          </w:p>
        </w:tc>
        <w:tc>
          <w:tcPr>
            <w:tcW w:w="19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831,946</w:t>
            </w:r>
          </w:p>
        </w:tc>
      </w:tr>
      <w:tr>
        <w:trPr>
          <w:trHeight w:val="230"/>
        </w:trPr>
        <w:tc>
          <w:tcPr>
            <w:tcW w:w="24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11/25/2024-12/29/2024</w:t>
            </w:r>
          </w:p>
        </w:tc>
        <w:tc>
          <w:tcPr>
            <w:tcW w:w="120" w:type="dxa"/>
            <w:vAlign w:val="bottom"/>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ind w:left="1260"/>
              <w:spacing w:after="0"/>
              <w:rPr>
                <w:sz w:val="20"/>
                <w:szCs w:val="20"/>
                <w:color w:val="auto"/>
              </w:rPr>
            </w:pPr>
            <w:r>
              <w:rPr>
                <w:rFonts w:ascii="Calibri" w:cs="Calibri" w:eastAsia="Calibri" w:hAnsi="Calibri"/>
                <w:sz w:val="18"/>
                <w:szCs w:val="18"/>
                <w:color w:val="auto"/>
              </w:rPr>
              <w:t>—</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ind w:left="1180"/>
              <w:spacing w:after="0"/>
              <w:rPr>
                <w:sz w:val="20"/>
                <w:szCs w:val="20"/>
                <w:color w:val="auto"/>
              </w:rPr>
            </w:pPr>
            <w:r>
              <w:rPr>
                <w:rFonts w:ascii="Calibri" w:cs="Calibri" w:eastAsia="Calibri" w:hAnsi="Calibri"/>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220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831,946</w:t>
            </w:r>
          </w:p>
        </w:tc>
      </w:tr>
    </w:tbl>
    <w:p>
      <w:pPr>
        <w:spacing w:after="0" w:line="1" w:lineRule="exact"/>
        <w:rPr>
          <w:sz w:val="20"/>
          <w:szCs w:val="20"/>
          <w:color w:val="auto"/>
        </w:rPr>
      </w:pPr>
    </w:p>
    <w:p>
      <w:pPr>
        <w:sectPr>
          <w:pgSz w:w="11900" w:h="16838" w:orient="portrait"/>
          <w:cols w:equalWidth="0" w:num="1">
            <w:col w:w="11180"/>
          </w:cols>
          <w:pgMar w:left="320" w:top="882" w:right="399" w:bottom="1440" w:gutter="0" w:footer="0" w:header="0"/>
        </w:sectPr>
      </w:pPr>
    </w:p>
    <w:p>
      <w:pPr>
        <w:ind w:left="900"/>
        <w:spacing w:after="0" w:line="238" w:lineRule="auto"/>
        <w:rPr>
          <w:sz w:val="20"/>
          <w:szCs w:val="20"/>
          <w:color w:val="auto"/>
        </w:rPr>
      </w:pPr>
      <w:r>
        <w:rPr>
          <w:rFonts w:ascii="Calibri" w:cs="Calibri" w:eastAsia="Calibri" w:hAnsi="Calibri"/>
          <w:sz w:val="17"/>
          <w:szCs w:val="17"/>
          <w:color w:val="auto"/>
        </w:rPr>
        <w:t>Total</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alibri" w:cs="Calibri" w:eastAsia="Calibri" w:hAnsi="Calibri"/>
          <w:sz w:val="17"/>
          <w:szCs w:val="17"/>
          <w:color w:val="auto"/>
        </w:rPr>
        <w:t>—</w:t>
      </w:r>
    </w:p>
    <w:p>
      <w:pPr>
        <w:spacing w:after="0" w:line="20" w:lineRule="exact"/>
        <w:rPr>
          <w:sz w:val="20"/>
          <w:szCs w:val="20"/>
          <w:color w:val="auto"/>
        </w:rPr>
      </w:pPr>
      <w:r>
        <w:rPr>
          <w:sz w:val="20"/>
          <w:szCs w:val="20"/>
          <w:color w:val="auto"/>
        </w:rPr>
        <w:br w:type="column"/>
      </w:r>
    </w:p>
    <w:p>
      <w:pPr>
        <w:spacing w:after="0" w:line="225" w:lineRule="auto"/>
        <w:rPr>
          <w:sz w:val="20"/>
          <w:szCs w:val="20"/>
          <w:color w:val="auto"/>
        </w:rPr>
      </w:pPr>
      <w:r>
        <w:rPr>
          <w:rFonts w:ascii="Calibri" w:cs="Calibri" w:eastAsia="Calibri" w:hAnsi="Calibri"/>
          <w:sz w:val="18"/>
          <w:szCs w:val="18"/>
          <w:color w:val="auto"/>
        </w:rPr>
        <w:t>—</w:t>
      </w:r>
    </w:p>
    <w:p>
      <w:pPr>
        <w:spacing w:after="0" w:line="200" w:lineRule="exact"/>
        <w:rPr>
          <w:sz w:val="20"/>
          <w:szCs w:val="20"/>
          <w:color w:val="auto"/>
        </w:rPr>
      </w:pPr>
    </w:p>
    <w:p>
      <w:pPr>
        <w:sectPr>
          <w:pgSz w:w="11900" w:h="16838" w:orient="portrait"/>
          <w:cols w:equalWidth="0" w:num="3">
            <w:col w:w="3660" w:space="720"/>
            <w:col w:w="3180" w:space="720"/>
            <w:col w:w="2900"/>
          </w:cols>
          <w:pgMar w:left="320" w:top="882" w:right="399"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Calibri" w:cs="Calibri" w:eastAsia="Calibri" w:hAnsi="Calibri"/>
          <w:sz w:val="17"/>
          <w:szCs w:val="17"/>
          <w:color w:val="auto"/>
        </w:rPr>
        <w:t>ITEM 3.</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Calibri" w:cs="Calibri" w:eastAsia="Calibri" w:hAnsi="Calibri"/>
          <w:sz w:val="17"/>
          <w:szCs w:val="17"/>
          <w:color w:val="auto"/>
        </w:rPr>
        <w:t>DEFAULTS UPON SENIOR SECURITIES</w:t>
      </w:r>
    </w:p>
    <w:p>
      <w:pPr>
        <w:spacing w:after="0" w:line="200" w:lineRule="exact"/>
        <w:rPr>
          <w:sz w:val="20"/>
          <w:szCs w:val="20"/>
          <w:color w:val="auto"/>
        </w:rPr>
      </w:pPr>
    </w:p>
    <w:p>
      <w:pPr>
        <w:sectPr>
          <w:pgSz w:w="11900" w:h="16838" w:orient="portrait"/>
          <w:cols w:equalWidth="0" w:num="2">
            <w:col w:w="540" w:space="320"/>
            <w:col w:w="10320"/>
          </w:cols>
          <w:pgMar w:left="320" w:top="882" w:right="39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Calibri" w:cs="Calibri" w:eastAsia="Calibri" w:hAnsi="Calibri"/>
          <w:sz w:val="17"/>
          <w:szCs w:val="17"/>
          <w:color w:val="auto"/>
        </w:rPr>
        <w:t>None.</w:t>
      </w:r>
    </w:p>
    <w:p>
      <w:pPr>
        <w:sectPr>
          <w:pgSz w:w="11900" w:h="16838" w:orient="portrait"/>
          <w:cols w:equalWidth="0" w:num="1">
            <w:col w:w="11180"/>
          </w:cols>
          <w:pgMar w:left="320" w:top="882" w:right="399" w:bottom="1440" w:gutter="0" w:footer="0" w:header="0"/>
          <w:type w:val="continuous"/>
        </w:sectPr>
      </w:pPr>
    </w:p>
    <w:p>
      <w:pPr>
        <w:spacing w:after="0" w:line="251" w:lineRule="exact"/>
        <w:rPr>
          <w:sz w:val="20"/>
          <w:szCs w:val="20"/>
          <w:color w:val="auto"/>
        </w:rPr>
      </w:pPr>
    </w:p>
    <w:p>
      <w:pPr>
        <w:spacing w:after="0"/>
        <w:rPr>
          <w:sz w:val="20"/>
          <w:szCs w:val="20"/>
          <w:color w:val="auto"/>
        </w:rPr>
      </w:pPr>
      <w:r>
        <w:rPr>
          <w:rFonts w:ascii="Calibri" w:cs="Calibri" w:eastAsia="Calibri" w:hAnsi="Calibri"/>
          <w:sz w:val="17"/>
          <w:szCs w:val="17"/>
          <w:color w:val="auto"/>
        </w:rPr>
        <w:t>ITEM 4.</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Calibri" w:cs="Calibri" w:eastAsia="Calibri" w:hAnsi="Calibri"/>
          <w:sz w:val="17"/>
          <w:szCs w:val="17"/>
          <w:color w:val="auto"/>
        </w:rPr>
        <w:t>MINE SAFETY DISCLOSURES</w:t>
      </w:r>
    </w:p>
    <w:p>
      <w:pPr>
        <w:spacing w:after="0" w:line="200" w:lineRule="exact"/>
        <w:rPr>
          <w:sz w:val="20"/>
          <w:szCs w:val="20"/>
          <w:color w:val="auto"/>
        </w:rPr>
      </w:pPr>
    </w:p>
    <w:p>
      <w:pPr>
        <w:sectPr>
          <w:pgSz w:w="11900" w:h="16838" w:orient="portrait"/>
          <w:cols w:equalWidth="0" w:num="2">
            <w:col w:w="540" w:space="320"/>
            <w:col w:w="10320"/>
          </w:cols>
          <w:pgMar w:left="320" w:top="882" w:right="39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Calibri" w:cs="Calibri" w:eastAsia="Calibri" w:hAnsi="Calibri"/>
          <w:sz w:val="17"/>
          <w:szCs w:val="17"/>
          <w:color w:val="auto"/>
        </w:rPr>
        <w:t>Not Applicable.</w:t>
      </w:r>
    </w:p>
    <w:p>
      <w:pPr>
        <w:sectPr>
          <w:pgSz w:w="11900" w:h="16838" w:orient="portrait"/>
          <w:cols w:equalWidth="0" w:num="1">
            <w:col w:w="11180"/>
          </w:cols>
          <w:pgMar w:left="320" w:top="882" w:right="399" w:bottom="1440" w:gutter="0" w:footer="0" w:header="0"/>
          <w:type w:val="continuous"/>
        </w:sectPr>
      </w:pPr>
    </w:p>
    <w:p>
      <w:pPr>
        <w:spacing w:after="0" w:line="251" w:lineRule="exact"/>
        <w:rPr>
          <w:sz w:val="20"/>
          <w:szCs w:val="20"/>
          <w:color w:val="auto"/>
        </w:rPr>
      </w:pPr>
    </w:p>
    <w:p>
      <w:pPr>
        <w:spacing w:after="0"/>
        <w:rPr>
          <w:sz w:val="20"/>
          <w:szCs w:val="20"/>
          <w:color w:val="auto"/>
        </w:rPr>
      </w:pPr>
      <w:r>
        <w:rPr>
          <w:rFonts w:ascii="Calibri" w:cs="Calibri" w:eastAsia="Calibri" w:hAnsi="Calibri"/>
          <w:sz w:val="17"/>
          <w:szCs w:val="17"/>
          <w:color w:val="auto"/>
        </w:rPr>
        <w:t>ITEM 5.</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Calibri" w:cs="Calibri" w:eastAsia="Calibri" w:hAnsi="Calibri"/>
          <w:sz w:val="17"/>
          <w:szCs w:val="17"/>
          <w:color w:val="auto"/>
        </w:rPr>
        <w:t>OTHER INFORMATION</w:t>
      </w:r>
    </w:p>
    <w:p>
      <w:pPr>
        <w:spacing w:after="0" w:line="200" w:lineRule="exact"/>
        <w:rPr>
          <w:sz w:val="20"/>
          <w:szCs w:val="20"/>
          <w:color w:val="auto"/>
        </w:rPr>
      </w:pPr>
    </w:p>
    <w:p>
      <w:pPr>
        <w:sectPr>
          <w:pgSz w:w="11900" w:h="16838" w:orient="portrait"/>
          <w:cols w:equalWidth="0" w:num="2">
            <w:col w:w="540" w:space="320"/>
            <w:col w:w="10320"/>
          </w:cols>
          <w:pgMar w:left="320" w:top="882" w:right="399" w:bottom="1440" w:gutter="0" w:footer="0" w:header="0"/>
          <w:type w:val="continuous"/>
        </w:sectPr>
      </w:pPr>
    </w:p>
    <w:p>
      <w:pPr>
        <w:spacing w:after="0" w:line="38" w:lineRule="exact"/>
        <w:rPr>
          <w:sz w:val="20"/>
          <w:szCs w:val="20"/>
          <w:color w:val="auto"/>
        </w:rPr>
      </w:pPr>
    </w:p>
    <w:p>
      <w:pPr>
        <w:ind w:right="100"/>
        <w:spacing w:after="0" w:line="239" w:lineRule="auto"/>
        <w:rPr>
          <w:sz w:val="20"/>
          <w:szCs w:val="20"/>
          <w:color w:val="auto"/>
        </w:rPr>
      </w:pPr>
      <w:r>
        <w:rPr>
          <w:rFonts w:ascii="Calibri" w:cs="Calibri" w:eastAsia="Calibri" w:hAnsi="Calibri"/>
          <w:sz w:val="17"/>
          <w:szCs w:val="17"/>
          <w:color w:val="auto"/>
        </w:rPr>
        <w:t>None of the Company’s directors or ofcers (as defned in Rule 16a-1(f) of the Exchange Act) adopted, modifed or terminated any contract, instructon, or writen plan for the purchase or sale of the Company’s securites that was intended to satsfy the afrmatve defense conditons of Rule 10b5-1(c) of the Exchange Act or any non-Rule 10b5-1 trading arrangement (as defned in Item 408(c) of Regulaton S-K) during the three months ended December 29, 2024.</w:t>
      </w: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2" w:right="39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20"/>
        </w:trPr>
        <w:tc>
          <w:tcPr>
            <w:tcW w:w="840" w:type="dxa"/>
            <w:vAlign w:val="bottom"/>
          </w:tcPr>
          <w:p>
            <w:pPr>
              <w:jc w:val="right"/>
              <w:ind w:right="212"/>
              <w:spacing w:after="0"/>
              <w:rPr>
                <w:sz w:val="20"/>
                <w:szCs w:val="20"/>
                <w:color w:val="auto"/>
              </w:rPr>
            </w:pPr>
            <w:r>
              <w:rPr>
                <w:rFonts w:ascii="Calibri" w:cs="Calibri" w:eastAsia="Calibri" w:hAnsi="Calibri"/>
                <w:sz w:val="18"/>
                <w:szCs w:val="18"/>
                <w:color w:val="auto"/>
                <w:w w:val="94"/>
              </w:rPr>
              <w:t>ITEM 6.</w:t>
            </w:r>
          </w:p>
        </w:tc>
        <w:tc>
          <w:tcPr>
            <w:tcW w:w="8000" w:type="dxa"/>
            <w:vAlign w:val="bottom"/>
            <w:gridSpan w:val="9"/>
          </w:tcPr>
          <w:p>
            <w:pPr>
              <w:ind w:left="20"/>
              <w:spacing w:after="0"/>
              <w:rPr>
                <w:sz w:val="20"/>
                <w:szCs w:val="20"/>
                <w:color w:val="auto"/>
              </w:rPr>
            </w:pPr>
            <w:r>
              <w:rPr>
                <w:rFonts w:ascii="Calibri" w:cs="Calibri" w:eastAsia="Calibri" w:hAnsi="Calibri"/>
                <w:sz w:val="18"/>
                <w:szCs w:val="18"/>
                <w:color w:val="auto"/>
              </w:rPr>
              <w:t>EXHIBITS</w:t>
            </w: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186"/>
        </w:trPr>
        <w:tc>
          <w:tcPr>
            <w:tcW w:w="840" w:type="dxa"/>
            <w:vAlign w:val="bottom"/>
          </w:tcPr>
          <w:p>
            <w:pPr>
              <w:jc w:val="right"/>
              <w:ind w:right="52"/>
              <w:spacing w:after="0"/>
              <w:rPr>
                <w:sz w:val="20"/>
                <w:szCs w:val="20"/>
                <w:color w:val="auto"/>
              </w:rPr>
            </w:pPr>
            <w:r>
              <w:rPr>
                <w:rFonts w:ascii="Calibri" w:cs="Calibri" w:eastAsia="Calibri" w:hAnsi="Calibri"/>
                <w:sz w:val="14"/>
                <w:szCs w:val="14"/>
                <w:color w:val="auto"/>
              </w:rPr>
              <w:t>Exhibit</w:t>
            </w: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80" w:type="dxa"/>
            <w:vAlign w:val="bottom"/>
            <w:tcBorders>
              <w:bottom w:val="single" w:sz="8" w:color="auto"/>
            </w:tcBorders>
            <w:gridSpan w:val="3"/>
          </w:tcPr>
          <w:p>
            <w:pPr>
              <w:spacing w:after="0"/>
              <w:rPr>
                <w:sz w:val="20"/>
                <w:szCs w:val="20"/>
                <w:color w:val="auto"/>
              </w:rPr>
            </w:pPr>
            <w:r>
              <w:rPr>
                <w:rFonts w:ascii="Calibri" w:cs="Calibri" w:eastAsia="Calibri" w:hAnsi="Calibri"/>
                <w:sz w:val="14"/>
                <w:szCs w:val="14"/>
                <w:color w:val="auto"/>
              </w:rPr>
              <w:t>Descripton</w:t>
            </w:r>
          </w:p>
        </w:tc>
        <w:tc>
          <w:tcPr>
            <w:tcW w:w="3760" w:type="dxa"/>
            <w:vAlign w:val="bottom"/>
            <w:gridSpan w:val="3"/>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color w:val="auto"/>
              </w:rPr>
              <w:t>Method of Filing</w:t>
            </w:r>
          </w:p>
        </w:tc>
        <w:tc>
          <w:tcPr>
            <w:tcW w:w="460" w:type="dxa"/>
            <w:vAlign w:val="bottom"/>
          </w:tcPr>
          <w:p>
            <w:pPr>
              <w:spacing w:after="0"/>
              <w:rPr>
                <w:sz w:val="16"/>
                <w:szCs w:val="16"/>
                <w:color w:val="auto"/>
              </w:rPr>
            </w:pPr>
          </w:p>
        </w:tc>
      </w:tr>
      <w:tr>
        <w:trPr>
          <w:trHeight w:val="223"/>
        </w:trPr>
        <w:tc>
          <w:tcPr>
            <w:tcW w:w="840" w:type="dxa"/>
            <w:vAlign w:val="bottom"/>
          </w:tcPr>
          <w:p>
            <w:pPr>
              <w:jc w:val="right"/>
              <w:ind w:right="92"/>
              <w:spacing w:after="0"/>
              <w:rPr>
                <w:sz w:val="20"/>
                <w:szCs w:val="20"/>
                <w:color w:val="auto"/>
              </w:rPr>
            </w:pPr>
            <w:r>
              <w:rPr>
                <w:rFonts w:ascii="Calibri" w:cs="Calibri" w:eastAsia="Calibri" w:hAnsi="Calibri"/>
                <w:sz w:val="18"/>
                <w:szCs w:val="18"/>
                <w:color w:val="auto"/>
              </w:rPr>
              <w:t>3.1</w:t>
            </w:r>
          </w:p>
        </w:tc>
        <w:tc>
          <w:tcPr>
            <w:tcW w:w="8000" w:type="dxa"/>
            <w:vAlign w:val="bottom"/>
            <w:gridSpan w:val="9"/>
          </w:tcPr>
          <w:p>
            <w:pPr>
              <w:spacing w:after="0"/>
              <w:rPr>
                <w:rFonts w:ascii="Calibri" w:cs="Calibri" w:eastAsia="Calibri" w:hAnsi="Calibri"/>
                <w:sz w:val="18"/>
                <w:szCs w:val="18"/>
                <w:color w:val="0000FF"/>
              </w:rPr>
            </w:pPr>
            <w:hyperlink r:id="rId49">
              <w:r>
                <w:rPr>
                  <w:rFonts w:ascii="Calibri" w:cs="Calibri" w:eastAsia="Calibri" w:hAnsi="Calibri"/>
                  <w:sz w:val="18"/>
                  <w:szCs w:val="18"/>
                  <w:color w:val="0000FF"/>
                </w:rPr>
                <w:t xml:space="preserve">Restated Artcles of Incorporaton. </w:t>
              </w:r>
            </w:hyperlink>
            <w:r>
              <w:rPr>
                <w:rFonts w:ascii="Calibri" w:cs="Calibri" w:eastAsia="Calibri" w:hAnsi="Calibri"/>
                <w:sz w:val="18"/>
                <w:szCs w:val="18"/>
                <w:color w:val="000000"/>
              </w:rPr>
              <w:t>(1)</w:t>
            </w:r>
          </w:p>
        </w:tc>
        <w:tc>
          <w:tcPr>
            <w:tcW w:w="2120" w:type="dxa"/>
            <w:vAlign w:val="bottom"/>
            <w:gridSpan w:val="3"/>
          </w:tcPr>
          <w:p>
            <w:pPr>
              <w:jc w:val="center"/>
              <w:ind w:left="130"/>
              <w:spacing w:after="0"/>
              <w:rPr>
                <w:sz w:val="20"/>
                <w:szCs w:val="20"/>
                <w:color w:val="auto"/>
              </w:rPr>
            </w:pPr>
            <w:r>
              <w:rPr>
                <w:rFonts w:ascii="Calibri" w:cs="Calibri" w:eastAsia="Calibri" w:hAnsi="Calibri"/>
                <w:sz w:val="18"/>
                <w:szCs w:val="18"/>
                <w:color w:val="auto"/>
                <w:w w:val="96"/>
              </w:rPr>
              <w:t>Incorporated by Reference</w:t>
            </w:r>
          </w:p>
        </w:tc>
      </w:tr>
      <w:tr>
        <w:trPr>
          <w:trHeight w:val="20"/>
        </w:trPr>
        <w:tc>
          <w:tcPr>
            <w:tcW w:w="84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r>
      <w:tr>
        <w:trPr>
          <w:trHeight w:val="209"/>
        </w:trPr>
        <w:tc>
          <w:tcPr>
            <w:tcW w:w="840" w:type="dxa"/>
            <w:vAlign w:val="bottom"/>
          </w:tcPr>
          <w:p>
            <w:pPr>
              <w:jc w:val="right"/>
              <w:ind w:right="92"/>
              <w:spacing w:after="0" w:line="209" w:lineRule="exact"/>
              <w:rPr>
                <w:sz w:val="20"/>
                <w:szCs w:val="20"/>
                <w:color w:val="auto"/>
              </w:rPr>
            </w:pPr>
            <w:r>
              <w:rPr>
                <w:rFonts w:ascii="Calibri" w:cs="Calibri" w:eastAsia="Calibri" w:hAnsi="Calibri"/>
                <w:sz w:val="18"/>
                <w:szCs w:val="18"/>
                <w:color w:val="auto"/>
              </w:rPr>
              <w:t>3.2</w:t>
            </w:r>
          </w:p>
        </w:tc>
        <w:tc>
          <w:tcPr>
            <w:tcW w:w="8000" w:type="dxa"/>
            <w:vAlign w:val="bottom"/>
            <w:gridSpan w:val="9"/>
          </w:tcPr>
          <w:p>
            <w:pPr>
              <w:spacing w:after="0" w:line="209" w:lineRule="exact"/>
              <w:rPr>
                <w:rFonts w:ascii="Calibri" w:cs="Calibri" w:eastAsia="Calibri" w:hAnsi="Calibri"/>
                <w:sz w:val="18"/>
                <w:szCs w:val="18"/>
                <w:color w:val="0000FF"/>
              </w:rPr>
            </w:pPr>
            <w:hyperlink r:id="rId50">
              <w:r>
                <w:rPr>
                  <w:rFonts w:ascii="Calibri" w:cs="Calibri" w:eastAsia="Calibri" w:hAnsi="Calibri"/>
                  <w:sz w:val="18"/>
                  <w:szCs w:val="18"/>
                  <w:color w:val="0000FF"/>
                </w:rPr>
                <w:t xml:space="preserve">Amended and Restated By-Laws. </w:t>
              </w:r>
            </w:hyperlink>
            <w:r>
              <w:rPr>
                <w:rFonts w:ascii="Calibri" w:cs="Calibri" w:eastAsia="Calibri" w:hAnsi="Calibri"/>
                <w:sz w:val="18"/>
                <w:szCs w:val="18"/>
                <w:color w:val="000000"/>
              </w:rPr>
              <w:t>(2)</w:t>
            </w:r>
          </w:p>
        </w:tc>
        <w:tc>
          <w:tcPr>
            <w:tcW w:w="2120" w:type="dxa"/>
            <w:vAlign w:val="bottom"/>
            <w:gridSpan w:val="3"/>
          </w:tcPr>
          <w:p>
            <w:pPr>
              <w:jc w:val="center"/>
              <w:ind w:left="130"/>
              <w:spacing w:after="0" w:line="209" w:lineRule="exact"/>
              <w:rPr>
                <w:sz w:val="20"/>
                <w:szCs w:val="20"/>
                <w:color w:val="auto"/>
              </w:rPr>
            </w:pPr>
            <w:r>
              <w:rPr>
                <w:rFonts w:ascii="Calibri" w:cs="Calibri" w:eastAsia="Calibri" w:hAnsi="Calibri"/>
                <w:sz w:val="18"/>
                <w:szCs w:val="18"/>
                <w:color w:val="auto"/>
                <w:w w:val="96"/>
              </w:rPr>
              <w:t>Incorporated by Reference</w:t>
            </w:r>
          </w:p>
        </w:tc>
      </w:tr>
      <w:tr>
        <w:trPr>
          <w:trHeight w:val="20"/>
        </w:trPr>
        <w:tc>
          <w:tcPr>
            <w:tcW w:w="84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r>
      <w:tr>
        <w:trPr>
          <w:trHeight w:val="209"/>
        </w:trPr>
        <w:tc>
          <w:tcPr>
            <w:tcW w:w="840" w:type="dxa"/>
            <w:vAlign w:val="bottom"/>
          </w:tcPr>
          <w:p>
            <w:pPr>
              <w:jc w:val="right"/>
              <w:ind w:right="92"/>
              <w:spacing w:after="0" w:line="209" w:lineRule="exact"/>
              <w:rPr>
                <w:sz w:val="20"/>
                <w:szCs w:val="20"/>
                <w:color w:val="auto"/>
              </w:rPr>
            </w:pPr>
            <w:r>
              <w:rPr>
                <w:rFonts w:ascii="Calibri" w:cs="Calibri" w:eastAsia="Calibri" w:hAnsi="Calibri"/>
                <w:sz w:val="18"/>
                <w:szCs w:val="18"/>
                <w:color w:val="auto"/>
              </w:rPr>
              <w:t>31.1</w:t>
            </w:r>
          </w:p>
        </w:tc>
        <w:tc>
          <w:tcPr>
            <w:tcW w:w="8000" w:type="dxa"/>
            <w:vAlign w:val="bottom"/>
            <w:gridSpan w:val="9"/>
          </w:tcPr>
          <w:p>
            <w:pPr>
              <w:spacing w:after="0" w:line="209" w:lineRule="exact"/>
              <w:rPr>
                <w:sz w:val="20"/>
                <w:szCs w:val="20"/>
                <w:color w:val="auto"/>
              </w:rPr>
            </w:pPr>
            <w:r>
              <w:rPr>
                <w:rFonts w:ascii="Calibri" w:cs="Calibri" w:eastAsia="Calibri" w:hAnsi="Calibri"/>
                <w:sz w:val="18"/>
                <w:szCs w:val="18"/>
                <w:color w:val="0000FF"/>
              </w:rPr>
              <w:t>Certfcaton by Chief Executve Ofcer pursuant to Rule 13a-14(a) of the Exchange Act.</w:t>
            </w:r>
          </w:p>
        </w:tc>
        <w:tc>
          <w:tcPr>
            <w:tcW w:w="2120" w:type="dxa"/>
            <w:vAlign w:val="bottom"/>
            <w:gridSpan w:val="3"/>
          </w:tcPr>
          <w:p>
            <w:pPr>
              <w:jc w:val="center"/>
              <w:ind w:left="130"/>
              <w:spacing w:after="0" w:line="209" w:lineRule="exact"/>
              <w:rPr>
                <w:sz w:val="20"/>
                <w:szCs w:val="20"/>
                <w:color w:val="auto"/>
              </w:rPr>
            </w:pPr>
            <w:r>
              <w:rPr>
                <w:rFonts w:ascii="Calibri" w:cs="Calibri" w:eastAsia="Calibri" w:hAnsi="Calibri"/>
                <w:sz w:val="18"/>
                <w:szCs w:val="18"/>
                <w:color w:val="auto"/>
                <w:w w:val="98"/>
              </w:rPr>
              <w:t>Filed Electronically</w:t>
            </w:r>
          </w:p>
        </w:tc>
      </w:tr>
      <w:tr>
        <w:trPr>
          <w:trHeight w:val="210"/>
        </w:trPr>
        <w:tc>
          <w:tcPr>
            <w:tcW w:w="840" w:type="dxa"/>
            <w:vAlign w:val="bottom"/>
          </w:tcPr>
          <w:p>
            <w:pPr>
              <w:jc w:val="right"/>
              <w:ind w:right="92"/>
              <w:spacing w:after="0" w:line="209" w:lineRule="exact"/>
              <w:rPr>
                <w:sz w:val="20"/>
                <w:szCs w:val="20"/>
                <w:color w:val="auto"/>
              </w:rPr>
            </w:pPr>
            <w:r>
              <w:rPr>
                <w:rFonts w:ascii="Calibri" w:cs="Calibri" w:eastAsia="Calibri" w:hAnsi="Calibri"/>
                <w:sz w:val="18"/>
                <w:szCs w:val="18"/>
                <w:color w:val="auto"/>
              </w:rPr>
              <w:t>31.2</w:t>
            </w:r>
          </w:p>
        </w:tc>
        <w:tc>
          <w:tcPr>
            <w:tcW w:w="6120" w:type="dxa"/>
            <w:vAlign w:val="bottom"/>
            <w:tcBorders>
              <w:top w:val="single" w:sz="8" w:color="0000FF"/>
              <w:bottom w:val="single" w:sz="8" w:color="0000FF"/>
            </w:tcBorders>
            <w:gridSpan w:val="7"/>
          </w:tcPr>
          <w:p>
            <w:pPr>
              <w:spacing w:after="0" w:line="209" w:lineRule="exact"/>
              <w:rPr>
                <w:sz w:val="20"/>
                <w:szCs w:val="20"/>
                <w:color w:val="auto"/>
              </w:rPr>
            </w:pPr>
            <w:r>
              <w:rPr>
                <w:rFonts w:ascii="Calibri" w:cs="Calibri" w:eastAsia="Calibri" w:hAnsi="Calibri"/>
                <w:sz w:val="18"/>
                <w:szCs w:val="18"/>
                <w:color w:val="0000FF"/>
              </w:rPr>
              <w:t>Certfcaton by Chief Financial Ofcer pursuant to Rule 13a-14(a) of the Exchange Act.</w:t>
            </w:r>
          </w:p>
        </w:tc>
        <w:tc>
          <w:tcPr>
            <w:tcW w:w="40" w:type="dxa"/>
            <w:vAlign w:val="bottom"/>
            <w:tcBorders>
              <w:top w:val="single" w:sz="8" w:color="0000FF"/>
            </w:tcBorders>
          </w:tcPr>
          <w:p>
            <w:pPr>
              <w:spacing w:after="0"/>
              <w:rPr>
                <w:sz w:val="18"/>
                <w:szCs w:val="18"/>
                <w:color w:val="auto"/>
              </w:rPr>
            </w:pPr>
          </w:p>
        </w:tc>
        <w:tc>
          <w:tcPr>
            <w:tcW w:w="1840" w:type="dxa"/>
            <w:vAlign w:val="bottom"/>
          </w:tcPr>
          <w:p>
            <w:pPr>
              <w:spacing w:after="0"/>
              <w:rPr>
                <w:sz w:val="18"/>
                <w:szCs w:val="18"/>
                <w:color w:val="auto"/>
              </w:rPr>
            </w:pPr>
          </w:p>
        </w:tc>
        <w:tc>
          <w:tcPr>
            <w:tcW w:w="2120" w:type="dxa"/>
            <w:vAlign w:val="bottom"/>
            <w:gridSpan w:val="3"/>
          </w:tcPr>
          <w:p>
            <w:pPr>
              <w:jc w:val="center"/>
              <w:ind w:left="130"/>
              <w:spacing w:after="0" w:line="209" w:lineRule="exact"/>
              <w:rPr>
                <w:sz w:val="20"/>
                <w:szCs w:val="20"/>
                <w:color w:val="auto"/>
              </w:rPr>
            </w:pPr>
            <w:r>
              <w:rPr>
                <w:rFonts w:ascii="Calibri" w:cs="Calibri" w:eastAsia="Calibri" w:hAnsi="Calibri"/>
                <w:sz w:val="18"/>
                <w:szCs w:val="18"/>
                <w:color w:val="auto"/>
                <w:w w:val="98"/>
              </w:rPr>
              <w:t>Filed Electronically</w:t>
            </w:r>
          </w:p>
        </w:tc>
      </w:tr>
      <w:tr>
        <w:trPr>
          <w:trHeight w:val="210"/>
        </w:trPr>
        <w:tc>
          <w:tcPr>
            <w:tcW w:w="840" w:type="dxa"/>
            <w:vAlign w:val="bottom"/>
          </w:tcPr>
          <w:p>
            <w:pPr>
              <w:jc w:val="right"/>
              <w:ind w:right="92"/>
              <w:spacing w:after="0" w:line="209" w:lineRule="exact"/>
              <w:rPr>
                <w:sz w:val="20"/>
                <w:szCs w:val="20"/>
                <w:color w:val="auto"/>
              </w:rPr>
            </w:pPr>
            <w:r>
              <w:rPr>
                <w:rFonts w:ascii="Calibri" w:cs="Calibri" w:eastAsia="Calibri" w:hAnsi="Calibri"/>
                <w:sz w:val="18"/>
                <w:szCs w:val="18"/>
                <w:color w:val="auto"/>
              </w:rPr>
              <w:t>32.1</w:t>
            </w:r>
          </w:p>
        </w:tc>
        <w:tc>
          <w:tcPr>
            <w:tcW w:w="3720" w:type="dxa"/>
            <w:vAlign w:val="bottom"/>
            <w:tcBorders>
              <w:bottom w:val="single" w:sz="8" w:color="0000FF"/>
            </w:tcBorders>
            <w:gridSpan w:val="5"/>
          </w:tcPr>
          <w:p>
            <w:pPr>
              <w:spacing w:after="0" w:line="209" w:lineRule="exact"/>
              <w:rPr>
                <w:sz w:val="20"/>
                <w:szCs w:val="20"/>
                <w:color w:val="auto"/>
              </w:rPr>
            </w:pPr>
            <w:r>
              <w:rPr>
                <w:rFonts w:ascii="Calibri" w:cs="Calibri" w:eastAsia="Calibri" w:hAnsi="Calibri"/>
                <w:sz w:val="18"/>
                <w:szCs w:val="18"/>
                <w:color w:val="0000FF"/>
              </w:rPr>
              <w:t>Secton 1350 Certfcaton by Chief Executve Ofcer.</w:t>
            </w:r>
          </w:p>
        </w:tc>
        <w:tc>
          <w:tcPr>
            <w:tcW w:w="4280" w:type="dxa"/>
            <w:vAlign w:val="bottom"/>
            <w:gridSpan w:val="4"/>
          </w:tcPr>
          <w:p>
            <w:pPr>
              <w:spacing w:after="0"/>
              <w:rPr>
                <w:sz w:val="18"/>
                <w:szCs w:val="18"/>
                <w:color w:val="auto"/>
              </w:rPr>
            </w:pPr>
          </w:p>
        </w:tc>
        <w:tc>
          <w:tcPr>
            <w:tcW w:w="2120" w:type="dxa"/>
            <w:vAlign w:val="bottom"/>
            <w:gridSpan w:val="3"/>
          </w:tcPr>
          <w:p>
            <w:pPr>
              <w:jc w:val="center"/>
              <w:ind w:left="130"/>
              <w:spacing w:after="0" w:line="209" w:lineRule="exact"/>
              <w:rPr>
                <w:sz w:val="20"/>
                <w:szCs w:val="20"/>
                <w:color w:val="auto"/>
              </w:rPr>
            </w:pPr>
            <w:r>
              <w:rPr>
                <w:rFonts w:ascii="Calibri" w:cs="Calibri" w:eastAsia="Calibri" w:hAnsi="Calibri"/>
                <w:sz w:val="18"/>
                <w:szCs w:val="18"/>
                <w:color w:val="auto"/>
                <w:w w:val="98"/>
              </w:rPr>
              <w:t>Filed Electronically</w:t>
            </w:r>
          </w:p>
        </w:tc>
      </w:tr>
      <w:tr>
        <w:trPr>
          <w:trHeight w:val="209"/>
        </w:trPr>
        <w:tc>
          <w:tcPr>
            <w:tcW w:w="840" w:type="dxa"/>
            <w:vAlign w:val="bottom"/>
          </w:tcPr>
          <w:p>
            <w:pPr>
              <w:jc w:val="right"/>
              <w:ind w:right="92"/>
              <w:spacing w:after="0" w:line="209" w:lineRule="exact"/>
              <w:rPr>
                <w:sz w:val="20"/>
                <w:szCs w:val="20"/>
                <w:color w:val="auto"/>
              </w:rPr>
            </w:pPr>
            <w:r>
              <w:rPr>
                <w:rFonts w:ascii="Calibri" w:cs="Calibri" w:eastAsia="Calibri" w:hAnsi="Calibri"/>
                <w:sz w:val="18"/>
                <w:szCs w:val="18"/>
                <w:color w:val="auto"/>
              </w:rPr>
              <w:t>32.2</w:t>
            </w:r>
          </w:p>
        </w:tc>
        <w:tc>
          <w:tcPr>
            <w:tcW w:w="3680" w:type="dxa"/>
            <w:vAlign w:val="bottom"/>
            <w:tcBorders>
              <w:bottom w:val="single" w:sz="8" w:color="0000FF"/>
            </w:tcBorders>
            <w:gridSpan w:val="4"/>
          </w:tcPr>
          <w:p>
            <w:pPr>
              <w:spacing w:after="0" w:line="209" w:lineRule="exact"/>
              <w:rPr>
                <w:sz w:val="20"/>
                <w:szCs w:val="20"/>
                <w:color w:val="auto"/>
              </w:rPr>
            </w:pPr>
            <w:r>
              <w:rPr>
                <w:rFonts w:ascii="Calibri" w:cs="Calibri" w:eastAsia="Calibri" w:hAnsi="Calibri"/>
                <w:sz w:val="18"/>
                <w:szCs w:val="18"/>
                <w:color w:val="0000FF"/>
              </w:rPr>
              <w:t>Secton 1350 Certfcaton by Chief Financial Ofcer.</w:t>
            </w:r>
          </w:p>
        </w:tc>
        <w:tc>
          <w:tcPr>
            <w:tcW w:w="4320" w:type="dxa"/>
            <w:vAlign w:val="bottom"/>
            <w:gridSpan w:val="5"/>
          </w:tcPr>
          <w:p>
            <w:pPr>
              <w:spacing w:after="0"/>
              <w:rPr>
                <w:sz w:val="18"/>
                <w:szCs w:val="18"/>
                <w:color w:val="auto"/>
              </w:rPr>
            </w:pPr>
          </w:p>
        </w:tc>
        <w:tc>
          <w:tcPr>
            <w:tcW w:w="2120" w:type="dxa"/>
            <w:vAlign w:val="bottom"/>
            <w:gridSpan w:val="3"/>
          </w:tcPr>
          <w:p>
            <w:pPr>
              <w:jc w:val="center"/>
              <w:ind w:left="130"/>
              <w:spacing w:after="0" w:line="209" w:lineRule="exact"/>
              <w:rPr>
                <w:sz w:val="20"/>
                <w:szCs w:val="20"/>
                <w:color w:val="auto"/>
              </w:rPr>
            </w:pPr>
            <w:r>
              <w:rPr>
                <w:rFonts w:ascii="Calibri" w:cs="Calibri" w:eastAsia="Calibri" w:hAnsi="Calibri"/>
                <w:sz w:val="18"/>
                <w:szCs w:val="18"/>
                <w:color w:val="auto"/>
                <w:w w:val="98"/>
              </w:rPr>
              <w:t>Filed Electronically</w:t>
            </w:r>
          </w:p>
        </w:tc>
      </w:tr>
      <w:tr>
        <w:trPr>
          <w:trHeight w:val="201"/>
        </w:trPr>
        <w:tc>
          <w:tcPr>
            <w:tcW w:w="840" w:type="dxa"/>
            <w:vAlign w:val="bottom"/>
          </w:tcPr>
          <w:p>
            <w:pPr>
              <w:jc w:val="right"/>
              <w:ind w:right="92"/>
              <w:spacing w:after="0" w:line="201" w:lineRule="exact"/>
              <w:rPr>
                <w:sz w:val="20"/>
                <w:szCs w:val="20"/>
                <w:color w:val="auto"/>
              </w:rPr>
            </w:pPr>
            <w:r>
              <w:rPr>
                <w:rFonts w:ascii="Calibri" w:cs="Calibri" w:eastAsia="Calibri" w:hAnsi="Calibri"/>
                <w:sz w:val="18"/>
                <w:szCs w:val="18"/>
                <w:color w:val="auto"/>
              </w:rPr>
              <w:t>101</w:t>
            </w:r>
          </w:p>
        </w:tc>
        <w:tc>
          <w:tcPr>
            <w:tcW w:w="8000" w:type="dxa"/>
            <w:vAlign w:val="bottom"/>
            <w:gridSpan w:val="9"/>
          </w:tcPr>
          <w:p>
            <w:pPr>
              <w:spacing w:after="0" w:line="201" w:lineRule="exact"/>
              <w:rPr>
                <w:sz w:val="20"/>
                <w:szCs w:val="20"/>
                <w:color w:val="auto"/>
              </w:rPr>
            </w:pPr>
            <w:r>
              <w:rPr>
                <w:rFonts w:ascii="Calibri" w:cs="Calibri" w:eastAsia="Calibri" w:hAnsi="Calibri"/>
                <w:sz w:val="18"/>
                <w:szCs w:val="18"/>
                <w:color w:val="auto"/>
              </w:rPr>
              <w:t>Financial statements from the Quarterly Report on Form 10-Q of Hawkins, Inc. for the period ended</w:t>
            </w:r>
          </w:p>
        </w:tc>
        <w:tc>
          <w:tcPr>
            <w:tcW w:w="2120" w:type="dxa"/>
            <w:vAlign w:val="bottom"/>
            <w:gridSpan w:val="3"/>
          </w:tcPr>
          <w:p>
            <w:pPr>
              <w:jc w:val="center"/>
              <w:ind w:left="130"/>
              <w:spacing w:after="0" w:line="201" w:lineRule="exact"/>
              <w:rPr>
                <w:sz w:val="20"/>
                <w:szCs w:val="20"/>
                <w:color w:val="auto"/>
              </w:rPr>
            </w:pPr>
            <w:r>
              <w:rPr>
                <w:rFonts w:ascii="Calibri" w:cs="Calibri" w:eastAsia="Calibri" w:hAnsi="Calibri"/>
                <w:sz w:val="18"/>
                <w:szCs w:val="18"/>
                <w:color w:val="auto"/>
                <w:w w:val="98"/>
              </w:rPr>
              <w:t>Filed Electronically</w:t>
            </w:r>
          </w:p>
        </w:tc>
      </w:tr>
      <w:tr>
        <w:trPr>
          <w:trHeight w:val="189"/>
        </w:trPr>
        <w:tc>
          <w:tcPr>
            <w:tcW w:w="840" w:type="dxa"/>
            <w:vAlign w:val="bottom"/>
          </w:tcPr>
          <w:p>
            <w:pPr>
              <w:spacing w:after="0"/>
              <w:rPr>
                <w:sz w:val="16"/>
                <w:szCs w:val="16"/>
                <w:color w:val="auto"/>
              </w:rPr>
            </w:pPr>
          </w:p>
        </w:tc>
        <w:tc>
          <w:tcPr>
            <w:tcW w:w="8000" w:type="dxa"/>
            <w:vAlign w:val="bottom"/>
            <w:gridSpan w:val="9"/>
          </w:tcPr>
          <w:p>
            <w:pPr>
              <w:spacing w:after="0" w:line="189" w:lineRule="exact"/>
              <w:rPr>
                <w:sz w:val="20"/>
                <w:szCs w:val="20"/>
                <w:color w:val="auto"/>
              </w:rPr>
            </w:pPr>
            <w:r>
              <w:rPr>
                <w:rFonts w:ascii="Calibri" w:cs="Calibri" w:eastAsia="Calibri" w:hAnsi="Calibri"/>
                <w:sz w:val="18"/>
                <w:szCs w:val="18"/>
                <w:color w:val="auto"/>
              </w:rPr>
              <w:t>December 29, 2024 fled with the SEC on January 29, 2025 formated in Inline Extensible Business Reportng</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76"/>
        </w:trPr>
        <w:tc>
          <w:tcPr>
            <w:tcW w:w="840" w:type="dxa"/>
            <w:vAlign w:val="bottom"/>
          </w:tcPr>
          <w:p>
            <w:pPr>
              <w:spacing w:after="0"/>
              <w:rPr>
                <w:sz w:val="15"/>
                <w:szCs w:val="15"/>
                <w:color w:val="auto"/>
              </w:rPr>
            </w:pPr>
          </w:p>
        </w:tc>
        <w:tc>
          <w:tcPr>
            <w:tcW w:w="8000" w:type="dxa"/>
            <w:vAlign w:val="bottom"/>
            <w:gridSpan w:val="9"/>
          </w:tcPr>
          <w:p>
            <w:pPr>
              <w:spacing w:after="0" w:line="175" w:lineRule="exact"/>
              <w:rPr>
                <w:sz w:val="20"/>
                <w:szCs w:val="20"/>
                <w:color w:val="auto"/>
              </w:rPr>
            </w:pPr>
            <w:r>
              <w:rPr>
                <w:rFonts w:ascii="Calibri" w:cs="Calibri" w:eastAsia="Calibri" w:hAnsi="Calibri"/>
                <w:sz w:val="18"/>
                <w:szCs w:val="18"/>
                <w:color w:val="auto"/>
                <w:w w:val="99"/>
              </w:rPr>
              <w:t>Language (iXBRL); (i) the Condensed Consolidated Balance Sheets at December 29, 2024 and March 31, 2024,</w:t>
            </w: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8000" w:type="dxa"/>
            <w:vAlign w:val="bottom"/>
            <w:gridSpan w:val="9"/>
          </w:tcPr>
          <w:p>
            <w:pPr>
              <w:spacing w:after="0" w:line="175" w:lineRule="exact"/>
              <w:rPr>
                <w:sz w:val="20"/>
                <w:szCs w:val="20"/>
                <w:color w:val="auto"/>
              </w:rPr>
            </w:pPr>
            <w:r>
              <w:rPr>
                <w:rFonts w:ascii="Calibri" w:cs="Calibri" w:eastAsia="Calibri" w:hAnsi="Calibri"/>
                <w:sz w:val="18"/>
                <w:szCs w:val="18"/>
                <w:color w:val="auto"/>
              </w:rPr>
              <w:t>(ii) the Condensed Consolidated Statements of Income for the three and nine months ended December 29,</w:t>
            </w: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9"/>
        </w:trPr>
        <w:tc>
          <w:tcPr>
            <w:tcW w:w="840" w:type="dxa"/>
            <w:vAlign w:val="bottom"/>
          </w:tcPr>
          <w:p>
            <w:pPr>
              <w:spacing w:after="0"/>
              <w:rPr>
                <w:sz w:val="16"/>
                <w:szCs w:val="16"/>
                <w:color w:val="auto"/>
              </w:rPr>
            </w:pPr>
          </w:p>
        </w:tc>
        <w:tc>
          <w:tcPr>
            <w:tcW w:w="8000" w:type="dxa"/>
            <w:vAlign w:val="bottom"/>
            <w:gridSpan w:val="9"/>
          </w:tcPr>
          <w:p>
            <w:pPr>
              <w:spacing w:after="0" w:line="189" w:lineRule="exact"/>
              <w:rPr>
                <w:sz w:val="20"/>
                <w:szCs w:val="20"/>
                <w:color w:val="auto"/>
              </w:rPr>
            </w:pPr>
            <w:r>
              <w:rPr>
                <w:rFonts w:ascii="Calibri" w:cs="Calibri" w:eastAsia="Calibri" w:hAnsi="Calibri"/>
                <w:sz w:val="18"/>
                <w:szCs w:val="18"/>
                <w:color w:val="auto"/>
                <w:w w:val="99"/>
              </w:rPr>
              <w:t>2024 and December 31, 2023, (iii) the Condensed Consolidated Statements of Comprehensive Income for the</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76"/>
        </w:trPr>
        <w:tc>
          <w:tcPr>
            <w:tcW w:w="840" w:type="dxa"/>
            <w:vAlign w:val="bottom"/>
          </w:tcPr>
          <w:p>
            <w:pPr>
              <w:spacing w:after="0"/>
              <w:rPr>
                <w:sz w:val="15"/>
                <w:szCs w:val="15"/>
                <w:color w:val="auto"/>
              </w:rPr>
            </w:pPr>
          </w:p>
        </w:tc>
        <w:tc>
          <w:tcPr>
            <w:tcW w:w="8000" w:type="dxa"/>
            <w:vAlign w:val="bottom"/>
            <w:gridSpan w:val="9"/>
          </w:tcPr>
          <w:p>
            <w:pPr>
              <w:spacing w:after="0" w:line="175" w:lineRule="exact"/>
              <w:rPr>
                <w:sz w:val="20"/>
                <w:szCs w:val="20"/>
                <w:color w:val="auto"/>
              </w:rPr>
            </w:pPr>
            <w:r>
              <w:rPr>
                <w:rFonts w:ascii="Calibri" w:cs="Calibri" w:eastAsia="Calibri" w:hAnsi="Calibri"/>
                <w:sz w:val="18"/>
                <w:szCs w:val="18"/>
                <w:color w:val="auto"/>
              </w:rPr>
              <w:t>three and nine months ended December 29, 2024 and December 31, 2023, (iv) the Condensed Consolidated</w:t>
            </w: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8000" w:type="dxa"/>
            <w:vAlign w:val="bottom"/>
            <w:gridSpan w:val="9"/>
          </w:tcPr>
          <w:p>
            <w:pPr>
              <w:spacing w:after="0" w:line="175" w:lineRule="exact"/>
              <w:rPr>
                <w:sz w:val="20"/>
                <w:szCs w:val="20"/>
                <w:color w:val="auto"/>
              </w:rPr>
            </w:pPr>
            <w:r>
              <w:rPr>
                <w:rFonts w:ascii="Calibri" w:cs="Calibri" w:eastAsia="Calibri" w:hAnsi="Calibri"/>
                <w:sz w:val="18"/>
                <w:szCs w:val="18"/>
                <w:color w:val="auto"/>
              </w:rPr>
              <w:t>Statements of Shareholder's Equity for the three and nine months ended December 29, 2024 and December</w:t>
            </w: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9"/>
        </w:trPr>
        <w:tc>
          <w:tcPr>
            <w:tcW w:w="840" w:type="dxa"/>
            <w:vAlign w:val="bottom"/>
          </w:tcPr>
          <w:p>
            <w:pPr>
              <w:spacing w:after="0"/>
              <w:rPr>
                <w:sz w:val="16"/>
                <w:szCs w:val="16"/>
                <w:color w:val="auto"/>
              </w:rPr>
            </w:pPr>
          </w:p>
        </w:tc>
        <w:tc>
          <w:tcPr>
            <w:tcW w:w="8000" w:type="dxa"/>
            <w:vAlign w:val="bottom"/>
            <w:gridSpan w:val="9"/>
          </w:tcPr>
          <w:p>
            <w:pPr>
              <w:spacing w:after="0" w:line="189" w:lineRule="exact"/>
              <w:rPr>
                <w:sz w:val="20"/>
                <w:szCs w:val="20"/>
                <w:color w:val="auto"/>
              </w:rPr>
            </w:pPr>
            <w:r>
              <w:rPr>
                <w:rFonts w:ascii="Calibri" w:cs="Calibri" w:eastAsia="Calibri" w:hAnsi="Calibri"/>
                <w:sz w:val="18"/>
                <w:szCs w:val="18"/>
                <w:color w:val="auto"/>
              </w:rPr>
              <w:t>31, 2023, (v) the Condensed Consolidated Statements of Cash Flows for the nine months ended December</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76"/>
        </w:trPr>
        <w:tc>
          <w:tcPr>
            <w:tcW w:w="840" w:type="dxa"/>
            <w:vAlign w:val="bottom"/>
          </w:tcPr>
          <w:p>
            <w:pPr>
              <w:spacing w:after="0"/>
              <w:rPr>
                <w:sz w:val="15"/>
                <w:szCs w:val="15"/>
                <w:color w:val="auto"/>
              </w:rPr>
            </w:pPr>
          </w:p>
        </w:tc>
        <w:tc>
          <w:tcPr>
            <w:tcW w:w="8000" w:type="dxa"/>
            <w:vAlign w:val="bottom"/>
            <w:gridSpan w:val="9"/>
          </w:tcPr>
          <w:p>
            <w:pPr>
              <w:spacing w:after="0" w:line="175" w:lineRule="exact"/>
              <w:rPr>
                <w:sz w:val="20"/>
                <w:szCs w:val="20"/>
                <w:color w:val="auto"/>
              </w:rPr>
            </w:pPr>
            <w:r>
              <w:rPr>
                <w:rFonts w:ascii="Calibri" w:cs="Calibri" w:eastAsia="Calibri" w:hAnsi="Calibri"/>
                <w:sz w:val="18"/>
                <w:szCs w:val="18"/>
                <w:color w:val="auto"/>
              </w:rPr>
              <w:t>29, 2024 and December 31, 2023, and (vi) Notes to Condensed Consolidated Financial Statements and (vii)</w:t>
            </w: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15"/>
        </w:trPr>
        <w:tc>
          <w:tcPr>
            <w:tcW w:w="840" w:type="dxa"/>
            <w:vAlign w:val="bottom"/>
          </w:tcPr>
          <w:p>
            <w:pPr>
              <w:spacing w:after="0"/>
              <w:rPr>
                <w:sz w:val="18"/>
                <w:szCs w:val="18"/>
                <w:color w:val="auto"/>
              </w:rPr>
            </w:pPr>
          </w:p>
        </w:tc>
        <w:tc>
          <w:tcPr>
            <w:tcW w:w="8000" w:type="dxa"/>
            <w:vAlign w:val="bottom"/>
            <w:gridSpan w:val="9"/>
          </w:tcPr>
          <w:p>
            <w:pPr>
              <w:spacing w:after="0" w:line="215" w:lineRule="exact"/>
              <w:rPr>
                <w:sz w:val="20"/>
                <w:szCs w:val="20"/>
                <w:color w:val="auto"/>
              </w:rPr>
            </w:pPr>
            <w:r>
              <w:rPr>
                <w:rFonts w:ascii="Calibri" w:cs="Calibri" w:eastAsia="Calibri" w:hAnsi="Calibri"/>
                <w:sz w:val="18"/>
                <w:szCs w:val="18"/>
                <w:color w:val="auto"/>
              </w:rPr>
              <w:t>the informaton set forth in Part II, Item 5.</w:t>
            </w: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840" w:type="dxa"/>
            <w:vAlign w:val="bottom"/>
          </w:tcPr>
          <w:p>
            <w:pPr>
              <w:jc w:val="right"/>
              <w:ind w:right="92"/>
              <w:spacing w:after="0"/>
              <w:rPr>
                <w:sz w:val="20"/>
                <w:szCs w:val="20"/>
                <w:color w:val="auto"/>
              </w:rPr>
            </w:pPr>
            <w:r>
              <w:rPr>
                <w:rFonts w:ascii="Calibri" w:cs="Calibri" w:eastAsia="Calibri" w:hAnsi="Calibri"/>
                <w:sz w:val="18"/>
                <w:szCs w:val="18"/>
                <w:color w:val="auto"/>
              </w:rPr>
              <w:t>104</w:t>
            </w:r>
          </w:p>
        </w:tc>
        <w:tc>
          <w:tcPr>
            <w:tcW w:w="8000" w:type="dxa"/>
            <w:vAlign w:val="bottom"/>
            <w:gridSpan w:val="9"/>
          </w:tcPr>
          <w:p>
            <w:pPr>
              <w:spacing w:after="0"/>
              <w:rPr>
                <w:sz w:val="20"/>
                <w:szCs w:val="20"/>
                <w:color w:val="auto"/>
              </w:rPr>
            </w:pPr>
            <w:r>
              <w:rPr>
                <w:rFonts w:ascii="Calibri" w:cs="Calibri" w:eastAsia="Calibri" w:hAnsi="Calibri"/>
                <w:sz w:val="18"/>
                <w:szCs w:val="18"/>
                <w:color w:val="auto"/>
              </w:rPr>
              <w:t>Cover Page Interactve Data File (embedded within the inline XBRL document)</w:t>
            </w:r>
          </w:p>
        </w:tc>
        <w:tc>
          <w:tcPr>
            <w:tcW w:w="2120" w:type="dxa"/>
            <w:vAlign w:val="bottom"/>
            <w:gridSpan w:val="3"/>
          </w:tcPr>
          <w:p>
            <w:pPr>
              <w:jc w:val="center"/>
              <w:ind w:left="130"/>
              <w:spacing w:after="0"/>
              <w:rPr>
                <w:sz w:val="20"/>
                <w:szCs w:val="20"/>
                <w:color w:val="auto"/>
              </w:rPr>
            </w:pPr>
            <w:r>
              <w:rPr>
                <w:rFonts w:ascii="Calibri" w:cs="Calibri" w:eastAsia="Calibri" w:hAnsi="Calibri"/>
                <w:sz w:val="18"/>
                <w:szCs w:val="18"/>
                <w:color w:val="auto"/>
                <w:w w:val="98"/>
              </w:rPr>
              <w:t>Filed Electronically</w:t>
            </w:r>
          </w:p>
        </w:tc>
      </w:tr>
    </w:tbl>
    <w:p>
      <w:pPr>
        <w:spacing w:after="0" w:line="200" w:lineRule="exact"/>
        <w:rPr>
          <w:sz w:val="20"/>
          <w:szCs w:val="20"/>
          <w:color w:val="auto"/>
        </w:rPr>
      </w:pPr>
    </w:p>
    <w:p>
      <w:pPr>
        <w:spacing w:after="0" w:line="377" w:lineRule="exact"/>
        <w:rPr>
          <w:sz w:val="20"/>
          <w:szCs w:val="20"/>
          <w:color w:val="auto"/>
        </w:rPr>
      </w:pPr>
    </w:p>
    <w:p>
      <w:pPr>
        <w:ind w:left="560" w:hanging="309"/>
        <w:spacing w:after="0"/>
        <w:tabs>
          <w:tab w:leader="none" w:pos="56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3.2 to the Company’s Current Report on Form 8-K dated February 26, 2021 and fled March 2, 2021.</w:t>
      </w:r>
    </w:p>
    <w:p>
      <w:pPr>
        <w:ind w:left="560" w:hanging="309"/>
        <w:spacing w:after="0" w:line="235" w:lineRule="auto"/>
        <w:tabs>
          <w:tab w:leader="none" w:pos="56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3.1 to the Company’s Current Report on Form 8-K dated October 28, 2009 and fled November 3, 2009.</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882" w:right="619" w:bottom="1440" w:gutter="0" w:footer="0" w:header="0"/>
        </w:sectPr>
      </w:pPr>
    </w:p>
    <w:bookmarkStart w:id="25" w:name="page26"/>
    <w:bookmarkEnd w:id="25"/>
    <w:p>
      <w:pPr>
        <w:spacing w:after="0" w:line="204" w:lineRule="auto"/>
        <w:framePr w:w="1800" w:h="135" w:wrap="auto" w:vAnchor="page" w:hAnchor="page" w:x="2880" w:y="2057"/>
        <w:rPr>
          <w:rFonts w:ascii="Calibri" w:cs="Calibri" w:eastAsia="Calibri" w:hAnsi="Calibri"/>
          <w:sz w:val="13"/>
          <w:szCs w:val="13"/>
          <w:color w:val="auto"/>
        </w:rPr>
      </w:pPr>
      <w:r>
        <w:rPr>
          <w:rFonts w:ascii="Calibri" w:cs="Calibri" w:eastAsia="Calibri" w:hAnsi="Calibri"/>
          <w:sz w:val="13"/>
          <w:szCs w:val="13"/>
          <w:color w:val="auto"/>
        </w:rPr>
        <w:t>/s/ Jefrey P. Oldenkamp</w:t>
      </w:r>
    </w:p>
    <w:p>
      <w:pPr>
        <w:spacing w:after="0" w:line="204" w:lineRule="auto"/>
        <w:framePr w:w="1560" w:h="135" w:wrap="auto" w:vAnchor="page" w:hAnchor="page" w:x="3000" w:y="2300"/>
        <w:rPr>
          <w:rFonts w:ascii="Calibri" w:cs="Calibri" w:eastAsia="Calibri" w:hAnsi="Calibri"/>
          <w:sz w:val="13"/>
          <w:szCs w:val="13"/>
          <w:color w:val="auto"/>
        </w:rPr>
      </w:pPr>
      <w:r>
        <w:rPr>
          <w:rFonts w:ascii="Calibri" w:cs="Calibri" w:eastAsia="Calibri" w:hAnsi="Calibri"/>
          <w:sz w:val="13"/>
          <w:szCs w:val="13"/>
          <w:color w:val="auto"/>
        </w:rPr>
        <w:t>Jefrey P. Oldenkamp</w:t>
      </w:r>
    </w:p>
    <w:p>
      <w:pPr>
        <w:spacing w:after="0" w:line="204" w:lineRule="auto"/>
        <w:framePr w:w="3720" w:h="135" w:wrap="auto" w:vAnchor="page" w:hAnchor="page" w:x="1920" w:y="2530"/>
        <w:rPr>
          <w:rFonts w:ascii="Calibri" w:cs="Calibri" w:eastAsia="Calibri" w:hAnsi="Calibri"/>
          <w:sz w:val="13"/>
          <w:szCs w:val="13"/>
          <w:color w:val="auto"/>
        </w:rPr>
      </w:pPr>
      <w:r>
        <w:rPr>
          <w:rFonts w:ascii="Calibri" w:cs="Calibri" w:eastAsia="Calibri" w:hAnsi="Calibri"/>
          <w:sz w:val="13"/>
          <w:szCs w:val="13"/>
          <w:color w:val="auto"/>
        </w:rPr>
        <w:t>Executve Vice President and Chief Financial Ofcer</w:t>
      </w:r>
    </w:p>
    <w:p>
      <w:pPr>
        <w:spacing w:after="0" w:line="204" w:lineRule="auto"/>
        <w:framePr w:w="4940" w:h="135" w:wrap="auto" w:vAnchor="page" w:hAnchor="page" w:x="1300" w:y="2759"/>
        <w:rPr>
          <w:rFonts w:ascii="Calibri" w:cs="Calibri" w:eastAsia="Calibri" w:hAnsi="Calibri"/>
          <w:sz w:val="13"/>
          <w:szCs w:val="13"/>
          <w:color w:val="auto"/>
        </w:rPr>
      </w:pPr>
      <w:r>
        <w:rPr>
          <w:rFonts w:ascii="Calibri" w:cs="Calibri" w:eastAsia="Calibri" w:hAnsi="Calibri"/>
          <w:sz w:val="13"/>
          <w:szCs w:val="13"/>
          <w:color w:val="auto"/>
        </w:rPr>
        <w:t>(On behalf of the registrant and as principal fnancial and accountng</w:t>
      </w:r>
    </w:p>
    <w:p>
      <w:pPr>
        <w:spacing w:after="0" w:line="204" w:lineRule="auto"/>
        <w:framePr w:w="580" w:h="135" w:wrap="auto" w:vAnchor="page" w:hAnchor="page" w:x="3480" w:y="2935"/>
        <w:rPr>
          <w:rFonts w:ascii="Calibri" w:cs="Calibri" w:eastAsia="Calibri" w:hAnsi="Calibri"/>
          <w:sz w:val="13"/>
          <w:szCs w:val="13"/>
          <w:color w:val="auto"/>
        </w:rPr>
      </w:pPr>
      <w:r>
        <w:rPr>
          <w:rFonts w:ascii="Calibri" w:cs="Calibri" w:eastAsia="Calibri" w:hAnsi="Calibri"/>
          <w:sz w:val="13"/>
          <w:szCs w:val="13"/>
          <w:color w:val="auto"/>
        </w:rPr>
        <w:t>ofcer)</w:t>
      </w:r>
    </w:p>
    <w:p>
      <w:pPr>
        <w:jc w:val="center"/>
        <w:ind w:right="-139"/>
        <w:spacing w:after="0"/>
        <w:rPr>
          <w:sz w:val="20"/>
          <w:szCs w:val="20"/>
          <w:color w:val="auto"/>
        </w:rPr>
      </w:pPr>
      <w:r>
        <w:rPr>
          <w:rFonts w:ascii="Calibri" w:cs="Calibri" w:eastAsia="Calibri" w:hAnsi="Calibri"/>
          <w:sz w:val="18"/>
          <w:szCs w:val="18"/>
          <w:b w:val="1"/>
          <w:bCs w:val="1"/>
          <w:color w:val="auto"/>
        </w:rPr>
        <w:t>SIGNATURES</w:t>
      </w:r>
    </w:p>
    <w:p>
      <w:pPr>
        <w:spacing w:after="0" w:line="163" w:lineRule="exact"/>
        <w:rPr>
          <w:rFonts w:ascii="Calibri" w:cs="Calibri" w:eastAsia="Calibri" w:hAnsi="Calibri"/>
          <w:sz w:val="13"/>
          <w:szCs w:val="13"/>
          <w:color w:val="auto"/>
        </w:rPr>
      </w:pPr>
    </w:p>
    <w:p>
      <w:pPr>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thereunto duly authorized.</w:t>
      </w:r>
    </w:p>
    <w:p>
      <w:pPr>
        <w:spacing w:after="0" w:line="37" w:lineRule="exact"/>
        <w:rPr>
          <w:rFonts w:ascii="Calibri" w:cs="Calibri" w:eastAsia="Calibri" w:hAnsi="Calibri"/>
          <w:sz w:val="13"/>
          <w:szCs w:val="13"/>
          <w:color w:val="auto"/>
        </w:rPr>
      </w:pPr>
    </w:p>
    <w:p>
      <w:pPr>
        <w:ind w:left="60"/>
        <w:spacing w:after="0"/>
        <w:rPr>
          <w:sz w:val="20"/>
          <w:szCs w:val="20"/>
          <w:color w:val="auto"/>
        </w:rPr>
      </w:pPr>
      <w:r>
        <w:rPr>
          <w:rFonts w:ascii="Calibri" w:cs="Calibri" w:eastAsia="Calibri" w:hAnsi="Calibri"/>
          <w:sz w:val="18"/>
          <w:szCs w:val="18"/>
          <w:color w:val="auto"/>
        </w:rPr>
        <w:t>HAWKINS, INC.</w:t>
      </w:r>
    </w:p>
    <w:p>
      <w:pPr>
        <w:spacing w:after="0" w:line="64" w:lineRule="exact"/>
        <w:rPr>
          <w:rFonts w:ascii="Calibri" w:cs="Calibri" w:eastAsia="Calibri" w:hAnsi="Calibri"/>
          <w:sz w:val="13"/>
          <w:szCs w:val="13"/>
          <w:color w:val="auto"/>
        </w:rPr>
      </w:pPr>
    </w:p>
    <w:p>
      <w:pPr>
        <w:ind w:left="60"/>
        <w:spacing w:after="0"/>
        <w:rPr>
          <w:sz w:val="20"/>
          <w:szCs w:val="20"/>
          <w:color w:val="auto"/>
        </w:rPr>
      </w:pPr>
      <w:r>
        <w:rPr>
          <w:rFonts w:ascii="Calibri" w:cs="Calibri" w:eastAsia="Calibri" w:hAnsi="Calibri"/>
          <w:sz w:val="18"/>
          <w:szCs w:val="18"/>
          <w:color w:val="auto"/>
        </w:rPr>
        <w:t>By:</w:t>
      </w:r>
    </w:p>
    <w:p>
      <w:pPr>
        <w:spacing w:after="0" w:line="20" w:lineRule="exact"/>
        <w:rPr>
          <w:rFonts w:ascii="Calibri" w:cs="Calibri" w:eastAsia="Calibri" w:hAnsi="Calibri"/>
          <w:sz w:val="13"/>
          <w:szCs w:val="13"/>
          <w:color w:val="auto"/>
        </w:rPr>
      </w:pPr>
      <w:r>
        <w:rPr>
          <w:rFonts w:ascii="Calibri" w:cs="Calibri" w:eastAsia="Calibri" w:hAnsi="Calibri"/>
          <w:sz w:val="13"/>
          <w:szCs w:val="13"/>
          <w:color w:val="auto"/>
        </w:rPr>
        <w:drawing>
          <wp:anchor simplePos="0" relativeHeight="251657728" behindDoc="1" locked="0" layoutInCell="0" allowOverlap="1">
            <wp:simplePos x="0" y="0"/>
            <wp:positionH relativeFrom="column">
              <wp:posOffset>561975</wp:posOffset>
            </wp:positionH>
            <wp:positionV relativeFrom="paragraph">
              <wp:posOffset>14605</wp:posOffset>
            </wp:positionV>
            <wp:extent cx="32658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00" w:lineRule="exact"/>
        <w:rPr>
          <w:rFonts w:ascii="Calibri" w:cs="Calibri" w:eastAsia="Calibri" w:hAnsi="Calibri"/>
          <w:sz w:val="13"/>
          <w:szCs w:val="13"/>
          <w:color w:val="auto"/>
        </w:rPr>
      </w:pPr>
    </w:p>
    <w:p>
      <w:pPr>
        <w:spacing w:after="0" w:line="200" w:lineRule="exact"/>
        <w:rPr>
          <w:rFonts w:ascii="Calibri" w:cs="Calibri" w:eastAsia="Calibri" w:hAnsi="Calibri"/>
          <w:sz w:val="13"/>
          <w:szCs w:val="13"/>
          <w:color w:val="auto"/>
        </w:rPr>
      </w:pPr>
    </w:p>
    <w:p>
      <w:pPr>
        <w:spacing w:after="0" w:line="200" w:lineRule="exact"/>
        <w:rPr>
          <w:rFonts w:ascii="Calibri" w:cs="Calibri" w:eastAsia="Calibri" w:hAnsi="Calibri"/>
          <w:sz w:val="13"/>
          <w:szCs w:val="13"/>
          <w:color w:val="auto"/>
        </w:rPr>
      </w:pPr>
    </w:p>
    <w:p>
      <w:pPr>
        <w:spacing w:after="0" w:line="200" w:lineRule="exact"/>
        <w:rPr>
          <w:rFonts w:ascii="Calibri" w:cs="Calibri" w:eastAsia="Calibri" w:hAnsi="Calibri"/>
          <w:sz w:val="13"/>
          <w:szCs w:val="13"/>
          <w:color w:val="auto"/>
        </w:rPr>
      </w:pPr>
    </w:p>
    <w:p>
      <w:pPr>
        <w:spacing w:after="0" w:line="337" w:lineRule="exact"/>
        <w:rPr>
          <w:rFonts w:ascii="Calibri" w:cs="Calibri" w:eastAsia="Calibri" w:hAnsi="Calibri"/>
          <w:sz w:val="13"/>
          <w:szCs w:val="13"/>
          <w:color w:val="auto"/>
        </w:rPr>
      </w:pPr>
    </w:p>
    <w:p>
      <w:pPr>
        <w:spacing w:after="0"/>
        <w:rPr>
          <w:sz w:val="20"/>
          <w:szCs w:val="20"/>
          <w:color w:val="auto"/>
        </w:rPr>
      </w:pPr>
      <w:r>
        <w:rPr>
          <w:rFonts w:ascii="Calibri" w:cs="Calibri" w:eastAsia="Calibri" w:hAnsi="Calibri"/>
          <w:sz w:val="18"/>
          <w:szCs w:val="18"/>
          <w:color w:val="auto"/>
        </w:rPr>
        <w:t>Dated: January 29, 2025</w:t>
      </w:r>
    </w:p>
    <w:p>
      <w:pPr>
        <w:sectPr>
          <w:pgSz w:w="11900" w:h="16838" w:orient="portrait"/>
          <w:cols w:equalWidth="0" w:num="1">
            <w:col w:w="11120"/>
          </w:cols>
          <w:pgMar w:left="320" w:top="882" w:right="459" w:bottom="1440" w:gutter="0" w:footer="0" w:header="0"/>
        </w:sectPr>
      </w:pPr>
    </w:p>
    <w:bookmarkStart w:id="26" w:name="page27"/>
    <w:bookmarkEnd w:id="26"/>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SECTION 302 OF</w:t>
      </w:r>
    </w:p>
    <w:p>
      <w:pPr>
        <w:jc w:val="center"/>
        <w:spacing w:after="0" w:line="236" w:lineRule="auto"/>
        <w:rPr>
          <w:sz w:val="20"/>
          <w:szCs w:val="20"/>
          <w:color w:val="auto"/>
        </w:rPr>
      </w:pPr>
      <w:r>
        <w:rPr>
          <w:rFonts w:ascii="Calibri" w:cs="Calibri" w:eastAsia="Calibri" w:hAnsi="Calibri"/>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CERTIFICATIONS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color w:val="auto"/>
        </w:rPr>
        <w:t>I, Patrick H. Hawkins, certfy that:</w:t>
      </w:r>
    </w:p>
    <w:p>
      <w:pPr>
        <w:spacing w:after="0" w:line="320" w:lineRule="exact"/>
        <w:rPr>
          <w:sz w:val="20"/>
          <w:szCs w:val="20"/>
          <w:color w:val="auto"/>
        </w:rPr>
      </w:pPr>
    </w:p>
    <w:p>
      <w:pPr>
        <w:ind w:left="640" w:hanging="308"/>
        <w:spacing w:after="0"/>
        <w:tabs>
          <w:tab w:leader="none" w:pos="64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Hawkins, Inc.;</w:t>
      </w:r>
    </w:p>
    <w:p>
      <w:pPr>
        <w:spacing w:after="0" w:line="95" w:lineRule="exact"/>
        <w:rPr>
          <w:rFonts w:ascii="Calibri" w:cs="Calibri" w:eastAsia="Calibri" w:hAnsi="Calibri"/>
          <w:sz w:val="18"/>
          <w:szCs w:val="18"/>
          <w:color w:val="auto"/>
        </w:rPr>
      </w:pPr>
    </w:p>
    <w:p>
      <w:pPr>
        <w:jc w:val="both"/>
        <w:ind w:left="660" w:right="140" w:hanging="328"/>
        <w:spacing w:after="0" w:line="235" w:lineRule="auto"/>
        <w:tabs>
          <w:tab w:leader="none" w:pos="645"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7" w:lineRule="exact"/>
        <w:rPr>
          <w:rFonts w:ascii="Calibri" w:cs="Calibri" w:eastAsia="Calibri" w:hAnsi="Calibri"/>
          <w:sz w:val="18"/>
          <w:szCs w:val="18"/>
          <w:color w:val="auto"/>
        </w:rPr>
      </w:pPr>
    </w:p>
    <w:p>
      <w:pPr>
        <w:ind w:left="660" w:right="220" w:hanging="328"/>
        <w:spacing w:after="0" w:line="235" w:lineRule="auto"/>
        <w:tabs>
          <w:tab w:leader="none" w:pos="645"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82" w:lineRule="exact"/>
        <w:rPr>
          <w:rFonts w:ascii="Calibri" w:cs="Calibri" w:eastAsia="Calibri" w:hAnsi="Calibri"/>
          <w:sz w:val="18"/>
          <w:szCs w:val="18"/>
          <w:color w:val="auto"/>
        </w:rPr>
      </w:pPr>
    </w:p>
    <w:p>
      <w:pPr>
        <w:ind w:left="660" w:right="80" w:hanging="328"/>
        <w:spacing w:after="0" w:line="235" w:lineRule="auto"/>
        <w:tabs>
          <w:tab w:leader="none" w:pos="645"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97" w:lineRule="exact"/>
        <w:rPr>
          <w:rFonts w:ascii="Calibri" w:cs="Calibri" w:eastAsia="Calibri" w:hAnsi="Calibri"/>
          <w:sz w:val="18"/>
          <w:szCs w:val="18"/>
          <w:color w:val="auto"/>
        </w:rPr>
      </w:pPr>
    </w:p>
    <w:p>
      <w:pPr>
        <w:ind w:left="1300" w:right="20" w:hanging="320"/>
        <w:spacing w:after="0" w:line="235" w:lineRule="auto"/>
        <w:tabs>
          <w:tab w:leader="none" w:pos="1289" w:val="left"/>
        </w:tabs>
        <w:numPr>
          <w:ilvl w:val="1"/>
          <w:numId w:val="4"/>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97" w:lineRule="exact"/>
        <w:rPr>
          <w:rFonts w:ascii="Calibri" w:cs="Calibri" w:eastAsia="Calibri" w:hAnsi="Calibri"/>
          <w:sz w:val="18"/>
          <w:szCs w:val="18"/>
          <w:color w:val="auto"/>
        </w:rPr>
      </w:pPr>
    </w:p>
    <w:p>
      <w:pPr>
        <w:ind w:left="1300" w:right="140" w:hanging="320"/>
        <w:spacing w:after="0" w:line="235" w:lineRule="auto"/>
        <w:tabs>
          <w:tab w:leader="none" w:pos="1283" w:val="left"/>
        </w:tabs>
        <w:numPr>
          <w:ilvl w:val="1"/>
          <w:numId w:val="4"/>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83" w:lineRule="exact"/>
        <w:rPr>
          <w:rFonts w:ascii="Calibri" w:cs="Calibri" w:eastAsia="Calibri" w:hAnsi="Calibri"/>
          <w:sz w:val="18"/>
          <w:szCs w:val="18"/>
          <w:color w:val="auto"/>
        </w:rPr>
      </w:pPr>
    </w:p>
    <w:p>
      <w:pPr>
        <w:jc w:val="both"/>
        <w:ind w:left="1300" w:right="240" w:hanging="320"/>
        <w:spacing w:after="0" w:line="258" w:lineRule="auto"/>
        <w:tabs>
          <w:tab w:leader="none" w:pos="1292" w:val="left"/>
        </w:tabs>
        <w:numPr>
          <w:ilvl w:val="1"/>
          <w:numId w:val="4"/>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80" w:lineRule="exact"/>
        <w:rPr>
          <w:rFonts w:ascii="Calibri" w:cs="Calibri" w:eastAsia="Calibri" w:hAnsi="Calibri"/>
          <w:sz w:val="17"/>
          <w:szCs w:val="17"/>
          <w:color w:val="auto"/>
        </w:rPr>
      </w:pPr>
    </w:p>
    <w:p>
      <w:pPr>
        <w:ind w:left="1300" w:right="20" w:hanging="320"/>
        <w:spacing w:after="0" w:line="235" w:lineRule="auto"/>
        <w:tabs>
          <w:tab w:leader="none" w:pos="1283" w:val="left"/>
        </w:tabs>
        <w:numPr>
          <w:ilvl w:val="1"/>
          <w:numId w:val="4"/>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97" w:lineRule="exact"/>
        <w:rPr>
          <w:rFonts w:ascii="Calibri" w:cs="Calibri" w:eastAsia="Calibri" w:hAnsi="Calibri"/>
          <w:sz w:val="18"/>
          <w:szCs w:val="18"/>
          <w:color w:val="auto"/>
        </w:rPr>
      </w:pPr>
    </w:p>
    <w:p>
      <w:pPr>
        <w:ind w:left="660" w:right="160" w:hanging="328"/>
        <w:spacing w:after="0" w:line="235" w:lineRule="auto"/>
        <w:tabs>
          <w:tab w:leader="none" w:pos="645"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82" w:lineRule="exact"/>
        <w:rPr>
          <w:rFonts w:ascii="Calibri" w:cs="Calibri" w:eastAsia="Calibri" w:hAnsi="Calibri"/>
          <w:sz w:val="18"/>
          <w:szCs w:val="18"/>
          <w:color w:val="auto"/>
        </w:rPr>
      </w:pPr>
    </w:p>
    <w:p>
      <w:pPr>
        <w:ind w:left="1300" w:right="680" w:hanging="320"/>
        <w:spacing w:after="0" w:line="258" w:lineRule="auto"/>
        <w:tabs>
          <w:tab w:leader="none" w:pos="1289" w:val="left"/>
        </w:tabs>
        <w:numPr>
          <w:ilvl w:val="1"/>
          <w:numId w:val="4"/>
        </w:numPr>
        <w:rPr>
          <w:rFonts w:ascii="Calibri" w:cs="Calibri" w:eastAsia="Calibri" w:hAnsi="Calibri"/>
          <w:sz w:val="17"/>
          <w:szCs w:val="17"/>
          <w:color w:val="auto"/>
        </w:rPr>
      </w:pPr>
      <w:r>
        <w:rPr>
          <w:rFonts w:ascii="Calibri" w:cs="Calibri" w:eastAsia="Calibri" w:hAnsi="Calibri"/>
          <w:sz w:val="17"/>
          <w:szCs w:val="17"/>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80" w:lineRule="exact"/>
        <w:rPr>
          <w:rFonts w:ascii="Calibri" w:cs="Calibri" w:eastAsia="Calibri" w:hAnsi="Calibri"/>
          <w:sz w:val="17"/>
          <w:szCs w:val="17"/>
          <w:color w:val="auto"/>
        </w:rPr>
      </w:pPr>
    </w:p>
    <w:p>
      <w:pPr>
        <w:ind w:left="1300" w:right="260" w:hanging="320"/>
        <w:spacing w:after="0" w:line="235" w:lineRule="auto"/>
        <w:tabs>
          <w:tab w:leader="none" w:pos="1283" w:val="left"/>
        </w:tabs>
        <w:numPr>
          <w:ilvl w:val="1"/>
          <w:numId w:val="4"/>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auto"/>
        </w:rPr>
        <w:t>Date: January 29, 2025</w:t>
      </w:r>
    </w:p>
    <w:p>
      <w:pPr>
        <w:spacing w:after="0" w:line="226" w:lineRule="exact"/>
        <w:rPr>
          <w:sz w:val="20"/>
          <w:szCs w:val="20"/>
          <w:color w:val="auto"/>
        </w:rPr>
      </w:pPr>
    </w:p>
    <w:p>
      <w:pPr>
        <w:ind w:left="5840"/>
        <w:spacing w:after="0"/>
        <w:rPr>
          <w:sz w:val="20"/>
          <w:szCs w:val="20"/>
          <w:color w:val="auto"/>
        </w:rPr>
      </w:pPr>
      <w:r>
        <w:rPr>
          <w:rFonts w:ascii="Calibri" w:cs="Calibri" w:eastAsia="Calibri" w:hAnsi="Calibri"/>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14605</wp:posOffset>
            </wp:positionV>
            <wp:extent cx="34207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Calibri" w:cs="Calibri" w:eastAsia="Calibri" w:hAnsi="Calibri"/>
          <w:sz w:val="18"/>
          <w:szCs w:val="18"/>
          <w:color w:val="auto"/>
        </w:rPr>
        <w:t>Patrick H. Hawkins</w:t>
      </w:r>
    </w:p>
    <w:p>
      <w:pPr>
        <w:spacing w:after="0" w:line="10" w:lineRule="exact"/>
        <w:rPr>
          <w:sz w:val="20"/>
          <w:szCs w:val="20"/>
          <w:color w:val="auto"/>
        </w:rPr>
      </w:pPr>
    </w:p>
    <w:p>
      <w:pPr>
        <w:ind w:left="5840"/>
        <w:spacing w:after="0"/>
        <w:rPr>
          <w:sz w:val="20"/>
          <w:szCs w:val="20"/>
          <w:color w:val="auto"/>
        </w:rPr>
      </w:pPr>
      <w:r>
        <w:rPr>
          <w:rFonts w:ascii="Calibri" w:cs="Calibri" w:eastAsia="Calibri" w:hAnsi="Calibri"/>
          <w:sz w:val="18"/>
          <w:szCs w:val="18"/>
          <w:color w:val="auto"/>
        </w:rPr>
        <w:t>Chief Executve Ofcer and President</w:t>
      </w:r>
    </w:p>
    <w:p>
      <w:pPr>
        <w:sectPr>
          <w:pgSz w:w="11900" w:h="16838" w:orient="portrait"/>
          <w:cols w:equalWidth="0" w:num="1">
            <w:col w:w="11240"/>
          </w:cols>
          <w:pgMar w:left="320" w:top="882" w:right="339" w:bottom="1440" w:gutter="0" w:footer="0" w:header="0"/>
        </w:sectPr>
      </w:pPr>
    </w:p>
    <w:bookmarkStart w:id="27" w:name="page28"/>
    <w:bookmarkEnd w:id="27"/>
    <w:p>
      <w:pPr>
        <w:jc w:val="right"/>
        <w:spacing w:after="0"/>
        <w:rPr>
          <w:sz w:val="20"/>
          <w:szCs w:val="20"/>
          <w:color w:val="auto"/>
        </w:rPr>
      </w:pPr>
      <w:r>
        <w:rPr>
          <w:rFonts w:ascii="Calibri" w:cs="Calibri" w:eastAsia="Calibri" w:hAnsi="Calibri"/>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SECTION 302 OF</w:t>
      </w:r>
    </w:p>
    <w:p>
      <w:pPr>
        <w:jc w:val="center"/>
        <w:spacing w:after="0" w:line="236" w:lineRule="auto"/>
        <w:rPr>
          <w:sz w:val="20"/>
          <w:szCs w:val="20"/>
          <w:color w:val="auto"/>
        </w:rPr>
      </w:pPr>
      <w:r>
        <w:rPr>
          <w:rFonts w:ascii="Calibri" w:cs="Calibri" w:eastAsia="Calibri" w:hAnsi="Calibri"/>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CERTIFICATIONS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color w:val="auto"/>
        </w:rPr>
        <w:t>I, Jefrey P. Oldenkamp, certfy that:</w:t>
      </w:r>
    </w:p>
    <w:p>
      <w:pPr>
        <w:spacing w:after="0" w:line="320" w:lineRule="exact"/>
        <w:rPr>
          <w:sz w:val="20"/>
          <w:szCs w:val="20"/>
          <w:color w:val="auto"/>
        </w:rPr>
      </w:pPr>
    </w:p>
    <w:p>
      <w:pPr>
        <w:ind w:left="640" w:hanging="308"/>
        <w:spacing w:after="0"/>
        <w:tabs>
          <w:tab w:leader="none" w:pos="64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Hawkins, Inc.;</w:t>
      </w:r>
    </w:p>
    <w:p>
      <w:pPr>
        <w:spacing w:after="0" w:line="95" w:lineRule="exact"/>
        <w:rPr>
          <w:rFonts w:ascii="Calibri" w:cs="Calibri" w:eastAsia="Calibri" w:hAnsi="Calibri"/>
          <w:sz w:val="18"/>
          <w:szCs w:val="18"/>
          <w:color w:val="auto"/>
        </w:rPr>
      </w:pPr>
    </w:p>
    <w:p>
      <w:pPr>
        <w:jc w:val="both"/>
        <w:ind w:left="660" w:right="140" w:hanging="328"/>
        <w:spacing w:after="0" w:line="235" w:lineRule="auto"/>
        <w:tabs>
          <w:tab w:leader="none" w:pos="645"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7" w:lineRule="exact"/>
        <w:rPr>
          <w:rFonts w:ascii="Calibri" w:cs="Calibri" w:eastAsia="Calibri" w:hAnsi="Calibri"/>
          <w:sz w:val="18"/>
          <w:szCs w:val="18"/>
          <w:color w:val="auto"/>
        </w:rPr>
      </w:pPr>
    </w:p>
    <w:p>
      <w:pPr>
        <w:ind w:left="660" w:right="220" w:hanging="328"/>
        <w:spacing w:after="0" w:line="235" w:lineRule="auto"/>
        <w:tabs>
          <w:tab w:leader="none" w:pos="645"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82" w:lineRule="exact"/>
        <w:rPr>
          <w:rFonts w:ascii="Calibri" w:cs="Calibri" w:eastAsia="Calibri" w:hAnsi="Calibri"/>
          <w:sz w:val="18"/>
          <w:szCs w:val="18"/>
          <w:color w:val="auto"/>
        </w:rPr>
      </w:pPr>
    </w:p>
    <w:p>
      <w:pPr>
        <w:ind w:left="660" w:right="80" w:hanging="328"/>
        <w:spacing w:after="0" w:line="235" w:lineRule="auto"/>
        <w:tabs>
          <w:tab w:leader="none" w:pos="645"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56" w:lineRule="exact"/>
        <w:rPr>
          <w:rFonts w:ascii="Calibri" w:cs="Calibri" w:eastAsia="Calibri" w:hAnsi="Calibri"/>
          <w:sz w:val="18"/>
          <w:szCs w:val="18"/>
          <w:color w:val="auto"/>
        </w:rPr>
      </w:pPr>
    </w:p>
    <w:p>
      <w:pPr>
        <w:ind w:left="1300" w:right="20" w:hanging="644"/>
        <w:spacing w:after="0" w:line="235" w:lineRule="auto"/>
        <w:tabs>
          <w:tab w:leader="none" w:pos="1289" w:val="left"/>
        </w:tabs>
        <w:numPr>
          <w:ilvl w:val="1"/>
          <w:numId w:val="5"/>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56" w:lineRule="exact"/>
        <w:rPr>
          <w:rFonts w:ascii="Calibri" w:cs="Calibri" w:eastAsia="Calibri" w:hAnsi="Calibri"/>
          <w:sz w:val="18"/>
          <w:szCs w:val="18"/>
          <w:color w:val="auto"/>
        </w:rPr>
      </w:pPr>
    </w:p>
    <w:p>
      <w:pPr>
        <w:ind w:left="1300" w:right="140" w:hanging="644"/>
        <w:spacing w:after="0" w:line="235" w:lineRule="auto"/>
        <w:tabs>
          <w:tab w:leader="none" w:pos="1283" w:val="left"/>
        </w:tabs>
        <w:numPr>
          <w:ilvl w:val="1"/>
          <w:numId w:val="5"/>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56" w:lineRule="exact"/>
        <w:rPr>
          <w:rFonts w:ascii="Calibri" w:cs="Calibri" w:eastAsia="Calibri" w:hAnsi="Calibri"/>
          <w:sz w:val="18"/>
          <w:szCs w:val="18"/>
          <w:color w:val="auto"/>
        </w:rPr>
      </w:pPr>
    </w:p>
    <w:p>
      <w:pPr>
        <w:jc w:val="both"/>
        <w:ind w:left="1300" w:right="240" w:hanging="644"/>
        <w:spacing w:after="0" w:line="258" w:lineRule="auto"/>
        <w:tabs>
          <w:tab w:leader="none" w:pos="1292" w:val="left"/>
        </w:tabs>
        <w:numPr>
          <w:ilvl w:val="1"/>
          <w:numId w:val="5"/>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39" w:lineRule="exact"/>
        <w:rPr>
          <w:rFonts w:ascii="Calibri" w:cs="Calibri" w:eastAsia="Calibri" w:hAnsi="Calibri"/>
          <w:sz w:val="17"/>
          <w:szCs w:val="17"/>
          <w:color w:val="auto"/>
        </w:rPr>
      </w:pPr>
    </w:p>
    <w:p>
      <w:pPr>
        <w:ind w:left="1300" w:right="20" w:hanging="644"/>
        <w:spacing w:after="0" w:line="235" w:lineRule="auto"/>
        <w:tabs>
          <w:tab w:leader="none" w:pos="1283" w:val="left"/>
        </w:tabs>
        <w:numPr>
          <w:ilvl w:val="1"/>
          <w:numId w:val="5"/>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97" w:lineRule="exact"/>
        <w:rPr>
          <w:rFonts w:ascii="Calibri" w:cs="Calibri" w:eastAsia="Calibri" w:hAnsi="Calibri"/>
          <w:sz w:val="18"/>
          <w:szCs w:val="18"/>
          <w:color w:val="auto"/>
        </w:rPr>
      </w:pPr>
    </w:p>
    <w:p>
      <w:pPr>
        <w:ind w:left="660" w:right="160" w:hanging="328"/>
        <w:spacing w:after="0" w:line="235" w:lineRule="auto"/>
        <w:tabs>
          <w:tab w:leader="none" w:pos="645"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55" w:lineRule="exact"/>
        <w:rPr>
          <w:rFonts w:ascii="Calibri" w:cs="Calibri" w:eastAsia="Calibri" w:hAnsi="Calibri"/>
          <w:sz w:val="18"/>
          <w:szCs w:val="18"/>
          <w:color w:val="auto"/>
        </w:rPr>
      </w:pPr>
    </w:p>
    <w:p>
      <w:pPr>
        <w:ind w:left="1300" w:right="680" w:hanging="644"/>
        <w:spacing w:after="0" w:line="258" w:lineRule="auto"/>
        <w:tabs>
          <w:tab w:leader="none" w:pos="1289" w:val="left"/>
        </w:tabs>
        <w:numPr>
          <w:ilvl w:val="1"/>
          <w:numId w:val="5"/>
        </w:numPr>
        <w:rPr>
          <w:rFonts w:ascii="Calibri" w:cs="Calibri" w:eastAsia="Calibri" w:hAnsi="Calibri"/>
          <w:sz w:val="17"/>
          <w:szCs w:val="17"/>
          <w:color w:val="auto"/>
        </w:rPr>
      </w:pPr>
      <w:r>
        <w:rPr>
          <w:rFonts w:ascii="Calibri" w:cs="Calibri" w:eastAsia="Calibri" w:hAnsi="Calibri"/>
          <w:sz w:val="17"/>
          <w:szCs w:val="17"/>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39" w:lineRule="exact"/>
        <w:rPr>
          <w:rFonts w:ascii="Calibri" w:cs="Calibri" w:eastAsia="Calibri" w:hAnsi="Calibri"/>
          <w:sz w:val="17"/>
          <w:szCs w:val="17"/>
          <w:color w:val="auto"/>
        </w:rPr>
      </w:pPr>
    </w:p>
    <w:p>
      <w:pPr>
        <w:ind w:left="1300" w:right="260" w:hanging="644"/>
        <w:spacing w:after="0" w:line="235" w:lineRule="auto"/>
        <w:tabs>
          <w:tab w:leader="none" w:pos="1283" w:val="left"/>
        </w:tabs>
        <w:numPr>
          <w:ilvl w:val="1"/>
          <w:numId w:val="5"/>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auto"/>
        </w:rPr>
        <w:t>Date: January 29, 2025</w:t>
      </w:r>
    </w:p>
    <w:p>
      <w:pPr>
        <w:spacing w:after="0" w:line="226" w:lineRule="exact"/>
        <w:rPr>
          <w:sz w:val="20"/>
          <w:szCs w:val="20"/>
          <w:color w:val="auto"/>
        </w:rPr>
      </w:pPr>
    </w:p>
    <w:p>
      <w:pPr>
        <w:ind w:left="6000"/>
        <w:spacing w:after="0"/>
        <w:rPr>
          <w:sz w:val="20"/>
          <w:szCs w:val="20"/>
          <w:color w:val="auto"/>
        </w:rPr>
      </w:pPr>
      <w:r>
        <w:rPr>
          <w:rFonts w:ascii="Calibri" w:cs="Calibri" w:eastAsia="Calibri" w:hAnsi="Calibri"/>
          <w:sz w:val="18"/>
          <w:szCs w:val="18"/>
          <w:color w:val="auto"/>
        </w:rPr>
        <w:t>/s/ Jefrey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261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Calibri" w:cs="Calibri" w:eastAsia="Calibri" w:hAnsi="Calibri"/>
          <w:sz w:val="18"/>
          <w:szCs w:val="18"/>
          <w:color w:val="auto"/>
        </w:rPr>
        <w:t>Jefrey P. Oldenkamp</w:t>
      </w:r>
    </w:p>
    <w:p>
      <w:pPr>
        <w:spacing w:after="0" w:line="10" w:lineRule="exact"/>
        <w:rPr>
          <w:sz w:val="20"/>
          <w:szCs w:val="20"/>
          <w:color w:val="auto"/>
        </w:rPr>
      </w:pPr>
    </w:p>
    <w:p>
      <w:pPr>
        <w:ind w:left="6000"/>
        <w:spacing w:after="0"/>
        <w:rPr>
          <w:sz w:val="20"/>
          <w:szCs w:val="20"/>
          <w:color w:val="auto"/>
        </w:rPr>
      </w:pPr>
      <w:r>
        <w:rPr>
          <w:rFonts w:ascii="Calibri" w:cs="Calibri" w:eastAsia="Calibri" w:hAnsi="Calibri"/>
          <w:sz w:val="18"/>
          <w:szCs w:val="18"/>
          <w:color w:val="auto"/>
        </w:rPr>
        <w:t>Executve Vice President and Chief Financial Ofcer</w:t>
      </w:r>
    </w:p>
    <w:p>
      <w:pPr>
        <w:sectPr>
          <w:pgSz w:w="11900" w:h="16838" w:orient="portrait"/>
          <w:cols w:equalWidth="0" w:num="1">
            <w:col w:w="11240"/>
          </w:cols>
          <w:pgMar w:left="320" w:top="882" w:right="339" w:bottom="1440" w:gutter="0" w:footer="0" w:header="0"/>
        </w:sectPr>
      </w:pPr>
    </w:p>
    <w:bookmarkStart w:id="28" w:name="page29"/>
    <w:bookmarkEnd w:id="28"/>
    <w:p>
      <w:pPr>
        <w:jc w:val="right"/>
        <w:spacing w:after="0"/>
        <w:rPr>
          <w:sz w:val="20"/>
          <w:szCs w:val="20"/>
          <w:color w:val="auto"/>
        </w:rPr>
      </w:pPr>
      <w:r>
        <w:rPr>
          <w:rFonts w:ascii="Calibri" w:cs="Calibri" w:eastAsia="Calibri" w:hAnsi="Calibri"/>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18 U.S.C. SECTION 1350,</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w:t>
      </w:r>
    </w:p>
    <w:p>
      <w:pPr>
        <w:jc w:val="center"/>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164"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In connecton with the Quarterly Report of Hawkins, Inc. (the Company) on Form 10-Q for the period ended December 29, 2024, as fled with the Securites and Exchange Commission on the date hereof (the Report), I, Patrick H. Hawkins, Chief Executve Ofcer and President of the Company, certfy, pursuant to 18 U.S.C. § 1350, as adopted pursuant to § 906 of the Sarbanes-Oxley Act of 2002, that:</w:t>
      </w:r>
    </w:p>
    <w:p>
      <w:pPr>
        <w:spacing w:after="0" w:line="92" w:lineRule="exact"/>
        <w:rPr>
          <w:sz w:val="20"/>
          <w:szCs w:val="20"/>
          <w:color w:val="auto"/>
        </w:rPr>
      </w:pPr>
    </w:p>
    <w:p>
      <w:pPr>
        <w:ind w:left="460"/>
        <w:spacing w:after="0"/>
        <w:rPr>
          <w:sz w:val="20"/>
          <w:szCs w:val="20"/>
          <w:color w:val="auto"/>
        </w:rPr>
      </w:pPr>
      <w:r>
        <w:rPr>
          <w:rFonts w:ascii="Calibri" w:cs="Calibri" w:eastAsia="Calibri" w:hAnsi="Calibri"/>
          <w:sz w:val="18"/>
          <w:szCs w:val="18"/>
          <w:color w:val="auto"/>
        </w:rPr>
        <w:t>(1) The Report fully complies with the requirements of secton 13(a) or 15(d) of the Securites Exchange Act of 1934;</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color w:val="auto"/>
        </w:rPr>
        <w:t>and</w:t>
      </w:r>
    </w:p>
    <w:p>
      <w:pPr>
        <w:spacing w:after="0" w:line="163" w:lineRule="exact"/>
        <w:rPr>
          <w:sz w:val="20"/>
          <w:szCs w:val="20"/>
          <w:color w:val="auto"/>
        </w:rPr>
      </w:pPr>
    </w:p>
    <w:p>
      <w:pPr>
        <w:ind w:left="60" w:right="260" w:firstLine="393"/>
        <w:spacing w:after="0" w:line="272" w:lineRule="auto"/>
        <w:tabs>
          <w:tab w:leader="none" w:pos="686"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 /s/ Patrick H. Hawkins</w:t>
      </w:r>
    </w:p>
    <w:p>
      <w:pPr>
        <w:ind w:left="60"/>
        <w:spacing w:after="0"/>
        <w:rPr>
          <w:rFonts w:ascii="Calibri" w:cs="Calibri" w:eastAsia="Calibri" w:hAnsi="Calibri"/>
          <w:sz w:val="18"/>
          <w:szCs w:val="18"/>
          <w:color w:val="auto"/>
        </w:rPr>
      </w:pPr>
      <w:r>
        <w:rPr>
          <w:rFonts w:ascii="Calibri" w:cs="Calibri" w:eastAsia="Calibri" w:hAnsi="Calibri"/>
          <w:sz w:val="18"/>
          <w:szCs w:val="18"/>
          <w:color w:val="auto"/>
        </w:rPr>
        <w:t>Patrick H. Hawkins</w:t>
      </w:r>
    </w:p>
    <w:p>
      <w:pPr>
        <w:spacing w:after="0" w:line="14" w:lineRule="exact"/>
        <w:rPr>
          <w:rFonts w:ascii="Calibri" w:cs="Calibri" w:eastAsia="Calibri" w:hAnsi="Calibri"/>
          <w:sz w:val="18"/>
          <w:szCs w:val="18"/>
          <w:color w:val="auto"/>
        </w:rPr>
      </w:pPr>
    </w:p>
    <w:p>
      <w:pPr>
        <w:ind w:left="60" w:right="8560"/>
        <w:spacing w:after="0" w:line="245" w:lineRule="auto"/>
        <w:rPr>
          <w:rFonts w:ascii="Calibri" w:cs="Calibri" w:eastAsia="Calibri" w:hAnsi="Calibri"/>
          <w:sz w:val="18"/>
          <w:szCs w:val="18"/>
          <w:color w:val="auto"/>
        </w:rPr>
      </w:pPr>
      <w:r>
        <w:rPr>
          <w:rFonts w:ascii="Calibri" w:cs="Calibri" w:eastAsia="Calibri" w:hAnsi="Calibri"/>
          <w:sz w:val="18"/>
          <w:szCs w:val="18"/>
          <w:color w:val="auto"/>
        </w:rPr>
        <w:t>Chief Executve Ofcer and President January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-433070</wp:posOffset>
            </wp:positionV>
            <wp:extent cx="25888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9" w:name="page30"/>
    <w:bookmarkEnd w:id="29"/>
    <w:p>
      <w:pPr>
        <w:jc w:val="right"/>
        <w:spacing w:after="0"/>
        <w:rPr>
          <w:sz w:val="20"/>
          <w:szCs w:val="20"/>
          <w:color w:val="auto"/>
        </w:rPr>
      </w:pPr>
      <w:r>
        <w:rPr>
          <w:rFonts w:ascii="Calibri" w:cs="Calibri" w:eastAsia="Calibri" w:hAnsi="Calibri"/>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18 U.S.C. SECTION 1350,</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w:t>
      </w:r>
    </w:p>
    <w:p>
      <w:pPr>
        <w:jc w:val="center"/>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164"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In connecton with the Quarterly Report of Hawkins, Inc. (the Company) on Form 10-Q for the period ended December 29, 2024, as fled with the Securites and Exchange Commission on the date hereof (the Report), I, Jefrey P. Oldenkamp, Chief Financial Ofcer of the Company, certfy, pursuant to 18 U.S.C. § 1350, as adopted pursuant to § 906 of the Sarbanes-Oxley Act of 2002, that:</w:t>
      </w:r>
    </w:p>
    <w:p>
      <w:pPr>
        <w:spacing w:after="0" w:line="92" w:lineRule="exact"/>
        <w:rPr>
          <w:sz w:val="20"/>
          <w:szCs w:val="20"/>
          <w:color w:val="auto"/>
        </w:rPr>
      </w:pPr>
    </w:p>
    <w:p>
      <w:pPr>
        <w:ind w:left="460"/>
        <w:spacing w:after="0"/>
        <w:rPr>
          <w:sz w:val="20"/>
          <w:szCs w:val="20"/>
          <w:color w:val="auto"/>
        </w:rPr>
      </w:pPr>
      <w:r>
        <w:rPr>
          <w:rFonts w:ascii="Calibri" w:cs="Calibri" w:eastAsia="Calibri" w:hAnsi="Calibri"/>
          <w:sz w:val="18"/>
          <w:szCs w:val="18"/>
          <w:color w:val="auto"/>
        </w:rPr>
        <w:t>(1) The Report fully complies with the requirements of secton 13(a) or 15(d) of the Securites Exchange Act of 1934;</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color w:val="auto"/>
        </w:rPr>
        <w:t>and</w:t>
      </w:r>
    </w:p>
    <w:p>
      <w:pPr>
        <w:spacing w:after="0" w:line="163" w:lineRule="exact"/>
        <w:rPr>
          <w:sz w:val="20"/>
          <w:szCs w:val="20"/>
          <w:color w:val="auto"/>
        </w:rPr>
      </w:pPr>
    </w:p>
    <w:p>
      <w:pPr>
        <w:ind w:left="60" w:right="260" w:firstLine="393"/>
        <w:spacing w:after="0" w:line="272" w:lineRule="auto"/>
        <w:tabs>
          <w:tab w:leader="none" w:pos="686"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 /s/ Jefrey P. Oldenkamp</w:t>
      </w:r>
    </w:p>
    <w:p>
      <w:pPr>
        <w:ind w:left="60"/>
        <w:spacing w:after="0"/>
        <w:rPr>
          <w:rFonts w:ascii="Calibri" w:cs="Calibri" w:eastAsia="Calibri" w:hAnsi="Calibri"/>
          <w:sz w:val="18"/>
          <w:szCs w:val="18"/>
          <w:color w:val="auto"/>
        </w:rPr>
      </w:pPr>
      <w:r>
        <w:rPr>
          <w:rFonts w:ascii="Calibri" w:cs="Calibri" w:eastAsia="Calibri" w:hAnsi="Calibri"/>
          <w:sz w:val="18"/>
          <w:szCs w:val="18"/>
          <w:color w:val="auto"/>
        </w:rPr>
        <w:t>Jefrey P. Oldenkamp</w:t>
      </w:r>
    </w:p>
    <w:p>
      <w:pPr>
        <w:spacing w:after="0" w:line="14" w:lineRule="exact"/>
        <w:rPr>
          <w:rFonts w:ascii="Calibri" w:cs="Calibri" w:eastAsia="Calibri" w:hAnsi="Calibri"/>
          <w:sz w:val="18"/>
          <w:szCs w:val="18"/>
          <w:color w:val="auto"/>
        </w:rPr>
      </w:pPr>
    </w:p>
    <w:p>
      <w:pPr>
        <w:ind w:left="60" w:right="7540"/>
        <w:spacing w:after="0" w:line="245" w:lineRule="auto"/>
        <w:rPr>
          <w:rFonts w:ascii="Calibri" w:cs="Calibri" w:eastAsia="Calibri" w:hAnsi="Calibri"/>
          <w:sz w:val="18"/>
          <w:szCs w:val="18"/>
          <w:color w:val="auto"/>
        </w:rPr>
      </w:pPr>
      <w:r>
        <w:rPr>
          <w:rFonts w:ascii="Calibri" w:cs="Calibri" w:eastAsia="Calibri" w:hAnsi="Calibri"/>
          <w:sz w:val="18"/>
          <w:szCs w:val="18"/>
          <w:color w:val="auto"/>
        </w:rPr>
        <w:t>Executve Vice President and Chief Financial Ofcer January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-433070</wp:posOffset>
            </wp:positionV>
            <wp:extent cx="32575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19" Type="http://schemas.openxmlformats.org/officeDocument/2006/relationships/hyperlink" Target="https://www.sec.gov/ix?doc=/Archives/edgar/data/46250/000004625024000013/hwkn-20240331.htm" TargetMode="External"/><Relationship Id="rId49" Type="http://schemas.openxmlformats.org/officeDocument/2006/relationships/hyperlink" Target="https://www.sec.gov/Archives/edgar/data/46250/000004625021000012/exhibit32.htm" TargetMode="External"/><Relationship Id="rId50" Type="http://schemas.openxmlformats.org/officeDocument/2006/relationships/hyperlink" Target="https://www.sec.gov/Archives/edgar/data/46250/000089710109002205/hawkins095018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2025-01-29T15:30:42Z</dcterms:created>
  <dcterms:modified xsi:type="dcterms:W3CDTF">2025-01-29T15:30:42Z</dcterms:modified>
</cp:coreProperties>
</file>