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Calibri;sans-serif" w:hAnsi="Calibri;sans-serif"/>
          <w:b/>
          <w:color w:val="000000"/>
          <w:sz w:val="32"/>
        </w:rPr>
      </w:pPr>
      <w:r>
        <w:rPr>
          <w:rFonts w:ascii="Calibri;sans-serif" w:hAnsi="Calibri;sans-serif"/>
          <w:b/>
          <w:color w:val="000000"/>
          <w:sz w:val="32"/>
        </w:rPr>
        <w:t>UNITED STATES</w:t>
      </w:r>
    </w:p>
    <w:p>
      <w:pPr>
        <w:pStyle w:val="TextBody"/>
        <w:bidi w:val="0"/>
        <w:spacing w:lineRule="auto" w:line="288" w:before="0" w:after="0"/>
        <w:jc w:val="center"/>
        <w:rPr>
          <w:rFonts w:ascii="Calibri;sans-serif" w:hAnsi="Calibri;sans-serif"/>
          <w:b/>
          <w:color w:val="000000"/>
          <w:sz w:val="32"/>
        </w:rPr>
      </w:pPr>
      <w:r>
        <w:rPr>
          <w:rFonts w:ascii="Calibri;sans-serif" w:hAnsi="Calibri;sans-serif"/>
          <w:b/>
          <w:color w:val="000000"/>
          <w:sz w:val="32"/>
        </w:rPr>
        <w:t>SECURITIES AND EXCHANGE COMMISSION</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WASHINGTON, D.C. 20549</w:t>
      </w:r>
    </w:p>
    <w:tbl>
      <w:tblPr>
        <w:tblW w:w="1679" w:type="dxa"/>
        <w:jc w:val="center"/>
        <w:tblInd w:w="0" w:type="dxa"/>
        <w:tblLayout w:type="fixed"/>
        <w:tblCellMar>
          <w:top w:w="28" w:type="dxa"/>
          <w:left w:w="28" w:type="dxa"/>
          <w:bottom w:w="28" w:type="dxa"/>
          <w:right w:w="28" w:type="dxa"/>
        </w:tblCellMar>
      </w:tblPr>
      <w:tblGrid>
        <w:gridCol w:w="537"/>
        <w:gridCol w:w="471"/>
        <w:gridCol w:w="671"/>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Calibri;sans-serif" w:hAnsi="Calibri;sans-serif"/>
                <w:b/>
                <w:color w:val="000000"/>
                <w:sz w:val="32"/>
              </w:rPr>
            </w:pPr>
            <w:r>
              <w:rPr>
                <w:rFonts w:ascii="Calibri;sans-serif" w:hAnsi="Calibri;sans-serif"/>
                <w:b/>
                <w:color w:val="000000"/>
                <w:sz w:val="32"/>
              </w:rPr>
              <w:t>FORM 10-Q</w:t>
            </w:r>
          </w:p>
        </w:tc>
      </w:tr>
    </w:tbl>
    <w:tbl>
      <w:tblPr>
        <w:tblW w:w="6412" w:type="dxa"/>
        <w:jc w:val="center"/>
        <w:tblInd w:w="0" w:type="dxa"/>
        <w:tblLayout w:type="fixed"/>
        <w:tblCellMar>
          <w:top w:w="28" w:type="dxa"/>
          <w:left w:w="28" w:type="dxa"/>
          <w:bottom w:w="28" w:type="dxa"/>
          <w:right w:w="28" w:type="dxa"/>
        </w:tblCellMar>
      </w:tblPr>
      <w:tblGrid>
        <w:gridCol w:w="124"/>
        <w:gridCol w:w="109"/>
        <w:gridCol w:w="109"/>
        <w:gridCol w:w="643"/>
        <w:gridCol w:w="643"/>
        <w:gridCol w:w="643"/>
        <w:gridCol w:w="643"/>
        <w:gridCol w:w="643"/>
        <w:gridCol w:w="643"/>
        <w:gridCol w:w="643"/>
        <w:gridCol w:w="643"/>
        <w:gridCol w:w="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QUARTERLY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SECURITIES EXCHANGE ACT OF 1934</w:t>
            </w:r>
          </w:p>
        </w:tc>
      </w:tr>
    </w:tbl>
    <w:p>
      <w:pPr>
        <w:pStyle w:val="TextBody"/>
        <w:bidi w:val="0"/>
        <w:spacing w:lineRule="auto" w:line="288" w:before="180" w:after="120"/>
        <w:jc w:val="center"/>
        <w:rPr>
          <w:rFonts w:ascii="Calibri;sans-serif" w:hAnsi="Calibri;sans-serif"/>
          <w:b/>
          <w:color w:val="000000"/>
          <w:sz w:val="20"/>
        </w:rPr>
      </w:pPr>
      <w:r>
        <w:rPr>
          <w:rFonts w:ascii="Calibri;sans-serif" w:hAnsi="Calibri;sans-serif"/>
          <w:b/>
          <w:color w:val="000000"/>
          <w:sz w:val="20"/>
        </w:rPr>
        <w:t>For the quarterly period ended December 31, 2023</w:t>
      </w:r>
    </w:p>
    <w:tbl>
      <w:tblPr>
        <w:tblW w:w="6458" w:type="dxa"/>
        <w:jc w:val="center"/>
        <w:tblInd w:w="0" w:type="dxa"/>
        <w:tblLayout w:type="fixed"/>
        <w:tblCellMar>
          <w:top w:w="28" w:type="dxa"/>
          <w:left w:w="28" w:type="dxa"/>
          <w:bottom w:w="28" w:type="dxa"/>
          <w:right w:w="28" w:type="dxa"/>
        </w:tblCellMar>
      </w:tblPr>
      <w:tblGrid>
        <w:gridCol w:w="124"/>
        <w:gridCol w:w="109"/>
        <w:gridCol w:w="109"/>
        <w:gridCol w:w="649"/>
        <w:gridCol w:w="649"/>
        <w:gridCol w:w="649"/>
        <w:gridCol w:w="649"/>
        <w:gridCol w:w="649"/>
        <w:gridCol w:w="649"/>
        <w:gridCol w:w="649"/>
        <w:gridCol w:w="649"/>
        <w:gridCol w:w="9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TRANSITION REPORT PURSUANT TO SECTION 13 OR 15(d) OF THE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2"/>
              </w:rPr>
            </w:pPr>
            <w:r>
              <w:rPr>
                <w:rFonts w:ascii="Calibri;sans-serif" w:hAnsi="Calibri;sans-serif"/>
                <w:b/>
                <w:color w:val="000000"/>
                <w:sz w:val="22"/>
              </w:rPr>
              <w:t>SECURITIES EXCHANGE ACT OF 1934</w:t>
            </w:r>
          </w:p>
        </w:tc>
      </w:tr>
    </w:tbl>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Commission file number 0-7647</w:t>
      </w:r>
    </w:p>
    <w:tbl>
      <w:tblPr>
        <w:tblW w:w="3659" w:type="dxa"/>
        <w:jc w:val="center"/>
        <w:tblInd w:w="0" w:type="dxa"/>
        <w:tblLayout w:type="fixed"/>
        <w:tblCellMar>
          <w:top w:w="28" w:type="dxa"/>
          <w:left w:w="28" w:type="dxa"/>
          <w:bottom w:w="28" w:type="dxa"/>
          <w:right w:w="28" w:type="dxa"/>
        </w:tblCellMar>
      </w:tblPr>
      <w:tblGrid>
        <w:gridCol w:w="1173"/>
        <w:gridCol w:w="1030"/>
        <w:gridCol w:w="1456"/>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36"/>
              </w:rPr>
            </w:pPr>
            <w:r>
              <w:rPr>
                <w:rFonts w:ascii="Calibri;sans-serif" w:hAnsi="Calibri;sans-serif"/>
                <w:b/>
                <w:color w:val="000000"/>
                <w:sz w:val="36"/>
              </w:rPr>
              <w:t>HAWKINS, INC.</w:t>
            </w:r>
          </w:p>
        </w:tc>
      </w:tr>
      <w:tr>
        <w:trPr/>
        <w:tc>
          <w:tcPr>
            <w:tcW w:w="3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(Exact name of registrant as specified in its charter) </w:t>
            </w:r>
          </w:p>
        </w:tc>
      </w:tr>
    </w:tbl>
    <w:tbl>
      <w:tblPr>
        <w:tblW w:w="3867" w:type="dxa"/>
        <w:jc w:val="center"/>
        <w:tblInd w:w="0" w:type="dxa"/>
        <w:tblLayout w:type="fixed"/>
        <w:tblCellMar>
          <w:top w:w="28" w:type="dxa"/>
          <w:left w:w="28" w:type="dxa"/>
          <w:bottom w:w="28" w:type="dxa"/>
          <w:right w:w="28" w:type="dxa"/>
        </w:tblCellMar>
      </w:tblPr>
      <w:tblGrid>
        <w:gridCol w:w="782"/>
        <w:gridCol w:w="685"/>
        <w:gridCol w:w="693"/>
        <w:gridCol w:w="109"/>
        <w:gridCol w:w="109"/>
        <w:gridCol w:w="109"/>
        <w:gridCol w:w="403"/>
        <w:gridCol w:w="403"/>
        <w:gridCol w:w="574"/>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41-0771293</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(State or other jurisdiction of</w:t>
              <w:br/>
              <w:t>incorporation or organization)</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(I.R.S. Employer</w:t>
              <w:br/>
              <w:t>Identification No.)</w:t>
            </w:r>
          </w:p>
        </w:tc>
      </w:tr>
    </w:tbl>
    <w:tbl>
      <w:tblPr>
        <w:tblW w:w="3928" w:type="dxa"/>
        <w:jc w:val="center"/>
        <w:tblInd w:w="0" w:type="dxa"/>
        <w:tblLayout w:type="fixed"/>
        <w:tblCellMar>
          <w:top w:w="28" w:type="dxa"/>
          <w:left w:w="28" w:type="dxa"/>
          <w:bottom w:w="28" w:type="dxa"/>
          <w:right w:w="28" w:type="dxa"/>
        </w:tblCellMar>
      </w:tblPr>
      <w:tblGrid>
        <w:gridCol w:w="1125"/>
        <w:gridCol w:w="986"/>
        <w:gridCol w:w="993"/>
        <w:gridCol w:w="241"/>
        <w:gridCol w:w="241"/>
        <w:gridCol w:w="342"/>
      </w:tblGrid>
      <w:tr>
        <w:trPr/>
        <w:tc>
          <w:tcPr>
            <w:tcW w:w="112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Calibri;sans-serif" w:hAnsi="Calibri;sans-serif"/>
                <w:b/>
                <w:color w:val="000000"/>
                <w:sz w:val="20"/>
              </w:rPr>
            </w:pPr>
            <w:r>
              <w:rPr>
                <w:rFonts w:ascii="Calibri;sans-serif" w:hAnsi="Calibri;sans-serif"/>
                <w:b/>
                <w:color w:val="000000"/>
                <w:sz w:val="20"/>
              </w:rPr>
              <w:t>2381 Rosegate, Roseville, Minnesota</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55113</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Calibri;sans-serif" w:hAnsi="Calibri;sans-serif"/>
                <w:b/>
                <w:color w:val="000000"/>
                <w:sz w:val="16"/>
              </w:rPr>
            </w:pPr>
            <w:r>
              <w:rPr>
                <w:rFonts w:ascii="Calibri;sans-serif" w:hAnsi="Calibri;sans-serif"/>
                <w:b/>
                <w:color w:val="000000"/>
                <w:sz w:val="16"/>
              </w:rPr>
              <w:t>(Address of principal executive offices)</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(Zip code)</w:t>
            </w:r>
          </w:p>
        </w:tc>
      </w:tr>
    </w:tbl>
    <w:tbl>
      <w:tblPr>
        <w:tblW w:w="3839" w:type="dxa"/>
        <w:jc w:val="center"/>
        <w:tblInd w:w="0" w:type="dxa"/>
        <w:tblLayout w:type="fixed"/>
        <w:tblCellMar>
          <w:top w:w="28" w:type="dxa"/>
          <w:left w:w="28" w:type="dxa"/>
          <w:bottom w:w="28" w:type="dxa"/>
          <w:right w:w="28" w:type="dxa"/>
        </w:tblCellMar>
      </w:tblPr>
      <w:tblGrid>
        <w:gridCol w:w="1226"/>
        <w:gridCol w:w="1080"/>
        <w:gridCol w:w="1533"/>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80" w:after="283"/>
              <w:jc w:val="center"/>
              <w:rPr>
                <w:rFonts w:ascii="Calibri;sans-serif" w:hAnsi="Calibri;sans-serif"/>
                <w:b/>
                <w:color w:val="000000"/>
                <w:sz w:val="20"/>
              </w:rPr>
            </w:pPr>
            <w:r>
              <w:rPr>
                <w:rFonts w:ascii="Calibri;sans-serif" w:hAnsi="Calibri;sans-serif"/>
                <w:b/>
                <w:color w:val="000000"/>
                <w:sz w:val="20"/>
              </w:rPr>
              <w:t>(612) 331-6910</w:t>
            </w:r>
          </w:p>
        </w:tc>
      </w:tr>
      <w:tr>
        <w:trPr/>
        <w:tc>
          <w:tcPr>
            <w:tcW w:w="38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(Registrant’s telephone number, including area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120"/>
        <w:jc w:val="left"/>
        <w:rPr>
          <w:rFonts w:ascii="Calibri;sans-serif" w:hAnsi="Calibri;sans-serif"/>
          <w:b w:val="false"/>
          <w:color w:val="000000"/>
          <w:sz w:val="20"/>
        </w:rPr>
      </w:pPr>
      <w:r>
        <w:rPr>
          <w:rFonts w:ascii="Calibri;sans-serif" w:hAnsi="Calibri;sans-serif"/>
          <w:b w:val="false"/>
          <w:color w:val="000000"/>
          <w:sz w:val="20"/>
        </w:rPr>
        <w:t>Securities registered pursuant to Section 12(b) of the Act:</w:t>
      </w:r>
    </w:p>
    <w:tbl>
      <w:tblPr>
        <w:tblW w:w="7962" w:type="dxa"/>
        <w:jc w:val="left"/>
        <w:tblInd w:w="0" w:type="dxa"/>
        <w:tblLayout w:type="fixed"/>
        <w:tblCellMar>
          <w:top w:w="28" w:type="dxa"/>
          <w:left w:w="28" w:type="dxa"/>
          <w:bottom w:w="28" w:type="dxa"/>
          <w:right w:w="28" w:type="dxa"/>
        </w:tblCellMar>
      </w:tblPr>
      <w:tblGrid>
        <w:gridCol w:w="1112"/>
        <w:gridCol w:w="978"/>
        <w:gridCol w:w="984"/>
        <w:gridCol w:w="484"/>
        <w:gridCol w:w="484"/>
        <w:gridCol w:w="486"/>
        <w:gridCol w:w="1006"/>
        <w:gridCol w:w="1006"/>
        <w:gridCol w:w="1422"/>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Trading Symbol(s)</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Name of each exchange on which registered</w:t>
            </w:r>
          </w:p>
        </w:tc>
      </w:tr>
      <w:tr>
        <w:trPr/>
        <w:tc>
          <w:tcPr>
            <w:tcW w:w="3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Common Stock, par value $.01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HWKN</w:t>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The Nasdaq Stock Market LLC</w:t>
            </w:r>
          </w:p>
        </w:tc>
      </w:tr>
    </w:tbl>
    <w:p>
      <w:pPr>
        <w:pStyle w:val="TextBody"/>
        <w:bidi w:val="0"/>
        <w:spacing w:lineRule="auto" w:line="288" w:before="180" w:after="283"/>
        <w:jc w:val="left"/>
        <w:rPr/>
      </w:pPr>
      <w:r>
        <w:rPr>
          <w:rFonts w:ascii="Calibri;sans-serif" w:hAnsi="Calibri;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Calibri;sans-serif" w:hAnsi="Calibri;sans-serif"/>
          <w:b w:val="false"/>
          <w:color w:val="000000"/>
          <w:sz w:val="20"/>
        </w:rPr>
        <w:t>No </w:t>
      </w:r>
      <w:r>
        <w:rPr>
          <w:color w:val="000000"/>
        </w:rPr>
        <w:t> ☐</w:t>
      </w:r>
    </w:p>
    <w:p>
      <w:pPr>
        <w:pStyle w:val="TextBody"/>
        <w:bidi w:val="0"/>
        <w:spacing w:lineRule="auto" w:line="288" w:before="180" w:after="283"/>
        <w:jc w:val="left"/>
        <w:rPr/>
      </w:pPr>
      <w:r>
        <w:rPr>
          <w:rFonts w:ascii="Calibri;sans-serif" w:hAnsi="Calibri;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Calibri;sans-serif" w:hAnsi="Calibri;sans-serif"/>
          <w:b w:val="false"/>
          <w:color w:val="000000"/>
          <w:sz w:val="20"/>
        </w:rPr>
        <w:t>No  </w:t>
      </w:r>
      <w:r>
        <w:rPr>
          <w:color w:val="000000"/>
        </w:rPr>
        <w:t>☐</w:t>
      </w:r>
    </w:p>
    <w:p>
      <w:pPr>
        <w:pStyle w:val="TextBody"/>
        <w:bidi w:val="0"/>
        <w:spacing w:lineRule="auto" w:line="288" w:before="180" w:after="12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01"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109"/>
        <w:gridCol w:w="109"/>
        <w:gridCol w:w="109"/>
        <w:gridCol w:w="109"/>
        <w:gridCol w:w="109"/>
        <w:gridCol w:w="109"/>
        <w:gridCol w:w="109"/>
        <w:gridCol w:w="109"/>
        <w:gridCol w:w="109"/>
        <w:gridCol w:w="109"/>
        <w:gridCol w:w="109"/>
        <w:gridCol w:w="109"/>
        <w:gridCol w:w="753"/>
        <w:gridCol w:w="753"/>
        <w:gridCol w:w="758"/>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100" w:after="283"/>
              <w:jc w:val="left"/>
              <w:rPr>
                <w:color w:val="000000"/>
              </w:rPr>
            </w:pPr>
            <w:r>
              <w:rPr>
                <w:color w:val="000000"/>
              </w:rPr>
              <w:t>☐</w:t>
            </w:r>
          </w:p>
        </w:tc>
      </w:tr>
    </w:tbl>
    <w:p>
      <w:pPr>
        <w:pStyle w:val="TextBody"/>
        <w:bidi w:val="0"/>
        <w:spacing w:lineRule="auto" w:line="288" w:before="0" w:after="0"/>
        <w:jc w:val="left"/>
        <w:rPr/>
      </w:pPr>
      <w:r>
        <w:rPr>
          <w:rFonts w:ascii="Calibri;sans-serif" w:hAnsi="Calibr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by check mark whether the registrant is a shell company (as defined in Rule 12b-2 of the Exchange Act).   </w:t>
      </w:r>
    </w:p>
    <w:p>
      <w:pPr>
        <w:pStyle w:val="TextBody"/>
        <w:bidi w:val="0"/>
        <w:spacing w:lineRule="auto" w:line="288" w:before="0" w:after="0"/>
        <w:ind w:left="0" w:right="0" w:firstLine="720"/>
        <w:jc w:val="left"/>
        <w:rPr/>
      </w:pPr>
      <w:r>
        <w:rPr>
          <w:rFonts w:ascii="Calibri;sans-serif" w:hAnsi="Calibri;sans-serif"/>
          <w:b w:val="false"/>
          <w:color w:val="000000"/>
          <w:sz w:val="20"/>
        </w:rPr>
        <w:t>Yes  </w:t>
      </w:r>
      <w:r>
        <w:rPr>
          <w:color w:val="000000"/>
        </w:rPr>
        <w:t>☐    </w:t>
      </w:r>
      <w:r>
        <w:rPr>
          <w:rFonts w:ascii="Calibri;sans-serif" w:hAnsi="Calibri;sans-serif"/>
          <w:b w:val="false"/>
          <w:color w:val="000000"/>
          <w:sz w:val="20"/>
        </w:rPr>
        <w:t>No  </w:t>
      </w:r>
      <w:r>
        <w:rPr>
          <w:color w:val="000000"/>
        </w:rPr>
        <w:t>☒</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Indicate the number of shares outstanding of each of the issuer’s classes of common stock, as of the latest practicable date.</w:t>
      </w:r>
    </w:p>
    <w:p>
      <w:pPr>
        <w:pStyle w:val="TextBody"/>
        <w:bidi w:val="0"/>
        <w:spacing w:lineRule="auto" w:line="288" w:before="0" w:after="0"/>
        <w:jc w:val="left"/>
        <w:rPr>
          <w:color w:val="000000"/>
        </w:rPr>
      </w:pPr>
      <w:r>
        <w:rPr>
          <w:color w:val="000000"/>
        </w:rPr>
        <w:t> </w:t>
      </w:r>
    </w:p>
    <w:tbl>
      <w:tblPr>
        <w:tblW w:w="6476" w:type="dxa"/>
        <w:jc w:val="left"/>
        <w:tblInd w:w="0" w:type="dxa"/>
        <w:tblLayout w:type="fixed"/>
        <w:tblCellMar>
          <w:top w:w="28" w:type="dxa"/>
          <w:left w:w="28" w:type="dxa"/>
          <w:bottom w:w="28" w:type="dxa"/>
          <w:right w:w="28" w:type="dxa"/>
        </w:tblCellMar>
      </w:tblPr>
      <w:tblGrid>
        <w:gridCol w:w="1200"/>
        <w:gridCol w:w="1057"/>
        <w:gridCol w:w="1073"/>
        <w:gridCol w:w="109"/>
        <w:gridCol w:w="109"/>
        <w:gridCol w:w="109"/>
        <w:gridCol w:w="825"/>
        <w:gridCol w:w="825"/>
        <w:gridCol w:w="1169"/>
      </w:tblGrid>
      <w:tr>
        <w:trPr/>
        <w:tc>
          <w:tcPr>
            <w:tcW w:w="120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Shares Outstanding at January 26, 2024</w:t>
            </w:r>
          </w:p>
        </w:tc>
      </w:tr>
      <w:tr>
        <w:trPr/>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20,946,385</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282"/>
        <w:gridCol w:w="248"/>
        <w:gridCol w:w="251"/>
        <w:gridCol w:w="2874"/>
        <w:gridCol w:w="2867"/>
        <w:gridCol w:w="2874"/>
        <w:gridCol w:w="145"/>
        <w:gridCol w:w="145"/>
        <w:gridCol w:w="146"/>
        <w:gridCol w:w="109"/>
        <w:gridCol w:w="109"/>
        <w:gridCol w:w="155"/>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color w:val="000000"/>
                <w:sz w:val="16"/>
              </w:rPr>
            </w:pPr>
            <w:r>
              <w:rPr>
                <w:rFonts w:ascii="Calibri;sans-serif" w:hAnsi="Calibri;sans-serif"/>
                <w:b/>
                <w:color w:val="000000"/>
                <w:sz w:val="16"/>
              </w:rPr>
              <w:t>Page</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PART I.</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0">
              <w:r>
                <w:rPr>
                  <w:rStyle w:val="InternetLink"/>
                  <w:rFonts w:ascii="Calibri;sans-serif" w:hAnsi="Calibri;sans-serif"/>
                  <w:b/>
                  <w:color w:val="0000FF"/>
                  <w:sz w:val="20"/>
                  <w:u w:val="single"/>
                </w:rPr>
                <w:t>FINANCIAL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1.</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3">
              <w:r>
                <w:rPr>
                  <w:rStyle w:val="InternetLink"/>
                  <w:rFonts w:ascii="Calibri;sans-serif" w:hAnsi="Calibri;sans-serif"/>
                  <w:b w:val="false"/>
                  <w:color w:val="0000FF"/>
                  <w:sz w:val="20"/>
                  <w:u w:val="single"/>
                </w:rPr>
                <w:t>Financial Statements (unaudited):</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6">
              <w:r>
                <w:rPr>
                  <w:rStyle w:val="InternetLink"/>
                  <w:rFonts w:ascii="Calibri;sans-serif" w:hAnsi="Calibri;sans-serif"/>
                  <w:b w:val="false"/>
                  <w:color w:val="000080"/>
                  <w:sz w:val="20"/>
                  <w:u w:val="single"/>
                </w:rPr>
                <w:t xml:space="preserve">Condensed Consolidated Balance Sheets – </w:t>
              </w:r>
            </w:hyperlink>
            <w:hyperlink w:anchor="i8f60f4ba9104496899e09c1bead4af03_16">
              <w:r>
                <w:rPr>
                  <w:rStyle w:val="InternetLink"/>
                  <w:rFonts w:ascii="Calibri;sans-serif" w:hAnsi="Calibri;sans-serif"/>
                  <w:b w:val="false"/>
                  <w:color w:val="000080"/>
                  <w:sz w:val="20"/>
                  <w:u w:val="single"/>
                </w:rPr>
                <w:t>December</w:t>
              </w:r>
            </w:hyperlink>
            <w:hyperlink w:anchor="i8f60f4ba9104496899e09c1bead4af03_16">
              <w:r>
                <w:rPr>
                  <w:rStyle w:val="InternetLink"/>
                  <w:rFonts w:ascii="Calibri;sans-serif" w:hAnsi="Calibri;sans-serif"/>
                  <w:b w:val="false"/>
                  <w:color w:val="000080"/>
                  <w:sz w:val="20"/>
                  <w:u w:val="single"/>
                </w:rPr>
                <w:t xml:space="preserve"> </w:t>
              </w:r>
            </w:hyperlink>
            <w:hyperlink w:anchor="i8f60f4ba9104496899e09c1bead4af03_16">
              <w:r>
                <w:rPr>
                  <w:rStyle w:val="InternetLink"/>
                  <w:rFonts w:ascii="Calibri;sans-serif" w:hAnsi="Calibri;sans-serif"/>
                  <w:b w:val="false"/>
                  <w:color w:val="000080"/>
                  <w:sz w:val="20"/>
                  <w:u w:val="single"/>
                </w:rPr>
                <w:t>3</w:t>
              </w:r>
            </w:hyperlink>
            <w:hyperlink w:anchor="i8f60f4ba9104496899e09c1bead4af03_16">
              <w:r>
                <w:rPr>
                  <w:rStyle w:val="InternetLink"/>
                  <w:rFonts w:ascii="Calibri;sans-serif" w:hAnsi="Calibri;sans-serif"/>
                  <w:b w:val="false"/>
                  <w:color w:val="000080"/>
                  <w:sz w:val="20"/>
                  <w:u w:val="single"/>
                </w:rPr>
                <w:t>1, 2023 and April 2, 2023</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6">
              <w:r>
                <w:rPr>
                  <w:rStyle w:val="InternetLink"/>
                  <w:rFonts w:ascii="Calibri;sans-serif" w:hAnsi="Calibri;sans-serif"/>
                  <w:b w:val="false"/>
                  <w:color w:val="0000FF"/>
                  <w:sz w:val="20"/>
                  <w:u w:val="single"/>
                </w:rPr>
                <w:t>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9">
              <w:r>
                <w:rPr>
                  <w:rStyle w:val="InternetLink"/>
                  <w:rFonts w:ascii="Calibri;sans-serif" w:hAnsi="Calibri;sans-serif"/>
                  <w:b w:val="false"/>
                  <w:color w:val="000080"/>
                  <w:sz w:val="20"/>
                  <w:u w:val="single"/>
                </w:rPr>
                <w:t xml:space="preserve">Condensed Consolidated Statements of Income – Three and </w:t>
              </w:r>
            </w:hyperlink>
            <w:hyperlink w:anchor="i8f60f4ba9104496899e09c1bead4af03_19">
              <w:r>
                <w:rPr>
                  <w:rStyle w:val="InternetLink"/>
                  <w:rFonts w:ascii="Calibri;sans-serif" w:hAnsi="Calibri;sans-serif"/>
                  <w:b w:val="false"/>
                  <w:color w:val="000080"/>
                  <w:sz w:val="20"/>
                  <w:u w:val="single"/>
                </w:rPr>
                <w:t>Nine</w:t>
              </w:r>
            </w:hyperlink>
            <w:hyperlink w:anchor="i8f60f4ba9104496899e09c1bead4af03_19">
              <w:r>
                <w:rPr>
                  <w:rStyle w:val="InternetLink"/>
                  <w:rFonts w:ascii="Calibri;sans-serif" w:hAnsi="Calibri;sans-serif"/>
                  <w:b w:val="false"/>
                  <w:color w:val="000080"/>
                  <w:sz w:val="20"/>
                  <w:u w:val="single"/>
                </w:rPr>
                <w:t xml:space="preserve"> Months Ended </w:t>
              </w:r>
            </w:hyperlink>
            <w:hyperlink w:anchor="i8f60f4ba9104496899e09c1bead4af03_19">
              <w:r>
                <w:rPr>
                  <w:rStyle w:val="InternetLink"/>
                  <w:rFonts w:ascii="Calibri;sans-serif" w:hAnsi="Calibri;sans-serif"/>
                  <w:b w:val="false"/>
                  <w:color w:val="000080"/>
                  <w:sz w:val="20"/>
                  <w:u w:val="single"/>
                </w:rPr>
                <w:t>December</w:t>
              </w:r>
            </w:hyperlink>
            <w:hyperlink w:anchor="i8f60f4ba9104496899e09c1bead4af03_19">
              <w:r>
                <w:rPr>
                  <w:rStyle w:val="InternetLink"/>
                  <w:rFonts w:ascii="Calibri;sans-serif" w:hAnsi="Calibri;sans-serif"/>
                  <w:b w:val="false"/>
                  <w:color w:val="000080"/>
                  <w:sz w:val="20"/>
                  <w:u w:val="single"/>
                </w:rPr>
                <w:t xml:space="preserve"> </w:t>
              </w:r>
            </w:hyperlink>
            <w:hyperlink w:anchor="i8f60f4ba9104496899e09c1bead4af03_19">
              <w:r>
                <w:rPr>
                  <w:rStyle w:val="InternetLink"/>
                  <w:rFonts w:ascii="Calibri;sans-serif" w:hAnsi="Calibri;sans-serif"/>
                  <w:b w:val="false"/>
                  <w:color w:val="000080"/>
                  <w:sz w:val="20"/>
                  <w:u w:val="single"/>
                </w:rPr>
                <w:t>3</w:t>
              </w:r>
            </w:hyperlink>
            <w:hyperlink w:anchor="i8f60f4ba9104496899e09c1bead4af03_19">
              <w:r>
                <w:rPr>
                  <w:rStyle w:val="InternetLink"/>
                  <w:rFonts w:ascii="Calibri;sans-serif" w:hAnsi="Calibri;sans-serif"/>
                  <w:b w:val="false"/>
                  <w:color w:val="000080"/>
                  <w:sz w:val="20"/>
                  <w:u w:val="single"/>
                </w:rPr>
                <w:t xml:space="preserve">1, 2023 and </w:t>
              </w:r>
            </w:hyperlink>
            <w:hyperlink w:anchor="i8f60f4ba9104496899e09c1bead4af03_19">
              <w:r>
                <w:rPr>
                  <w:rStyle w:val="InternetLink"/>
                  <w:rFonts w:ascii="Calibri;sans-serif" w:hAnsi="Calibri;sans-serif"/>
                  <w:b w:val="false"/>
                  <w:color w:val="000080"/>
                  <w:sz w:val="20"/>
                  <w:u w:val="single"/>
                </w:rPr>
                <w:t xml:space="preserve">January </w:t>
              </w:r>
            </w:hyperlink>
            <w:hyperlink w:anchor="i8f60f4ba9104496899e09c1bead4af03_19">
              <w:r>
                <w:rPr>
                  <w:rStyle w:val="InternetLink"/>
                  <w:rFonts w:ascii="Calibri;sans-serif" w:hAnsi="Calibri;sans-serif"/>
                  <w:b w:val="false"/>
                  <w:color w:val="000080"/>
                  <w:sz w:val="20"/>
                  <w:u w:val="single"/>
                </w:rPr>
                <w:t>1</w:t>
              </w:r>
            </w:hyperlink>
            <w:hyperlink w:anchor="i8f60f4ba9104496899e09c1bead4af03_19">
              <w:r>
                <w:rPr>
                  <w:rStyle w:val="InternetLink"/>
                  <w:rFonts w:ascii="Calibri;sans-serif" w:hAnsi="Calibri;sans-serif"/>
                  <w:b w:val="false"/>
                  <w:color w:val="000080"/>
                  <w:sz w:val="20"/>
                  <w:u w:val="single"/>
                </w:rPr>
                <w:t>, 20</w:t>
              </w:r>
            </w:hyperlink>
            <w:hyperlink w:anchor="i8f60f4ba9104496899e09c1bead4af03_19">
              <w:r>
                <w:rPr>
                  <w:rStyle w:val="InternetLink"/>
                  <w:rFonts w:ascii="Calibri;sans-serif" w:hAnsi="Calibri;sans-serif"/>
                  <w:b w:val="false"/>
                  <w:color w:val="000080"/>
                  <w:sz w:val="20"/>
                  <w:u w:val="single"/>
                </w:rPr>
                <w:t>23</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9">
              <w:r>
                <w:rPr>
                  <w:rStyle w:val="InternetLink"/>
                  <w:rFonts w:ascii="Calibri;sans-serif" w:hAnsi="Calibri;sans-serif"/>
                  <w:b w:val="false"/>
                  <w:color w:val="0000FF"/>
                  <w:sz w:val="20"/>
                  <w:u w:val="single"/>
                </w:rPr>
                <w:t>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22">
              <w:r>
                <w:rPr>
                  <w:rStyle w:val="InternetLink"/>
                  <w:rFonts w:ascii="Calibri;sans-serif" w:hAnsi="Calibri;sans-serif"/>
                  <w:b w:val="false"/>
                  <w:color w:val="000080"/>
                  <w:sz w:val="20"/>
                  <w:u w:val="single"/>
                </w:rPr>
                <w:t xml:space="preserve">Condensed Consolidated Statements of Comprehensive Income – Three and </w:t>
              </w:r>
            </w:hyperlink>
            <w:hyperlink w:anchor="i8f60f4ba9104496899e09c1bead4af03_22">
              <w:r>
                <w:rPr>
                  <w:rStyle w:val="InternetLink"/>
                  <w:rFonts w:ascii="Calibri;sans-serif" w:hAnsi="Calibri;sans-serif"/>
                  <w:b w:val="false"/>
                  <w:color w:val="000080"/>
                  <w:sz w:val="20"/>
                  <w:u w:val="single"/>
                </w:rPr>
                <w:t>Nine</w:t>
              </w:r>
            </w:hyperlink>
            <w:hyperlink w:anchor="i8f60f4ba9104496899e09c1bead4af03_22">
              <w:r>
                <w:rPr>
                  <w:rStyle w:val="InternetLink"/>
                  <w:rFonts w:ascii="Calibri;sans-serif" w:hAnsi="Calibri;sans-serif"/>
                  <w:b w:val="false"/>
                  <w:color w:val="000080"/>
                  <w:sz w:val="20"/>
                  <w:u w:val="single"/>
                </w:rPr>
                <w:t xml:space="preserve"> Months Ended </w:t>
              </w:r>
            </w:hyperlink>
            <w:hyperlink w:anchor="i8f60f4ba9104496899e09c1bead4af03_19">
              <w:r>
                <w:rPr>
                  <w:rStyle w:val="InternetLink"/>
                  <w:rFonts w:ascii="Calibri;sans-serif" w:hAnsi="Calibri;sans-serif"/>
                  <w:b w:val="false"/>
                  <w:color w:val="000080"/>
                  <w:sz w:val="20"/>
                  <w:u w:val="single"/>
                </w:rPr>
                <w:t>December 31, 2023 and January 1, 2023</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22">
              <w:r>
                <w:rPr>
                  <w:rStyle w:val="InternetLink"/>
                  <w:rFonts w:ascii="Calibri;sans-serif" w:hAnsi="Calibri;sans-serif"/>
                  <w:b w:val="false"/>
                  <w:color w:val="0000FF"/>
                  <w:sz w:val="20"/>
                  <w:u w:val="single"/>
                </w:rPr>
                <w:t>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25">
              <w:r>
                <w:rPr>
                  <w:rStyle w:val="InternetLink"/>
                  <w:rFonts w:ascii="Calibri;sans-serif" w:hAnsi="Calibri;sans-serif"/>
                  <w:b w:val="false"/>
                  <w:color w:val="000080"/>
                  <w:sz w:val="20"/>
                  <w:u w:val="single"/>
                </w:rPr>
                <w:t xml:space="preserve">Condensed Consolidated Statements of Shareholder’s Equity – Three and </w:t>
              </w:r>
            </w:hyperlink>
            <w:hyperlink w:anchor="i8f60f4ba9104496899e09c1bead4af03_25">
              <w:r>
                <w:rPr>
                  <w:rStyle w:val="InternetLink"/>
                  <w:rFonts w:ascii="Calibri;sans-serif" w:hAnsi="Calibri;sans-serif"/>
                  <w:b w:val="false"/>
                  <w:color w:val="000080"/>
                  <w:sz w:val="20"/>
                  <w:u w:val="single"/>
                </w:rPr>
                <w:t>Nine</w:t>
              </w:r>
            </w:hyperlink>
            <w:hyperlink w:anchor="i8f60f4ba9104496899e09c1bead4af03_25">
              <w:r>
                <w:rPr>
                  <w:rStyle w:val="InternetLink"/>
                  <w:rFonts w:ascii="Calibri;sans-serif" w:hAnsi="Calibri;sans-serif"/>
                  <w:b w:val="false"/>
                  <w:color w:val="000080"/>
                  <w:sz w:val="20"/>
                  <w:u w:val="single"/>
                </w:rPr>
                <w:t xml:space="preserve"> Months Ended </w:t>
              </w:r>
            </w:hyperlink>
            <w:hyperlink w:anchor="i8f60f4ba9104496899e09c1bead4af03_19">
              <w:r>
                <w:rPr>
                  <w:rStyle w:val="InternetLink"/>
                  <w:rFonts w:ascii="Calibri;sans-serif" w:hAnsi="Calibri;sans-serif"/>
                  <w:b w:val="false"/>
                  <w:color w:val="000080"/>
                  <w:sz w:val="20"/>
                  <w:u w:val="single"/>
                </w:rPr>
                <w:t>December 31, 2023 and January 1, 2023</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25">
              <w:r>
                <w:rPr>
                  <w:rStyle w:val="InternetLink"/>
                  <w:rFonts w:ascii="Calibri;sans-serif" w:hAnsi="Calibri;sans-serif"/>
                  <w:b w:val="false"/>
                  <w:color w:val="0000FF"/>
                  <w:sz w:val="20"/>
                  <w:u w:val="single"/>
                </w:rPr>
                <w:t>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28">
              <w:r>
                <w:rPr>
                  <w:rStyle w:val="InternetLink"/>
                  <w:rFonts w:ascii="Calibri;sans-serif" w:hAnsi="Calibri;sans-serif"/>
                  <w:b w:val="false"/>
                  <w:color w:val="000080"/>
                  <w:sz w:val="20"/>
                  <w:u w:val="single"/>
                </w:rPr>
                <w:t xml:space="preserve">Condensed Consolidated Statements of Cash Flows – </w:t>
              </w:r>
            </w:hyperlink>
            <w:hyperlink w:anchor="i8f60f4ba9104496899e09c1bead4af03_28">
              <w:r>
                <w:rPr>
                  <w:rStyle w:val="InternetLink"/>
                  <w:rFonts w:ascii="Calibri;sans-serif" w:hAnsi="Calibri;sans-serif"/>
                  <w:b w:val="false"/>
                  <w:color w:val="000080"/>
                  <w:sz w:val="20"/>
                  <w:u w:val="single"/>
                </w:rPr>
                <w:t>Nine</w:t>
              </w:r>
            </w:hyperlink>
            <w:hyperlink w:anchor="i8f60f4ba9104496899e09c1bead4af03_28">
              <w:r>
                <w:rPr>
                  <w:rStyle w:val="InternetLink"/>
                  <w:rFonts w:ascii="Calibri;sans-serif" w:hAnsi="Calibri;sans-serif"/>
                  <w:b w:val="false"/>
                  <w:color w:val="000080"/>
                  <w:sz w:val="20"/>
                  <w:u w:val="single"/>
                </w:rPr>
                <w:t xml:space="preserve"> Months Ended </w:t>
              </w:r>
            </w:hyperlink>
            <w:hyperlink w:anchor="i8f60f4ba9104496899e09c1bead4af03_19">
              <w:r>
                <w:rPr>
                  <w:rStyle w:val="InternetLink"/>
                  <w:rFonts w:ascii="Calibri;sans-serif" w:hAnsi="Calibri;sans-serif"/>
                  <w:b w:val="false"/>
                  <w:color w:val="000080"/>
                  <w:sz w:val="20"/>
                  <w:u w:val="single"/>
                </w:rPr>
                <w:t>December 31, 2023 and January 1, 2023</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28">
              <w:r>
                <w:rPr>
                  <w:rStyle w:val="InternetLink"/>
                  <w:rFonts w:ascii="Calibri;sans-serif" w:hAnsi="Calibri;sans-serif"/>
                  <w:b w:val="false"/>
                  <w:color w:val="0000FF"/>
                  <w:sz w:val="20"/>
                  <w:u w:val="single"/>
                </w:rPr>
                <w:t>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31">
              <w:r>
                <w:rPr>
                  <w:rStyle w:val="InternetLink"/>
                  <w:rFonts w:ascii="Calibri;sans-serif" w:hAnsi="Calibri;sans-serif"/>
                  <w:b w:val="false"/>
                  <w:color w:val="0000FF"/>
                  <w:sz w:val="20"/>
                  <w:u w:val="single"/>
                </w:rPr>
                <w:t>Notes to Condensed Consolidated Financial Statements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31">
              <w:r>
                <w:rPr>
                  <w:rStyle w:val="InternetLink"/>
                  <w:rFonts w:ascii="Calibri;sans-serif" w:hAnsi="Calibri;sans-serif"/>
                  <w:b w:val="false"/>
                  <w:color w:val="0000FF"/>
                  <w:sz w:val="20"/>
                  <w:u w:val="single"/>
                </w:rPr>
                <w:t>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2.</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79">
              <w:r>
                <w:rPr>
                  <w:rStyle w:val="InternetLink"/>
                  <w:rFonts w:ascii="Calibri;sans-serif" w:hAnsi="Calibri;sans-serif"/>
                  <w:b w:val="false"/>
                  <w:color w:val="0000FF"/>
                  <w:sz w:val="20"/>
                  <w:u w:val="single"/>
                </w:rPr>
                <w:t>Management’s Discussion and Analysis of Financial Condition and Results of Operations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79">
              <w:r>
                <w:rPr>
                  <w:rStyle w:val="InternetLink"/>
                  <w:rFonts w:ascii="Calibri;sans-serif" w:hAnsi="Calibri;sans-serif"/>
                  <w:b w:val="false"/>
                  <w:color w:val="0000FF"/>
                  <w:sz w:val="20"/>
                  <w:u w:val="single"/>
                </w:rPr>
                <w:t>14</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3.</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03">
              <w:r>
                <w:rPr>
                  <w:rStyle w:val="InternetLink"/>
                  <w:rFonts w:ascii="Calibri;sans-serif" w:hAnsi="Calibri;sans-serif"/>
                  <w:b w:val="false"/>
                  <w:color w:val="0000FF"/>
                  <w:sz w:val="20"/>
                  <w:u w:val="single"/>
                </w:rPr>
                <w:t>Quantitative and Qualitative Disclosures about Market Risk</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03">
              <w:r>
                <w:rPr>
                  <w:rStyle w:val="InternetLink"/>
                  <w:rFonts w:ascii="Calibri;sans-serif" w:hAnsi="Calibri;sans-serif"/>
                  <w:b w:val="false"/>
                  <w:color w:val="0000FF"/>
                  <w:sz w:val="20"/>
                  <w:u w:val="single"/>
                </w:rPr>
                <w:t>16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4.</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06">
              <w:r>
                <w:rPr>
                  <w:rStyle w:val="InternetLink"/>
                  <w:rFonts w:ascii="Calibri;sans-serif" w:hAnsi="Calibri;sans-serif"/>
                  <w:b w:val="false"/>
                  <w:color w:val="0000FF"/>
                  <w:sz w:val="20"/>
                  <w:u w:val="single"/>
                </w:rPr>
                <w:t>Controls and Procedures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06">
              <w:r>
                <w:rPr>
                  <w:rStyle w:val="InternetLink"/>
                  <w:rFonts w:ascii="Calibri;sans-serif" w:hAnsi="Calibri;sans-serif"/>
                  <w:b w:val="false"/>
                  <w:color w:val="0000FF"/>
                  <w:sz w:val="20"/>
                  <w:u w:val="single"/>
                </w:rPr>
                <w:t>16</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PART II.</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09">
              <w:r>
                <w:rPr>
                  <w:rStyle w:val="InternetLink"/>
                  <w:rFonts w:ascii="Calibri;sans-serif" w:hAnsi="Calibri;sans-serif"/>
                  <w:b/>
                  <w:color w:val="0000FF"/>
                  <w:sz w:val="20"/>
                  <w:u w:val="single"/>
                </w:rPr>
                <w:t>OTHER INFORMATION</w:t>
              </w:r>
            </w:hyperlink>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1.</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12">
              <w:r>
                <w:rPr>
                  <w:rStyle w:val="InternetLink"/>
                  <w:rFonts w:ascii="Calibri;sans-serif" w:hAnsi="Calibri;sans-serif"/>
                  <w:b w:val="false"/>
                  <w:color w:val="0000FF"/>
                  <w:sz w:val="20"/>
                  <w:u w:val="single"/>
                </w:rPr>
                <w:t>Legal Proceedings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12">
              <w:r>
                <w:rPr>
                  <w:rStyle w:val="InternetLink"/>
                  <w:rFonts w:ascii="Calibri;sans-serif" w:hAnsi="Calibri;sans-serif"/>
                  <w:b w:val="false"/>
                  <w:color w:val="0000FF"/>
                  <w:sz w:val="20"/>
                  <w:u w:val="single"/>
                </w:rPr>
                <w:t>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1A.</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15">
              <w:r>
                <w:rPr>
                  <w:rStyle w:val="InternetLink"/>
                  <w:rFonts w:ascii="Calibri;sans-serif" w:hAnsi="Calibri;sans-serif"/>
                  <w:b w:val="false"/>
                  <w:color w:val="0000FF"/>
                  <w:sz w:val="20"/>
                  <w:u w:val="single"/>
                </w:rPr>
                <w:t>Risk Factors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15">
              <w:r>
                <w:rPr>
                  <w:rStyle w:val="InternetLink"/>
                  <w:rFonts w:ascii="Calibri;sans-serif" w:hAnsi="Calibri;sans-serif"/>
                  <w:b w:val="false"/>
                  <w:color w:val="0000FF"/>
                  <w:sz w:val="20"/>
                  <w:u w:val="single"/>
                </w:rPr>
                <w:t>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2.</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18">
              <w:r>
                <w:rPr>
                  <w:rStyle w:val="InternetLink"/>
                  <w:rFonts w:ascii="Calibri;sans-serif" w:hAnsi="Calibri;sans-serif"/>
                  <w:b w:val="false"/>
                  <w:color w:val="0000FF"/>
                  <w:sz w:val="20"/>
                  <w:u w:val="single"/>
                </w:rPr>
                <w:t>Unregistered Sales of Equity Securities and Use of Proceeds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18">
              <w:r>
                <w:rPr>
                  <w:rStyle w:val="InternetLink"/>
                  <w:rFonts w:ascii="Calibri;sans-serif" w:hAnsi="Calibri;sans-serif"/>
                  <w:b w:val="false"/>
                  <w:color w:val="0000FF"/>
                  <w:sz w:val="20"/>
                  <w:u w:val="single"/>
                </w:rPr>
                <w:t>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3.</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21">
              <w:r>
                <w:rPr>
                  <w:rStyle w:val="InternetLink"/>
                  <w:rFonts w:ascii="Calibri;sans-serif" w:hAnsi="Calibri;sans-serif"/>
                  <w:b w:val="false"/>
                  <w:color w:val="0000FF"/>
                  <w:sz w:val="20"/>
                  <w:u w:val="single"/>
                </w:rPr>
                <w:t>Defaults Upon Senior Securities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21">
              <w:r>
                <w:rPr>
                  <w:rStyle w:val="InternetLink"/>
                  <w:rFonts w:ascii="Calibri;sans-serif" w:hAnsi="Calibri;sans-serif"/>
                  <w:b w:val="false"/>
                  <w:color w:val="0000FF"/>
                  <w:sz w:val="20"/>
                  <w:u w:val="single"/>
                </w:rPr>
                <w:t>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4.</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24">
              <w:r>
                <w:rPr>
                  <w:rStyle w:val="InternetLink"/>
                  <w:rFonts w:ascii="Calibri;sans-serif" w:hAnsi="Calibri;sans-serif"/>
                  <w:b w:val="false"/>
                  <w:color w:val="0000FF"/>
                  <w:sz w:val="20"/>
                  <w:u w:val="single"/>
                </w:rPr>
                <w:t>Mine Safety Disclosures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24">
              <w:r>
                <w:rPr>
                  <w:rStyle w:val="InternetLink"/>
                  <w:rFonts w:ascii="Calibri;sans-serif" w:hAnsi="Calibri;sans-serif"/>
                  <w:b w:val="false"/>
                  <w:color w:val="0000FF"/>
                  <w:sz w:val="20"/>
                  <w:u w:val="single"/>
                </w:rPr>
                <w:t>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5.</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27">
              <w:r>
                <w:rPr>
                  <w:rStyle w:val="InternetLink"/>
                  <w:rFonts w:ascii="Calibri;sans-serif" w:hAnsi="Calibri;sans-serif"/>
                  <w:b w:val="false"/>
                  <w:color w:val="0000FF"/>
                  <w:sz w:val="20"/>
                  <w:u w:val="single"/>
                </w:rPr>
                <w:t>Other Information</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27">
              <w:r>
                <w:rPr>
                  <w:rStyle w:val="InternetLink"/>
                  <w:rFonts w:ascii="Calibri;sans-serif" w:hAnsi="Calibri;sans-serif"/>
                  <w:b w:val="false"/>
                  <w:color w:val="0000FF"/>
                  <w:sz w:val="20"/>
                  <w:u w:val="single"/>
                </w:rPr>
                <w:t>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Item 6.</w:t>
            </w:r>
          </w:p>
        </w:tc>
        <w:tc>
          <w:tcPr>
            <w:tcW w:w="86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60f4ba9104496899e09c1bead4af03_130">
              <w:r>
                <w:rPr>
                  <w:rStyle w:val="InternetLink"/>
                  <w:rFonts w:ascii="Calibri;sans-serif" w:hAnsi="Calibri;sans-serif"/>
                  <w:b w:val="false"/>
                  <w:color w:val="0000FF"/>
                  <w:sz w:val="20"/>
                  <w:u w:val="single"/>
                </w:rPr>
                <w:t>Exhibits</w:t>
              </w:r>
            </w:hyperlink>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60f4ba9104496899e09c1bead4af03_130">
              <w:r>
                <w:rPr>
                  <w:rStyle w:val="InternetLink"/>
                  <w:rFonts w:ascii="Calibri;sans-serif" w:hAnsi="Calibri;sans-serif"/>
                  <w:b w:val="false"/>
                  <w:color w:val="0000FF"/>
                  <w:sz w:val="20"/>
                  <w:u w:val="single"/>
                </w:rPr>
                <w:t>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54940"/>
                <wp:effectExtent l="0" t="0" r="0" b="0"/>
                <wp:wrapNone/>
                <wp:docPr id="2" name="Frame2"/>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4"/>
        </w:rPr>
      </w:pPr>
      <w:r>
        <w:rPr>
          <w:rFonts w:ascii="Calibri;sans-serif" w:hAnsi="Calibri;sans-serif"/>
          <w:b w:val="false"/>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BALANCE SHEETS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843"/>
        <w:gridCol w:w="2253"/>
        <w:gridCol w:w="2278"/>
        <w:gridCol w:w="109"/>
        <w:gridCol w:w="109"/>
        <w:gridCol w:w="109"/>
        <w:gridCol w:w="205"/>
        <w:gridCol w:w="771"/>
        <w:gridCol w:w="114"/>
        <w:gridCol w:w="109"/>
        <w:gridCol w:w="109"/>
        <w:gridCol w:w="109"/>
        <w:gridCol w:w="196"/>
        <w:gridCol w:w="736"/>
        <w:gridCol w:w="155"/>
      </w:tblGrid>
      <w:tr>
        <w:trPr/>
        <w:tc>
          <w:tcPr>
            <w:tcW w:w="2843"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April 2,</w:t>
              <w:br/>
              <w:t>2023</w:t>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113,016 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68,805 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88,777 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195,004 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232,044 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376,952 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203,495 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185,803 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101,495 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77,401 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116,728 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73,060 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plan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9,617 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245,548 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172,688 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644,047 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42,857 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79,678 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90,871 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109,797 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101,731 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PENSION WITHDRAWAL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23,698 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COMPENSATION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250,293 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240,519 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Common stock; authorized: 60,000,000 shares of $0.01 par value; 20,790,292 and 20,850,454 shares issued and outstanding as of December 31, 2023 and April 2,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36,781 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354,069 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393,754 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644,047 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590,535 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54940"/>
                <wp:effectExtent l="0" t="0" r="0" b="0"/>
                <wp:wrapNone/>
                <wp:docPr id="3" name="Frame3"/>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60"/>
        <w:jc w:val="left"/>
        <w:rPr>
          <w:rFonts w:ascii="Calibri;sans-serif" w:hAnsi="Calibri;sans-serif"/>
          <w:b/>
          <w:color w:val="000000"/>
          <w:sz w:val="20"/>
        </w:rPr>
      </w:pPr>
      <w:r>
        <w:rPr>
          <w:rFonts w:ascii="Calibri;sans-serif" w:hAnsi="Calibri;sans-serif"/>
          <w:b/>
          <w:color w:val="000000"/>
          <w:sz w:val="20"/>
        </w:rPr>
        <w:t>CONDENSED CONSOLIDATED STATEMENTS OF INCOME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 except share and per-share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14"/>
        <w:gridCol w:w="1128"/>
        <w:gridCol w:w="1148"/>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81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Nine Months Ended</w:t>
            </w:r>
          </w:p>
        </w:tc>
      </w:tr>
      <w:tr>
        <w:trPr/>
        <w:tc>
          <w:tcPr>
            <w:tcW w:w="4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January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January 1,</w:t>
              <w:br/>
              <w:t>2023</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706,953 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(182,947)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(548,017)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(577,559)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129,394 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(59,727)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income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65,065 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48,428 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20,781,632 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20,818,347 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20,864,349 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20,847,285 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20,974,264 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21,004,849 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54940"/>
                <wp:effectExtent l="0" t="0" r="0" b="0"/>
                <wp:wrapNone/>
                <wp:docPr id="4" name="Frame4"/>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HAWKINS, INC. </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STATEMENTS OF COMPREHENSIVE INCOME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w:t>
      </w:r>
    </w:p>
    <w:p>
      <w:pPr>
        <w:pStyle w:val="TextBody"/>
        <w:bidi w:val="0"/>
        <w:spacing w:lineRule="auto" w:line="288" w:before="0" w:after="0"/>
        <w:jc w:val="left"/>
        <w:rPr>
          <w:color w:val="000000"/>
        </w:rPr>
      </w:pPr>
      <w:r>
        <w:rPr>
          <w:color w:val="000000"/>
        </w:rPr>
        <w:t> </w:t>
      </w:r>
    </w:p>
    <w:tbl>
      <w:tblPr>
        <w:tblW w:w="9135" w:type="dxa"/>
        <w:jc w:val="left"/>
        <w:tblInd w:w="0" w:type="dxa"/>
        <w:tblLayout w:type="fixed"/>
        <w:tblCellMar>
          <w:top w:w="28" w:type="dxa"/>
          <w:left w:w="28" w:type="dxa"/>
          <w:bottom w:w="28" w:type="dxa"/>
          <w:right w:w="28" w:type="dxa"/>
        </w:tblCellMar>
      </w:tblPr>
      <w:tblGrid>
        <w:gridCol w:w="1268"/>
        <w:gridCol w:w="1116"/>
        <w:gridCol w:w="1126"/>
        <w:gridCol w:w="109"/>
        <w:gridCol w:w="109"/>
        <w:gridCol w:w="109"/>
        <w:gridCol w:w="222"/>
        <w:gridCol w:w="759"/>
        <w:gridCol w:w="114"/>
        <w:gridCol w:w="109"/>
        <w:gridCol w:w="109"/>
        <w:gridCol w:w="109"/>
        <w:gridCol w:w="211"/>
        <w:gridCol w:w="721"/>
        <w:gridCol w:w="109"/>
        <w:gridCol w:w="109"/>
        <w:gridCol w:w="109"/>
        <w:gridCol w:w="109"/>
        <w:gridCol w:w="222"/>
        <w:gridCol w:w="759"/>
        <w:gridCol w:w="114"/>
        <w:gridCol w:w="109"/>
        <w:gridCol w:w="109"/>
        <w:gridCol w:w="109"/>
        <w:gridCol w:w="211"/>
        <w:gridCol w:w="721"/>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Nine Months Ended</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January 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January 1,</w:t>
              <w:br/>
              <w:t>2023</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14,885 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61,531 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Other comprehensive income, net of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Unrealized (loss) gain on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13,586 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61,287 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50,731 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54940"/>
                <wp:effectExtent l="0" t="0" r="0" b="0"/>
                <wp:wrapNone/>
                <wp:docPr id="5" name="Frame5"/>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STATEMENTS OF SHAREHOLDERS’ EQUITY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810"/>
        <w:gridCol w:w="395"/>
        <w:gridCol w:w="396"/>
        <w:gridCol w:w="109"/>
        <w:gridCol w:w="109"/>
        <w:gridCol w:w="109"/>
        <w:gridCol w:w="480"/>
        <w:gridCol w:w="481"/>
        <w:gridCol w:w="201"/>
        <w:gridCol w:w="109"/>
        <w:gridCol w:w="109"/>
        <w:gridCol w:w="109"/>
        <w:gridCol w:w="196"/>
        <w:gridCol w:w="421"/>
        <w:gridCol w:w="109"/>
        <w:gridCol w:w="109"/>
        <w:gridCol w:w="109"/>
        <w:gridCol w:w="109"/>
        <w:gridCol w:w="196"/>
        <w:gridCol w:w="646"/>
        <w:gridCol w:w="109"/>
        <w:gridCol w:w="109"/>
        <w:gridCol w:w="109"/>
        <w:gridCol w:w="109"/>
        <w:gridCol w:w="196"/>
        <w:gridCol w:w="736"/>
        <w:gridCol w:w="109"/>
        <w:gridCol w:w="109"/>
        <w:gridCol w:w="109"/>
        <w:gridCol w:w="109"/>
        <w:gridCol w:w="364"/>
        <w:gridCol w:w="1035"/>
        <w:gridCol w:w="204"/>
        <w:gridCol w:w="109"/>
        <w:gridCol w:w="109"/>
        <w:gridCol w:w="109"/>
        <w:gridCol w:w="208"/>
        <w:gridCol w:w="783"/>
        <w:gridCol w:w="168"/>
      </w:tblGrid>
      <w:tr>
        <w:trPr/>
        <w:tc>
          <w:tcPr>
            <w:tcW w:w="81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Total</w:t>
              <w:br/>
              <w:t>Shareholders’</w:t>
              <w:br/>
              <w:t>Equity</w:t>
            </w:r>
          </w:p>
        </w:tc>
      </w:tr>
      <w:tr>
        <w:trPr/>
        <w:tc>
          <w:tcPr>
            <w:tcW w:w="16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6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03"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59"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April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20,850,454 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350,016 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(3,160)</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105,600 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(48,478)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35,281 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1,147 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23,430 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July 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20,942,857 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3,689 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371,001 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($0.16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(3,375)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(3,375)</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12,565 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(167,796)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(9,752)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October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20,787,626 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342,535 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3,995 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382,656 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($0.16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(3,351)</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26,731 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(24,065)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20,790,292 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354,069 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2,696 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393,754 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1486" w:type="dxa"/>
            <w:gridSpan w:val="6"/>
            <w:tcBorders/>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88" w:type="dxa"/>
            <w:gridSpan w:val="27"/>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4940"/>
                <wp:effectExtent l="0" t="0" r="0" b="0"/>
                <wp:wrapNone/>
                <wp:docPr id="6" name="Frame6"/>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0"/>
        <w:gridCol w:w="395"/>
        <w:gridCol w:w="396"/>
        <w:gridCol w:w="109"/>
        <w:gridCol w:w="109"/>
        <w:gridCol w:w="109"/>
        <w:gridCol w:w="480"/>
        <w:gridCol w:w="481"/>
        <w:gridCol w:w="201"/>
        <w:gridCol w:w="109"/>
        <w:gridCol w:w="109"/>
        <w:gridCol w:w="109"/>
        <w:gridCol w:w="196"/>
        <w:gridCol w:w="421"/>
        <w:gridCol w:w="109"/>
        <w:gridCol w:w="109"/>
        <w:gridCol w:w="109"/>
        <w:gridCol w:w="109"/>
        <w:gridCol w:w="196"/>
        <w:gridCol w:w="646"/>
        <w:gridCol w:w="109"/>
        <w:gridCol w:w="109"/>
        <w:gridCol w:w="109"/>
        <w:gridCol w:w="109"/>
        <w:gridCol w:w="196"/>
        <w:gridCol w:w="736"/>
        <w:gridCol w:w="109"/>
        <w:gridCol w:w="109"/>
        <w:gridCol w:w="109"/>
        <w:gridCol w:w="109"/>
        <w:gridCol w:w="364"/>
        <w:gridCol w:w="1035"/>
        <w:gridCol w:w="204"/>
        <w:gridCol w:w="109"/>
        <w:gridCol w:w="109"/>
        <w:gridCol w:w="109"/>
        <w:gridCol w:w="208"/>
        <w:gridCol w:w="783"/>
        <w:gridCol w:w="168"/>
      </w:tblGrid>
      <w:tr>
        <w:trPr/>
        <w:tc>
          <w:tcPr>
            <w:tcW w:w="81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Retained</w:t>
              <w:br/>
              <w:t>Earnings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Accumulated Other Comprehensive 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Total</w:t>
              <w:br/>
              <w:t>Shareholders’</w:t>
              <w:br/>
              <w:t>Equity</w:t>
            </w:r>
          </w:p>
        </w:tc>
      </w:tr>
      <w:tr>
        <w:trPr/>
        <w:tc>
          <w:tcPr>
            <w:tcW w:w="16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03"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59"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April 3,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20,889,777 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46,717 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254,384 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1,291 </w:t>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302,601 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($0.14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(2,958)</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102,860 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surrendered for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(36,410)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32,768 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(181,657)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19,695 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July 3,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20,807,338 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271,121 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313,277 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($0.14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(2,942)</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Vesting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10,287 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October 2,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20,817,625 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286,179 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331,414 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and paid ($0.14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(2,943)</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ESPP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32,829 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20,850,454 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293,969 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3,594 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341,160 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4940"/>
                <wp:effectExtent l="0" t="0" r="0" b="0"/>
                <wp:wrapNone/>
                <wp:docPr id="7" name="Frame7"/>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CONDENSED CONSOLIDATED STATEMENTS OF CASH FLOWS (UNAUDITED)</w:t>
      </w:r>
    </w:p>
    <w:p>
      <w:pPr>
        <w:pStyle w:val="TextBody"/>
        <w:bidi w:val="0"/>
        <w:spacing w:lineRule="auto" w:line="288" w:before="0" w:after="0"/>
        <w:jc w:val="left"/>
        <w:rPr>
          <w:rFonts w:ascii="Calibri;sans-serif" w:hAnsi="Calibri;sans-serif"/>
          <w:b/>
          <w:color w:val="000000"/>
          <w:sz w:val="16"/>
        </w:rPr>
      </w:pPr>
      <w:r>
        <w:rPr>
          <w:rFonts w:ascii="Calibri;sans-serif" w:hAnsi="Calibri;sans-serif"/>
          <w:b/>
          <w:color w:val="000000"/>
          <w:sz w:val="16"/>
        </w:rPr>
        <w:t>(In thousands)</w:t>
      </w:r>
    </w:p>
    <w:p>
      <w:pPr>
        <w:pStyle w:val="TextBody"/>
        <w:bidi w:val="0"/>
        <w:spacing w:lineRule="auto" w:line="288" w:before="0" w:after="0"/>
        <w:jc w:val="left"/>
        <w:rPr>
          <w:color w:val="000000"/>
        </w:rPr>
      </w:pPr>
      <w:r>
        <w:rPr>
          <w:color w:val="000000"/>
        </w:rPr>
        <w:t> </w:t>
      </w:r>
    </w:p>
    <w:tbl>
      <w:tblPr>
        <w:tblW w:w="8069" w:type="dxa"/>
        <w:jc w:val="left"/>
        <w:tblInd w:w="0" w:type="dxa"/>
        <w:tblLayout w:type="fixed"/>
        <w:tblCellMar>
          <w:top w:w="28" w:type="dxa"/>
          <w:left w:w="28" w:type="dxa"/>
          <w:bottom w:w="28" w:type="dxa"/>
          <w:right w:w="28" w:type="dxa"/>
        </w:tblCellMar>
      </w:tblPr>
      <w:tblGrid>
        <w:gridCol w:w="1910"/>
        <w:gridCol w:w="1680"/>
        <w:gridCol w:w="1689"/>
        <w:gridCol w:w="109"/>
        <w:gridCol w:w="109"/>
        <w:gridCol w:w="109"/>
        <w:gridCol w:w="235"/>
        <w:gridCol w:w="775"/>
        <w:gridCol w:w="130"/>
        <w:gridCol w:w="109"/>
        <w:gridCol w:w="109"/>
        <w:gridCol w:w="109"/>
        <w:gridCol w:w="196"/>
        <w:gridCol w:w="646"/>
        <w:gridCol w:w="154"/>
      </w:tblGrid>
      <w:tr>
        <w:trPr/>
        <w:tc>
          <w:tcPr>
            <w:tcW w:w="1910"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Nine Months Ended</w:t>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December 31,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January 1,</w:t>
              <w:br/>
              <w:t>2023</w:t>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61,531 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22,849 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(Gain) loss on 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operating accounts providing (using)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25,665 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(14,334)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(1,824)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117,610 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44,541 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(28,248)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(78,855)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(106,380)</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(31,955)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dividends declared and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shares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2,243 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Payroll taxes paid in exchange for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(11,272)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on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(67,000)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revolving loan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(13,055)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(DECREASE)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(1,825)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5,741 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22,125 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Noncash investing activities - capital expenditures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Calibri;sans-serif" w:hAnsi="Calibri;sans-serif"/>
          <w:b w:val="false"/>
          <w:color w:val="000000"/>
          <w:sz w:val="20"/>
        </w:rPr>
      </w:pPr>
      <w:r>
        <w:rPr>
          <w:rFonts w:ascii="Calibri;sans-serif" w:hAnsi="Calibri;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4940"/>
                <wp:effectExtent l="0" t="0" r="0" b="0"/>
                <wp:wrapNone/>
                <wp:docPr id="8" name="Frame8"/>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HAWKINS, INC.</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1 – Summary of Significant Accounting Policies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i/>
          <w:color w:val="000000"/>
          <w:sz w:val="20"/>
        </w:rPr>
        <w:t>Basis of Presentation.</w:t>
      </w:r>
      <w:r>
        <w:rPr>
          <w:color w:val="000000"/>
        </w:rPr>
        <w:t xml:space="preserve"> </w:t>
      </w:r>
      <w:r>
        <w:rPr>
          <w:rFonts w:ascii="Calibri;sans-serif" w:hAnsi="Calibri;sans-serif"/>
          <w:b w:val="false"/>
          <w:color w:val="000000"/>
          <w:sz w:val="20"/>
        </w:rPr>
        <w:t xml:space="preserve">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2">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nine months ended December 31, 2023 are not necessarily indicative of the results that may be expected for the full year.</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References to fiscal 2023 refer to the fiscal year ended April 2, 2023 and references to fiscal 2024 refer to the fiscal year ending March 31, 2024. </w:t>
      </w:r>
    </w:p>
    <w:p>
      <w:pPr>
        <w:pStyle w:val="TextBody"/>
        <w:bidi w:val="0"/>
        <w:spacing w:lineRule="auto" w:line="288" w:before="120" w:after="283"/>
        <w:jc w:val="left"/>
        <w:rPr/>
      </w:pPr>
      <w:r>
        <w:rPr>
          <w:rFonts w:ascii="Calibri;sans-serif" w:hAnsi="Calibri;sans-serif"/>
          <w:b/>
          <w:i/>
          <w:color w:val="000000"/>
          <w:sz w:val="20"/>
        </w:rPr>
        <w:t>Use of Estimates.</w:t>
      </w:r>
      <w:r>
        <w:rPr>
          <w:color w:val="000000"/>
        </w:rPr>
        <w:t xml:space="preserve"> </w:t>
      </w:r>
      <w:r>
        <w:rPr>
          <w:rFonts w:ascii="Calibri;sans-serif" w:hAnsi="Calibri;sans-serif"/>
          <w:b w:val="false"/>
          <w:color w:val="000000"/>
          <w:sz w:val="20"/>
        </w:rPr>
        <w:t>The preparation of condensed consolidated financial statements in conformity with accounting principles generally 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pStyle w:val="TextBody"/>
        <w:bidi w:val="0"/>
        <w:spacing w:lineRule="auto" w:line="288" w:before="120" w:after="283"/>
        <w:jc w:val="left"/>
        <w:rPr/>
      </w:pPr>
      <w:r>
        <w:rPr>
          <w:rFonts w:ascii="Calibri;sans-serif" w:hAnsi="Calibri;sans-serif"/>
          <w:b/>
          <w:i/>
          <w:color w:val="000000"/>
          <w:sz w:val="20"/>
        </w:rPr>
        <w:t>Accounting Policies.</w:t>
      </w:r>
      <w:r>
        <w:rPr>
          <w:color w:val="000000"/>
        </w:rPr>
        <w:t xml:space="preserve"> </w:t>
      </w:r>
      <w:r>
        <w:rPr>
          <w:rFonts w:ascii="Calibri;sans-serif" w:hAnsi="Calibri;sans-serif"/>
          <w:b w:val="false"/>
          <w:color w:val="000000"/>
          <w:sz w:val="20"/>
        </w:rPr>
        <w:t xml:space="preserve">The accounting policies we follow are set forth in Note 1 – Nature of Business and Significant Accounting Policies to our consolidated financial statements in our </w:t>
      </w:r>
      <w:hyperlink r:id="rId3">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previously filed with the SEC. There has been no significant change in our accounting policies since the end of fiscal 2023.</w:t>
      </w:r>
    </w:p>
    <w:p>
      <w:pPr>
        <w:pStyle w:val="TextBody"/>
        <w:bidi w:val="0"/>
        <w:spacing w:lineRule="auto" w:line="288" w:before="0" w:after="0"/>
        <w:jc w:val="left"/>
        <w:rPr>
          <w:color w:val="1F497D"/>
        </w:rPr>
      </w:pPr>
      <w:r>
        <w:rPr>
          <w:color w:val="1F497D"/>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4940"/>
                <wp:effectExtent l="0" t="0" r="0" b="0"/>
                <wp:wrapNone/>
                <wp:docPr id="9" name="Frame9"/>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120" w:after="283"/>
        <w:jc w:val="left"/>
        <w:rPr>
          <w:rFonts w:ascii="Calibri;sans-serif" w:hAnsi="Calibri;sans-serif"/>
          <w:b/>
          <w:color w:val="000000"/>
          <w:sz w:val="20"/>
        </w:rPr>
      </w:pPr>
      <w:r>
        <w:rPr>
          <w:rFonts w:ascii="Calibri;sans-serif" w:hAnsi="Calibri;sans-serif"/>
          <w:b/>
          <w:color w:val="000000"/>
          <w:sz w:val="20"/>
        </w:rPr>
        <w:t>Note 2 — Acquisitions and Asset Sales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i/>
          <w:color w:val="000000"/>
          <w:sz w:val="20"/>
        </w:rPr>
        <w:t>Acquisition of The Miami Products &amp; Chemical Company:</w:t>
      </w:r>
      <w:r>
        <w:rPr>
          <w:color w:val="000000"/>
        </w:rPr>
        <w:t xml:space="preserve"> </w:t>
      </w:r>
      <w:r>
        <w:rPr>
          <w:rFonts w:ascii="Calibri;sans-serif" w:hAnsi="Calibri;sans-serif"/>
          <w:b w:val="false"/>
          <w:color w:val="000000"/>
          <w:sz w:val="20"/>
        </w:rPr>
        <w:t>On October 31, 2023, we acquired substantially all the assets of The Miami Products &amp; Chemical Company ("Miami Products") for $15.5 million under the terms of a purchase agreement with Miami Products and its shareholders. Miami Products is a bleach manufacturer and distributor serving customers primarily throughout Ohio and the surrounding region. The results of operations since the acquisition date and the assets are included in our Water Treatment segment. Costs associated with this transaction were not material and were expensed as incurred.</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acquisition has been accounted for under the acquisition method of accounting, under which the total purchase price is allocated to the net tangible and intangible assets and liabilities of Miami Products acquired in connection with the acquisition based on their estimated fair values. We estimated the fair values of the assets acquired and liabilities assumed using a discounted cash flow analysis (income approach). Of the $15.5 million purchase price, $8.2 million was allocated to customer lists, to be amortized over 11 years, and $0.8 million was allocated to trade names, to be amortized over 10 years. The remaining amount was allocated to net working capital and property, plant and equipment, with the residual amount of $3.1 million allocated to goodwill. The goodwill recognized as a result of this acquisition is primarily attributable to strategic and synergistic benefits, as well as the assembled workforce. Such goodwill is expected to be deductible for tax purposes. The purchase price allocation is preliminary and subject to adjustment within the first 12 months following the acquisition.</w:t>
      </w:r>
    </w:p>
    <w:p>
      <w:pPr>
        <w:pStyle w:val="TextBody"/>
        <w:bidi w:val="0"/>
        <w:spacing w:lineRule="auto" w:line="288" w:before="120" w:after="283"/>
        <w:jc w:val="both"/>
        <w:rPr/>
      </w:pPr>
      <w:r>
        <w:rPr>
          <w:rFonts w:ascii="Calibri;sans-serif" w:hAnsi="Calibri;sans-serif"/>
          <w:b/>
          <w:i/>
          <w:color w:val="000000"/>
          <w:sz w:val="20"/>
        </w:rPr>
        <w:t>Acquisition of Water Solutions Unlimited, Inc.:</w:t>
      </w:r>
      <w:r>
        <w:rPr>
          <w:color w:val="000000"/>
        </w:rPr>
        <w:t xml:space="preserve"> </w:t>
      </w:r>
      <w:r>
        <w:rPr>
          <w:rFonts w:ascii="Calibri;sans-serif" w:hAnsi="Calibri;sans-serif"/>
          <w:b w:val="false"/>
          <w:color w:val="000000"/>
          <w:sz w:val="20"/>
        </w:rPr>
        <w:t>On October 27, 2023, we acquired substantially all the assets of Water Solutions Unlimited, Inc. ("Water Solutions") under the terms of a purchase agreement with Water Solutions and its shareholders. We paid $60 million at closing and may be obligated to pay an additional amount based on achieving a certain earnings target three years after the acquisition. Water Solutions is a manufacturer and distributor of water treatment chemicals serving customers primarily throughout Indiana, Illinois and Michigan. The results of operations since the acquisition date and the assets are included in our Water Treatment segment. Costs associated with this transaction were not material and were expensed as incurred.</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acquisition has been accounted for under the acquisition method of accounting, under which the total purchase price is allocated to the net tangible and intangible assets and liabilities of Water Solutions acquired in connection with the acquisition based on their estimated fair values. We estimated the fair values of the assets acquired and liabilities assumed using a discounted cash flow analysis (income approach). The total purchase price was estimated to be $70.7 million, including the estimated potential earnout to be paid of $10.7 million. Of the $70.7 million purchase price, $32.0 million was allocated to customer lists, to be amortized over 13 years, $6.4 million was allocated to trade names, to be amortized over 10 years, and $0.2 million was allocated to non-compete agreements, to be amortized over five years. The remaining amount was allocated to net working capital and property, plant and equipment, with the residual amount of $21.0 million allocated to goodwill. The goodwill recognized as a result of this acquisition is primarily attributable to strategic and synergistic benefits, as well as the assembled workforce. Such goodwill is expected to be deductible for tax purposes. The purchase price allocation is preliminary and subject to adjustment within the first 12 months following the acquisition.</w:t>
      </w:r>
    </w:p>
    <w:p>
      <w:pPr>
        <w:pStyle w:val="TextBody"/>
        <w:bidi w:val="0"/>
        <w:spacing w:lineRule="auto" w:line="288" w:before="120" w:after="283"/>
        <w:jc w:val="both"/>
        <w:rPr/>
      </w:pPr>
      <w:r>
        <w:rPr>
          <w:rFonts w:ascii="Calibri;sans-serif" w:hAnsi="Calibri;sans-serif"/>
          <w:b/>
          <w:i/>
          <w:color w:val="000000"/>
          <w:sz w:val="20"/>
        </w:rPr>
        <w:t>Acquisition of EcoTech Enterprises, Inc.:</w:t>
      </w:r>
      <w:r>
        <w:rPr>
          <w:color w:val="000000"/>
        </w:rPr>
        <w:t xml:space="preserve"> </w:t>
      </w:r>
      <w:r>
        <w:rPr>
          <w:rFonts w:ascii="Calibri;sans-serif" w:hAnsi="Calibri;sans-serif"/>
          <w:b w:val="false"/>
          <w:color w:val="000000"/>
          <w:sz w:val="20"/>
        </w:rPr>
        <w:t xml:space="preserve">On July 14, 2023, we acquired substantially all the assets of EcoTech Enterprises, Inc. ("EcoTech") for $3.4 million, under the terms of a purchase agreement with EcoTech and its shareholders. EcoTech was a water treatment chemical distribution company operating primarily in Arkansas. The $3.4 million purchase price was allocated primarily to customer lists, to be amortized over 10 years, property, plant and equipment, and net working capital. The results of operations since the acquisition date and the assets are included in our Water Treatment segment. Costs associated with this transaction were not material and were expensed as incurred. </w:t>
      </w:r>
    </w:p>
    <w:p>
      <w:pPr>
        <w:pStyle w:val="TextBody"/>
        <w:bidi w:val="0"/>
        <w:spacing w:lineRule="auto" w:line="288" w:before="120" w:after="283"/>
        <w:jc w:val="both"/>
        <w:rPr/>
      </w:pPr>
      <w:r>
        <w:rPr>
          <w:rFonts w:ascii="Calibri;sans-serif" w:hAnsi="Calibri;sans-serif"/>
          <w:b/>
          <w:i/>
          <w:color w:val="000000"/>
          <w:sz w:val="20"/>
        </w:rPr>
        <w:t>Sale of bleach packaging assets:</w:t>
      </w:r>
      <w:r>
        <w:rPr>
          <w:color w:val="000000"/>
        </w:rPr>
        <w:t xml:space="preserve"> </w:t>
      </w:r>
      <w:r>
        <w:rPr>
          <w:rFonts w:ascii="Calibri;sans-serif" w:hAnsi="Calibri;sans-serif"/>
          <w:b w:val="false"/>
          <w:color w:val="000000"/>
          <w:sz w:val="20"/>
        </w:rPr>
        <w:t>In the fourth quarter of fiscal 2023, we sold certain assets in our Industrial segment related to our consumer bleach packaging business for $7 million. These assets were not core to our Industrial segment operations, where we tend to focus our manufacturing operations on bulk products. The assets sold included plant equipment, inventory and intangible assets, all related to the packaging of bleach. We realized a gain of $3 million on this sale, which has been recorded within selling, general and administrative expenses.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4940"/>
                <wp:effectExtent l="0" t="0" r="0" b="0"/>
                <wp:wrapNone/>
                <wp:docPr id="10" name="Frame10"/>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3 - Revenue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 The following tables disaggregate external customer net sales by major revenue stream for the nine months ended December 31, 2023 and January 1, 2023:</w:t>
      </w:r>
    </w:p>
    <w:tbl>
      <w:tblPr>
        <w:tblW w:w="9734" w:type="dxa"/>
        <w:jc w:val="left"/>
        <w:tblInd w:w="0" w:type="dxa"/>
        <w:tblLayout w:type="fixed"/>
        <w:tblCellMar>
          <w:top w:w="28" w:type="dxa"/>
          <w:left w:w="28" w:type="dxa"/>
          <w:bottom w:w="28" w:type="dxa"/>
          <w:right w:w="28" w:type="dxa"/>
        </w:tblCellMar>
      </w:tblPr>
      <w:tblGrid>
        <w:gridCol w:w="1492"/>
        <w:gridCol w:w="1313"/>
        <w:gridCol w:w="131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9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 December 31, 2023</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159,576 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 January 1, 2023</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164,176 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Nine months ended December 31, 2023</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264,878 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249,155 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542,989 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312,398 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276,595 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Nine months ended January 1, 2023</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Water </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Health and </w:t>
              <w:br/>
              <w:t>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Manufactured, blended or repackaged products</w:t>
            </w:r>
            <w:r>
              <w:rPr>
                <w:color w:val="000000"/>
              </w:rPr>
              <w:t xml:space="preserve"> </w:t>
            </w:r>
            <w:r>
              <w:rPr>
                <w:rFonts w:ascii="Calibri;sans-serif" w:hAnsi="Calibri;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286,818 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530,562 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Distributed specialty products</w:t>
            </w:r>
            <w:r>
              <w:rPr>
                <w:color w:val="000000"/>
              </w:rPr>
              <w:t xml:space="preserve"> </w:t>
            </w:r>
            <w:r>
              <w:rPr>
                <w:rFonts w:ascii="Calibri;sans-serif" w:hAnsi="Calibri;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Bulk products </w:t>
            </w:r>
            <w:r>
              <w:rPr>
                <w:rFonts w:ascii="Calibri;sans-serif" w:hAnsi="Calibri;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external customer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353,085 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706,953 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rFonts w:ascii="Calibri;sans-serif" w:hAnsi="Calibri;sans-serif"/>
          <w:b w:val="false"/>
          <w:color w:val="000000"/>
          <w:sz w:val="18"/>
        </w:rPr>
      </w:pPr>
      <w:r>
        <w:rPr>
          <w:rFonts w:ascii="Calibri;sans-serif" w:hAnsi="Calibri;sans-serif"/>
          <w:b w:val="false"/>
          <w:color w:val="000000"/>
          <w:sz w:val="18"/>
        </w:rPr>
        <w:t>(1)For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pStyle w:val="TextBody"/>
        <w:bidi w:val="0"/>
        <w:spacing w:lineRule="auto" w:line="288"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(2)This line includes non-manufactured distributed specialty products in our Health and Nutrition segment, which may be sold out of one of our facilities or direct shipped to our customers.</w:t>
      </w:r>
    </w:p>
    <w:p>
      <w:pPr>
        <w:pStyle w:val="TextBody"/>
        <w:bidi w:val="0"/>
        <w:spacing w:lineRule="auto" w:line="288" w:before="0" w:after="0"/>
        <w:ind w:left="0" w:right="0" w:hanging="360"/>
        <w:jc w:val="both"/>
        <w:rPr>
          <w:rFonts w:ascii="Calibri;sans-serif" w:hAnsi="Calibri;sans-serif"/>
          <w:b w:val="false"/>
          <w:color w:val="000000"/>
          <w:sz w:val="18"/>
        </w:rPr>
      </w:pPr>
      <w:r>
        <w:rPr>
          <w:rFonts w:ascii="Calibri;sans-serif" w:hAnsi="Calibri;sans-serif"/>
          <w:b w:val="false"/>
          <w:color w:val="000000"/>
          <w:sz w:val="18"/>
        </w:rPr>
        <w:t>(3)This line includes bulk products in our Industrial and Water Treatment segments that we do not modify in any way, but receive, store, and ship from our facilities, or direct ship to our customers in large quantities.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4940"/>
                <wp:effectExtent l="0" t="0" r="0" b="0"/>
                <wp:wrapNone/>
                <wp:docPr id="11" name="Frame11"/>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4 – Earnings per Share</w:t>
      </w:r>
    </w:p>
    <w:p>
      <w:pPr>
        <w:pStyle w:val="TextBody"/>
        <w:bidi w:val="0"/>
        <w:spacing w:before="0" w:after="0"/>
        <w:jc w:val="left"/>
        <w:rPr/>
      </w:pPr>
      <w:r>
        <w:rPr/>
      </w:r>
    </w:p>
    <w:p>
      <w:pPr>
        <w:pStyle w:val="TextBody"/>
        <w:bidi w:val="0"/>
        <w:spacing w:lineRule="auto" w:line="288" w:before="0" w:after="120"/>
        <w:jc w:val="left"/>
        <w:rPr>
          <w:rFonts w:ascii="Calibri;sans-serif" w:hAnsi="Calibri;sans-serif"/>
          <w:b w:val="false"/>
          <w:color w:val="000000"/>
          <w:sz w:val="20"/>
        </w:rPr>
      </w:pPr>
      <w:r>
        <w:rPr>
          <w:rFonts w:ascii="Calibri;sans-serif" w:hAnsi="Calibri;sans-serif"/>
          <w:b w:val="false"/>
          <w:color w:val="000000"/>
          <w:sz w:val="20"/>
        </w:rPr>
        <w:t xml:space="preserve">Basic earnings per share (“EPS”) is computed by dividing net earnings by the weighted-average number of common shares outstanding. Diluted EPS includes the dilutive impact of incremental shares assumed to be issued as performance units and restricted stock. </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Basic and diluted EPS were calculated using the following:</w:t>
      </w:r>
    </w:p>
    <w:tbl>
      <w:tblPr>
        <w:tblW w:w="10205" w:type="dxa"/>
        <w:jc w:val="left"/>
        <w:tblInd w:w="0" w:type="dxa"/>
        <w:tblLayout w:type="fixed"/>
        <w:tblCellMar>
          <w:top w:w="28" w:type="dxa"/>
          <w:left w:w="28" w:type="dxa"/>
          <w:bottom w:w="28" w:type="dxa"/>
          <w:right w:w="28" w:type="dxa"/>
        </w:tblCellMar>
      </w:tblPr>
      <w:tblGrid>
        <w:gridCol w:w="982"/>
        <w:gridCol w:w="863"/>
        <w:gridCol w:w="867"/>
        <w:gridCol w:w="109"/>
        <w:gridCol w:w="109"/>
        <w:gridCol w:w="109"/>
        <w:gridCol w:w="574"/>
        <w:gridCol w:w="532"/>
        <w:gridCol w:w="418"/>
        <w:gridCol w:w="144"/>
        <w:gridCol w:w="144"/>
        <w:gridCol w:w="144"/>
        <w:gridCol w:w="540"/>
        <w:gridCol w:w="541"/>
        <w:gridCol w:w="338"/>
        <w:gridCol w:w="109"/>
        <w:gridCol w:w="109"/>
        <w:gridCol w:w="109"/>
        <w:gridCol w:w="574"/>
        <w:gridCol w:w="532"/>
        <w:gridCol w:w="418"/>
        <w:gridCol w:w="139"/>
        <w:gridCol w:w="139"/>
        <w:gridCol w:w="139"/>
        <w:gridCol w:w="540"/>
        <w:gridCol w:w="541"/>
        <w:gridCol w:w="442"/>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Nine Months Ended</w:t>
            </w:r>
          </w:p>
        </w:tc>
      </w:tr>
      <w:tr>
        <w:trPr/>
        <w:tc>
          <w:tcPr>
            <w:tcW w:w="2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43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January 01,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41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January 01, 2023</w:t>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Weighted-average common shares outstanding—basic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20,781,632 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20,818,347 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20,864,349 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20,847,285 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Dilutive impact of performance units and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125,689 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155,917 </w:t>
            </w:r>
          </w:p>
        </w:tc>
        <w:tc>
          <w:tcPr>
            <w:tcW w:w="3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139,728 </w:t>
            </w:r>
          </w:p>
        </w:tc>
        <w:tc>
          <w:tcPr>
            <w:tcW w:w="4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157,564 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Weighted-average common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20,907,321 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20,974,264 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21,004,077 </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21,004,849 </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For each of the periods presented, there were no shares excluded from the calculation of weighted-average common shares for diluted EPS.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5 – Fair Value Measurements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financial assets and liabilities are measured at fair value at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pStyle w:val="TextBody"/>
        <w:bidi w:val="0"/>
        <w:spacing w:before="120" w:after="283"/>
        <w:jc w:val="left"/>
        <w:rPr/>
      </w:pPr>
      <w:r>
        <w:rPr/>
      </w:r>
    </w:p>
    <w:p>
      <w:pPr>
        <w:pStyle w:val="TextBody"/>
        <w:bidi w:val="0"/>
        <w:spacing w:lineRule="auto" w:line="288" w:before="0" w:after="0"/>
        <w:jc w:val="left"/>
        <w:rPr/>
      </w:pPr>
      <w:r>
        <w:rPr>
          <w:rFonts w:ascii="Calibri;sans-serif" w:hAnsi="Calibri;sans-serif"/>
          <w:b/>
          <w:i/>
          <w:color w:val="000000"/>
          <w:sz w:val="20"/>
        </w:rPr>
        <w:t>Assets and Liabilities Measured at Fair Value on a Recurring Basis.</w:t>
      </w:r>
      <w:r>
        <w:rPr>
          <w:color w:val="000000"/>
        </w:rPr>
        <w:t>  </w:t>
      </w:r>
      <w:r>
        <w:rPr>
          <w:rFonts w:ascii="Calibri;sans-serif" w:hAnsi="Calibri;sans-serif"/>
          <w:b w:val="false"/>
          <w:color w:val="000000"/>
          <w:sz w:val="20"/>
        </w:rPr>
        <w:t xml:space="preserve">The fair value hierarchy requires the use of observable market data 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w:t>
      </w:r>
    </w:p>
    <w:p>
      <w:pPr>
        <w:pStyle w:val="TextBody"/>
        <w:bidi w:val="0"/>
        <w:spacing w:lineRule="auto" w:line="288" w:before="0" w:after="0"/>
        <w:jc w:val="left"/>
        <w:rPr>
          <w:color w:val="000000"/>
        </w:rPr>
      </w:pPr>
      <w:r>
        <w:rPr>
          <w:color w:val="000000"/>
        </w:rPr>
        <w:t> </w:t>
      </w:r>
    </w:p>
    <w:p>
      <w:pPr>
        <w:pStyle w:val="TextBody"/>
        <w:bidi w:val="0"/>
        <w:spacing w:lineRule="auto" w:line="268" w:before="120" w:after="283"/>
        <w:jc w:val="left"/>
        <w:rPr>
          <w:rFonts w:ascii="Calibri;sans-serif" w:hAnsi="Calibri;sans-serif"/>
          <w:b w:val="false"/>
          <w:color w:val="000000"/>
          <w:sz w:val="20"/>
        </w:rPr>
      </w:pPr>
      <w:r>
        <w:rPr>
          <w:rFonts w:ascii="Calibri;sans-serif" w:hAnsi="Calibri;sans-serif"/>
          <w:b w:val="false"/>
          <w:color w:val="000000"/>
          <w:sz w:val="20"/>
        </w:rPr>
        <w:t>Our financial assets that are measured at fair value on a recurring basis are an interest rate swap and assets held in a deferred compensation retirement plan. Both of these assets are classified as long-term assets on our balance sheet, with the portion of the deferred compensation retirement plan assets expected to be paid within twelve months classified as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pStyle w:val="TextBody"/>
        <w:bidi w:val="0"/>
        <w:spacing w:lineRule="auto" w:line="288" w:before="120" w:after="120"/>
        <w:jc w:val="left"/>
        <w:rPr>
          <w:rFonts w:ascii="Calibri;sans-serif" w:hAnsi="Calibri;sans-serif"/>
          <w:b w:val="false"/>
          <w:color w:val="000000"/>
          <w:sz w:val="20"/>
        </w:rPr>
      </w:pPr>
      <w:r>
        <w:rPr>
          <w:rFonts w:ascii="Calibri;sans-serif" w:hAnsi="Calibri;sans-serif"/>
          <w:b w:val="false"/>
          <w:color w:val="000000"/>
          <w:sz w:val="20"/>
        </w:rPr>
        <w:t xml:space="preserve">The following tables summarize the balances of assets and liabilities measured at fair value on a recurring basis as of December 31, 2023 and April 2, 2023.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Calibri;sans-serif" w:hAnsi="Calibri;sans-serif"/>
          <w:b w:val="false"/>
          <w:color w:val="000000"/>
          <w:sz w:val="2"/>
        </w:rPr>
        <w:t>0</w:t>
      </w:r>
    </w:p>
    <w:tbl>
      <w:tblPr>
        <w:tblW w:w="7473" w:type="dxa"/>
        <w:jc w:val="left"/>
        <w:tblInd w:w="0" w:type="dxa"/>
        <w:tblLayout w:type="fixed"/>
        <w:tblCellMar>
          <w:top w:w="28" w:type="dxa"/>
          <w:left w:w="28" w:type="dxa"/>
          <w:bottom w:w="28" w:type="dxa"/>
          <w:right w:w="28" w:type="dxa"/>
        </w:tblCellMar>
      </w:tblPr>
      <w:tblGrid>
        <w:gridCol w:w="1057"/>
        <w:gridCol w:w="929"/>
        <w:gridCol w:w="938"/>
        <w:gridCol w:w="109"/>
        <w:gridCol w:w="109"/>
        <w:gridCol w:w="109"/>
        <w:gridCol w:w="214"/>
        <w:gridCol w:w="214"/>
        <w:gridCol w:w="216"/>
        <w:gridCol w:w="109"/>
        <w:gridCol w:w="109"/>
        <w:gridCol w:w="109"/>
        <w:gridCol w:w="387"/>
        <w:gridCol w:w="1135"/>
        <w:gridCol w:w="202"/>
        <w:gridCol w:w="109"/>
        <w:gridCol w:w="109"/>
        <w:gridCol w:w="109"/>
        <w:gridCol w:w="258"/>
        <w:gridCol w:w="754"/>
        <w:gridCol w:w="188"/>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 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Deferred compensation plan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9,803 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3,694 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6 – Inventories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Inventories at December 31, 2023 and April 2, 2023 consisted of the following:</w:t>
      </w:r>
    </w:p>
    <w:tbl>
      <w:tblPr>
        <w:tblW w:w="4948"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232"/>
        <w:gridCol w:w="908"/>
        <w:gridCol w:w="119"/>
        <w:gridCol w:w="109"/>
        <w:gridCol w:w="109"/>
        <w:gridCol w:w="109"/>
        <w:gridCol w:w="211"/>
        <w:gridCol w:w="82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w:t>
              <w:br/>
              <w:t>2023</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Inventory (FIFO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102,657 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LIFO 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(33,852)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(39,812)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68,805 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88,777 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first in, first out (“FIFO”) value of inventories accounted for under the last in, first out (“LIFO”) method was $78.7 million at December 31, 2023 and $101.4 million at April 2, 2023. The remainder of the inventory was valued and accounted for under the FIFO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4940"/>
                <wp:effectExtent l="0" t="0" r="0" b="0"/>
                <wp:wrapNone/>
                <wp:docPr id="12" name="Frame12"/>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7 – Goodwill and Intangible Assets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The carrying amount of goodwill was $101.5 million as of December 31, 2023 and $77.4 million as of April 2, 2023, of which $44.9 million was related to our Health and Nutrition segment, $50.1 million was related to our Water Treatment segment, and $6.5 million was related to our Industrial segment. The increase in    goodwill    during the nine months ended December 31, 2023 represents goodwill recorded in connection with the acquisitions    of the assets of Water Solutions and Miami Products as discussed in Note 2.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 summary of our intangible assets as of December 31, 2023 and April 2, 2023 is as follows:</w:t>
      </w:r>
    </w:p>
    <w:tbl>
      <w:tblPr>
        <w:tblW w:w="10205" w:type="dxa"/>
        <w:jc w:val="left"/>
        <w:tblInd w:w="0" w:type="dxa"/>
        <w:tblLayout w:type="fixed"/>
        <w:tblCellMar>
          <w:top w:w="28" w:type="dxa"/>
          <w:left w:w="28" w:type="dxa"/>
          <w:bottom w:w="28" w:type="dxa"/>
          <w:right w:w="28" w:type="dxa"/>
        </w:tblCellMar>
      </w:tblPr>
      <w:tblGrid>
        <w:gridCol w:w="731"/>
        <w:gridCol w:w="421"/>
        <w:gridCol w:w="422"/>
        <w:gridCol w:w="109"/>
        <w:gridCol w:w="109"/>
        <w:gridCol w:w="109"/>
        <w:gridCol w:w="211"/>
        <w:gridCol w:w="826"/>
        <w:gridCol w:w="109"/>
        <w:gridCol w:w="109"/>
        <w:gridCol w:w="109"/>
        <w:gridCol w:w="109"/>
        <w:gridCol w:w="211"/>
        <w:gridCol w:w="752"/>
        <w:gridCol w:w="109"/>
        <w:gridCol w:w="109"/>
        <w:gridCol w:w="109"/>
        <w:gridCol w:w="109"/>
        <w:gridCol w:w="211"/>
        <w:gridCol w:w="826"/>
        <w:gridCol w:w="109"/>
        <w:gridCol w:w="109"/>
        <w:gridCol w:w="109"/>
        <w:gridCol w:w="109"/>
        <w:gridCol w:w="211"/>
        <w:gridCol w:w="826"/>
        <w:gridCol w:w="109"/>
        <w:gridCol w:w="109"/>
        <w:gridCol w:w="109"/>
        <w:gridCol w:w="109"/>
        <w:gridCol w:w="211"/>
        <w:gridCol w:w="752"/>
        <w:gridCol w:w="109"/>
        <w:gridCol w:w="109"/>
        <w:gridCol w:w="109"/>
        <w:gridCol w:w="109"/>
        <w:gridCol w:w="211"/>
        <w:gridCol w:w="721"/>
        <w:gridCol w:w="155"/>
      </w:tblGrid>
      <w:tr>
        <w:trPr/>
        <w:tc>
          <w:tcPr>
            <w:tcW w:w="73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April 2, 2023</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Gross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Net</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70,730 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Trademarks and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finite-life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168,835 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71,833 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Indefinite-life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73,060 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8 – Debt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Debt at December 31, 2023 and April 2, 2023 consisted of the following:</w:t>
      </w:r>
    </w:p>
    <w:tbl>
      <w:tblPr>
        <w:tblW w:w="6516" w:type="dxa"/>
        <w:jc w:val="left"/>
        <w:tblInd w:w="0" w:type="dxa"/>
        <w:tblLayout w:type="fixed"/>
        <w:tblCellMar>
          <w:top w:w="28" w:type="dxa"/>
          <w:left w:w="28" w:type="dxa"/>
          <w:bottom w:w="28" w:type="dxa"/>
          <w:right w:w="28" w:type="dxa"/>
        </w:tblCellMar>
      </w:tblPr>
      <w:tblGrid>
        <w:gridCol w:w="1156"/>
        <w:gridCol w:w="1017"/>
        <w:gridCol w:w="1021"/>
        <w:gridCol w:w="109"/>
        <w:gridCol w:w="109"/>
        <w:gridCol w:w="109"/>
        <w:gridCol w:w="232"/>
        <w:gridCol w:w="908"/>
        <w:gridCol w:w="119"/>
        <w:gridCol w:w="109"/>
        <w:gridCol w:w="109"/>
        <w:gridCol w:w="109"/>
        <w:gridCol w:w="211"/>
        <w:gridCol w:w="826"/>
        <w:gridCol w:w="109"/>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April 2,</w:t>
              <w:b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119,710 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109,797 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101,731 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were in compliance with all covenants of our credit agreement as of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9 – Income Taxes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We are subject to U.S. federal income tax as well as income tax of multiple state jurisdictions. The tax years prior to our fiscal year ended March 28, 2021 are closed to examination by the Internal Revenue Service, and with few exceptions, state and local income tax jurisdictions. Our effective income tax rate was 25% for the nine months ended December 31, 2023, compared to 26% for the nine months ended January 1, 2023. The effective tax rate is impacted by projected levels of annual taxable income, permanent items, and state taxes.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4940"/>
                <wp:effectExtent l="0" t="0" r="0" b="0"/>
                <wp:wrapNone/>
                <wp:docPr id="13" name="Frame13"/>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10 – Share-Based Compensation </w:t>
      </w:r>
    </w:p>
    <w:p>
      <w:pPr>
        <w:pStyle w:val="TextBody"/>
        <w:bidi w:val="0"/>
        <w:spacing w:lineRule="auto" w:line="288" w:before="120" w:after="283"/>
        <w:jc w:val="left"/>
        <w:rPr/>
      </w:pPr>
      <w:r>
        <w:rPr>
          <w:rFonts w:ascii="Calibri;sans-serif" w:hAnsi="Calibri;sans-serif"/>
          <w:b/>
          <w:i/>
          <w:color w:val="000000"/>
          <w:sz w:val="20"/>
        </w:rPr>
        <w:t>Performance-Based Restricted Stock Units</w:t>
      </w:r>
      <w:r>
        <w:rPr>
          <w:rFonts w:ascii="Calibri;sans-serif" w:hAnsi="Calibri;sans-serif"/>
          <w:b w:val="false"/>
          <w:i/>
          <w:color w:val="000000"/>
          <w:sz w:val="20"/>
        </w:rPr>
        <w:t>.</w:t>
      </w:r>
      <w:r>
        <w:rPr>
          <w:color w:val="000000"/>
        </w:rPr>
        <w:t xml:space="preserve"> </w:t>
      </w:r>
      <w:r>
        <w:rPr>
          <w:rFonts w:ascii="Calibri;sans-serif" w:hAnsi="Calibri;sans-serif"/>
          <w:b w:val="false"/>
          <w:color w:val="000000"/>
          <w:sz w:val="20"/>
        </w:rPr>
        <w:t xml:space="preserve">Our Board of Directors (the “Board”) approved a performance-based equity compensation arrangement for our executive officers during the first quarters of each of fiscal 2024 and fiscal 2023.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70,859 shares in the aggregate for fiscal 2024.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The following table represents the restricted stock activity for the nine months ended December 31, 2023: </w:t>
      </w:r>
    </w:p>
    <w:tbl>
      <w:tblPr>
        <w:tblW w:w="5715" w:type="dxa"/>
        <w:jc w:val="left"/>
        <w:tblInd w:w="0" w:type="dxa"/>
        <w:tblLayout w:type="fixed"/>
        <w:tblCellMar>
          <w:top w:w="28" w:type="dxa"/>
          <w:left w:w="28" w:type="dxa"/>
          <w:bottom w:w="28" w:type="dxa"/>
          <w:right w:w="28" w:type="dxa"/>
        </w:tblCellMar>
      </w:tblPr>
      <w:tblGrid>
        <w:gridCol w:w="960"/>
        <w:gridCol w:w="846"/>
        <w:gridCol w:w="848"/>
        <w:gridCol w:w="109"/>
        <w:gridCol w:w="109"/>
        <w:gridCol w:w="109"/>
        <w:gridCol w:w="449"/>
        <w:gridCol w:w="451"/>
        <w:gridCol w:w="201"/>
        <w:gridCol w:w="109"/>
        <w:gridCol w:w="109"/>
        <w:gridCol w:w="109"/>
        <w:gridCol w:w="280"/>
        <w:gridCol w:w="820"/>
        <w:gridCol w:w="206"/>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Weighted-</w:t>
              <w:br/>
              <w:t>Average Grant</w:t>
              <w:br/>
              <w:t>Date Fair Value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189,258 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34.64 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61,819 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43.06 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(105,600)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145,477 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40.33 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We recorded compensation expense related to performance share units and restricted stock of $1.0 million and $2.7 million for the three and nine months ended December 31, 2023, respectively. We recorded compensation expense related to performance share units and restricted stock of $0.8 million and $2.0 million for the three and nine months ended January 1, 2023, respectively. Substantially all of the compensation expense was recorded in selling, general and administrative expenses in the condensed consolidated statements of income.</w:t>
      </w:r>
    </w:p>
    <w:p>
      <w:pPr>
        <w:pStyle w:val="TextBody"/>
        <w:bidi w:val="0"/>
        <w:spacing w:lineRule="auto" w:line="276" w:before="120" w:after="283"/>
        <w:jc w:val="left"/>
        <w:rPr/>
      </w:pPr>
      <w:r>
        <w:rPr>
          <w:rFonts w:ascii="Calibri;sans-serif" w:hAnsi="Calibri;sans-serif"/>
          <w:b/>
          <w:i/>
          <w:color w:val="000000"/>
          <w:sz w:val="20"/>
        </w:rPr>
        <w:t>Restricted Stock Awards</w:t>
      </w:r>
      <w:r>
        <w:rPr>
          <w:rFonts w:ascii="Calibri;sans-serif" w:hAnsi="Calibri;sans-serif"/>
          <w:b w:val="false"/>
          <w:i/>
          <w:color w:val="000000"/>
          <w:sz w:val="20"/>
        </w:rPr>
        <w:t>.</w:t>
      </w:r>
      <w:r>
        <w:rPr>
          <w:color w:val="000000"/>
        </w:rPr>
        <w:t xml:space="preserve"> </w:t>
      </w:r>
      <w:r>
        <w:rPr>
          <w:rFonts w:ascii="Calibri;sans-serif" w:hAnsi="Calibri;sans-serif"/>
          <w:b w:val="false"/>
          <w:color w:val="000000"/>
          <w:sz w:val="20"/>
        </w:rPr>
        <w:t xml:space="preserve">As part of their retainer, our directors, other than the Chief Executive Officer, receive restricted stock for their Board services. The restricted stock awards are generally expensed over a one-year vesting period, based on the market value on the date of grant. As of December 31, 2023, there were 10,647 shares of restricted stock with an average grant date fair value of $46.00 outstanding under this program. Compensation expense for both the three months ended December 31, 2023 and January 1, 2023 related to restricted stock awards to the Board was $0.1 million. Compensation expense related to restricted stock awards to the Board for the nine months ended December 31, 2023 was $0.4 million and for the nine months ended January 1, 2023 was $0.3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 xml:space="preserve">Note 11 – Share Repurchase Program </w:t>
      </w:r>
    </w:p>
    <w:p>
      <w:pPr>
        <w:pStyle w:val="TextBody"/>
        <w:bidi w:val="0"/>
        <w:spacing w:lineRule="auto" w:line="268" w:before="120" w:after="283"/>
        <w:jc w:val="left"/>
        <w:rPr>
          <w:rFonts w:ascii="Calibri;sans-serif" w:hAnsi="Calibri;sans-serif"/>
          <w:b w:val="false"/>
          <w:color w:val="000000"/>
          <w:sz w:val="20"/>
        </w:rPr>
      </w:pPr>
      <w:r>
        <w:rPr>
          <w:rFonts w:ascii="Calibri;sans-serif" w:hAnsi="Calibri;sans-serif"/>
          <w:b w:val="false"/>
          <w:color w:val="000000"/>
          <w:sz w:val="20"/>
        </w:rPr>
        <w:t xml:space="preserve">Our Board has authorized the repurchase of up to 2.6 million shares of our outstanding common shares. The shares may be repurchased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December 31, 2023, we repurchased 24,065 shares at an aggregate purchase price of $1.5 million. During the nine months ended December 31, 2023, we repurchased 191,861 shares at an aggregate purchase price of $11.3 million. During the three months ended January 1, 2023, no shares were repurchased, and during the nine months ended January 1, 2023, we repurchased 181,657 shares at an aggregate purchase price of $6.6 million. As of December 31, 2023, 937,487 shares remained available to be repurchased under the share repurchase program.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4940"/>
                <wp:effectExtent l="0" t="0" r="0" b="0"/>
                <wp:wrapNone/>
                <wp:docPr id="14" name="Frame14"/>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Note 12 – Segment Information</w:t>
      </w:r>
    </w:p>
    <w:p>
      <w:pPr>
        <w:pStyle w:val="TextBody"/>
        <w:bidi w:val="0"/>
        <w:spacing w:lineRule="auto" w:line="288" w:before="120" w:after="283"/>
        <w:jc w:val="left"/>
        <w:rPr/>
      </w:pPr>
      <w:r>
        <w:rPr>
          <w:rFonts w:ascii="Calibri;sans-serif" w:hAnsi="Calibri;sans-serif"/>
          <w:b w:val="false"/>
          <w:color w:val="000000"/>
          <w:sz w:val="20"/>
        </w:rPr>
        <w:t xml:space="preserve">We have three reportable segments: Industrial, Water Treatment, and Health and Nutrition. The accounting policies of the segments are the same as those described in the summary of significant accounting policies in our </w:t>
      </w:r>
      <w:hyperlink r:id="rId4">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xml:space="preserve">.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11"/>
        <w:gridCol w:w="1150"/>
        <w:gridCol w:w="1155"/>
        <w:gridCol w:w="109"/>
        <w:gridCol w:w="109"/>
        <w:gridCol w:w="109"/>
        <w:gridCol w:w="211"/>
        <w:gridCol w:w="826"/>
        <w:gridCol w:w="109"/>
        <w:gridCol w:w="109"/>
        <w:gridCol w:w="109"/>
        <w:gridCol w:w="109"/>
        <w:gridCol w:w="211"/>
        <w:gridCol w:w="826"/>
        <w:gridCol w:w="109"/>
        <w:gridCol w:w="109"/>
        <w:gridCol w:w="109"/>
        <w:gridCol w:w="109"/>
        <w:gridCol w:w="330"/>
        <w:gridCol w:w="1295"/>
        <w:gridCol w:w="170"/>
        <w:gridCol w:w="109"/>
        <w:gridCol w:w="109"/>
        <w:gridCol w:w="109"/>
        <w:gridCol w:w="211"/>
        <w:gridCol w:w="826"/>
        <w:gridCol w:w="157"/>
      </w:tblGrid>
      <w:tr>
        <w:trPr/>
        <w:tc>
          <w:tcPr>
            <w:tcW w:w="131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Health and Nutrition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Total</w:t>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208,496 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4,012 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23,774 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Three months ended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219,218 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36,271 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21,004 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2,986 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Nine months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312,398 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276,595 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107,149 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696,142 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18,523 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148,125 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64,173 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83,952 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Nine months ended January 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120,341 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706,953 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22,953 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129,394 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11,687 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59,727 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11,266 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 significant changes to identifiable assets by segment occurred during the nine months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4940"/>
                <wp:effectExtent l="0" t="0" r="0" b="0"/>
                <wp:wrapNone/>
                <wp:docPr id="15" name="Frame15"/>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Calibri;sans-serif" w:hAnsi="Calibri;sans-serif"/>
          <w:b w:val="false"/>
          <w:color w:val="000000"/>
          <w:sz w:val="20"/>
        </w:rPr>
      </w:pPr>
      <w:r>
        <w:rPr>
          <w:rFonts w:ascii="Calibri;sans-serif" w:hAnsi="Calibri;sans-serif"/>
          <w:b w:val="false"/>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color w:val="000000"/>
          <w:sz w:val="20"/>
        </w:rPr>
        <w:t xml:space="preserve">The following is a discussion and analysis of our financial condition and results of operations for the nine months ended December 31, 2023 as compared to the similar period ended January 1, 2023. This discussion should be read in conjunction with the condensed consolidated financial statements and notes to condensed consolidated financial statements included in this quarterly report on Form 10-Q and Item 8 of our </w:t>
      </w:r>
      <w:hyperlink r:id="rId5">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Calibri;sans-serif" w:hAnsi="Calibri;sans-serif"/>
          <w:b w:val="false"/>
          <w:i/>
          <w:color w:val="000000"/>
          <w:sz w:val="20"/>
        </w:rPr>
      </w:pPr>
      <w:r>
        <w:rPr>
          <w:rFonts w:ascii="Calibri;sans-serif" w:hAnsi="Calibri;sans-serif"/>
          <w:b w:val="false"/>
          <w:i/>
          <w:color w:val="000000"/>
          <w:sz w:val="20"/>
        </w:rPr>
        <w:t>Overview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 </w:t>
      </w:r>
    </w:p>
    <w:p>
      <w:pPr>
        <w:pStyle w:val="TextBody"/>
        <w:bidi w:val="0"/>
        <w:spacing w:before="0" w:after="0"/>
        <w:jc w:val="both"/>
        <w:rPr/>
      </w:pPr>
      <w:r>
        <w:rPr/>
      </w:r>
    </w:p>
    <w:p>
      <w:pPr>
        <w:pStyle w:val="TextBody"/>
        <w:bidi w:val="0"/>
        <w:spacing w:lineRule="auto" w:line="276" w:before="0" w:after="0"/>
        <w:jc w:val="both"/>
        <w:rPr>
          <w:rFonts w:ascii="Calibri;sans-serif" w:hAnsi="Calibri;sans-serif"/>
          <w:b w:val="false"/>
          <w:i/>
          <w:color w:val="000000"/>
          <w:sz w:val="20"/>
        </w:rPr>
      </w:pPr>
      <w:r>
        <w:rPr>
          <w:rFonts w:ascii="Calibri;sans-serif" w:hAnsi="Calibri;sans-serif"/>
          <w:b w:val="false"/>
          <w:i/>
          <w:color w:val="000000"/>
          <w:sz w:val="20"/>
        </w:rPr>
        <w:t>Business Acquisitions and Asset Sales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October 31, 2023, we acquired substantially all the assets of Miami Products &amp; Chemical Company ("Miami Products") for $15.5 million, under the terms of an asset purchase agreement with Miami Products and its shareholders. Miami Products is a bleach manufacturer and distributor serving customers primarily throughout Ohio and the surrounding region. The results of operations and the assets, including goodwill associated with this acquisition, are included as part of our Water Treatment segment from the date of acquisition forward.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October 27, 2023, we acquired substantially all the assets of Water Solutions Unlimited, Inc. ("Water Solutions") for $60 million and an additional amount to be paid after three years based on achieving certain targets, under the terms of an asset purchase agreement with Water Solutions and its shareholders. The total purchase price was estimated to be $70.7 million, including the estimated potential earnout to be paid of $10.7 million. Water Solutions is a manufacturer and distributor of water treatment chemicals serving customers primarily throughout Indiana, Illinois and Michigan. The results of operations and the assets, including goodwill associated with this acquisition, are included as part of our Water Treatment segment from the date of acquisition forward.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On July 14, 2023, we acquired substantially all the assets of EcoTech Enterprises, Inc. ("EcoTech") for $3.4 million, under the terms of an asset purchase agreement with EcoTech and its shareholders. EcoTech was a manufacturer and distributor of water treatment chemicals serving customers throughout Arkansas and surrounding states. The results of operations and the assets are included as part of our Water Treatment segment from the date of acquisition forward.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The aggregate annual revenue of these three businesses acquired in fiscal 2024 totaled approximately $66 million, as determined using the applicable twelve-month period preceding each respective acquisition date.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the fourth quarter of fiscal 2023, we sold certain assets in our Industrial segment related to our consumer bleach packaging business for $7 million. These assets were not deemed core to our Industrial segment operations. The assets sold included plant equipment, inventory, and intangible assets, all related to the packaging of bleach. We realized a gain of $3 million on this sale, which was recorded as a reduction to selling, general and administrative expenses.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shd w:fill="FFFFFF" w:val="clear"/>
        </w:rPr>
      </w:pPr>
      <w:r>
        <w:rPr>
          <w:rFonts w:ascii="Calibri;sans-serif" w:hAnsi="Calibri;sans-serif"/>
          <w:b w:val="false"/>
          <w:i/>
          <w:color w:val="000000"/>
          <w:sz w:val="20"/>
          <w:shd w:fill="FFFFFF" w:val="clear"/>
        </w:rPr>
        <w:t>Share Repurchase Program</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We have in place a share repurchase program for up to 2.6 million shares of our common shares. As of December 31, 2023, 937,487 shares remain available to be repurchased under this program.</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Financial Results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We focus on total profitability dollars when evaluating our financial results as opposed to profitability as a percentage of sales, as sales dollars tend to fluctuate as raw material prices rise and fall, particularly in our Industrial and Water Treatment segments. The costs for certain of our raw materials can rise or fall rapidly, causing fluctuations in gross profit as a percentage of sales.</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We use the last in, first out (“LIFO”) method of valuing the majority of our inventory in our Industrial and Water Treatment segments, which causes the most recent product costs to be recognized in our income statement. The LIFO inventory valuation method and the resulting cost of sales are consistent with our business practices of pricing to current chemical raw material prices. Inventories in our Health and Nutrition segment are valued using the first-in, first-out (“FIFO”) method.</w:t>
      </w:r>
    </w:p>
    <w:p>
      <w:pPr>
        <w:pStyle w:val="TextBody"/>
        <w:bidi w:val="0"/>
        <w:spacing w:before="0" w:after="0"/>
        <w:jc w:val="both"/>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 We disclose the percentage of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Results of Operations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The following table sets forth the percentage relationship of certain items to sales for the period indicated: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70"/>
        <w:gridCol w:w="839"/>
        <w:gridCol w:w="854"/>
        <w:gridCol w:w="109"/>
        <w:gridCol w:w="109"/>
        <w:gridCol w:w="109"/>
        <w:gridCol w:w="403"/>
        <w:gridCol w:w="361"/>
        <w:gridCol w:w="800"/>
        <w:gridCol w:w="145"/>
        <w:gridCol w:w="145"/>
        <w:gridCol w:w="145"/>
        <w:gridCol w:w="327"/>
        <w:gridCol w:w="316"/>
        <w:gridCol w:w="633"/>
        <w:gridCol w:w="109"/>
        <w:gridCol w:w="109"/>
        <w:gridCol w:w="109"/>
        <w:gridCol w:w="403"/>
        <w:gridCol w:w="361"/>
        <w:gridCol w:w="800"/>
        <w:gridCol w:w="138"/>
        <w:gridCol w:w="138"/>
        <w:gridCol w:w="138"/>
        <w:gridCol w:w="308"/>
        <w:gridCol w:w="308"/>
        <w:gridCol w:w="719"/>
      </w:tblGrid>
      <w:tr>
        <w:trPr/>
        <w:tc>
          <w:tcPr>
            <w:tcW w:w="127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Nine Months Ended</w:t>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January 1, 2023</w:t>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(79.7)</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(83.5)</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(78.7)</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(81.7)</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20.3 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16.5 </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21.3 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6.9 </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12.1 </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(0.6)</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(0.7)</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(0.5)</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0.4 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0.2 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(0.1)</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11.8 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2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7.1 </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4.8 </w:t>
            </w:r>
          </w:p>
        </w:tc>
        <w:tc>
          <w:tcPr>
            <w:tcW w:w="6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8.9 </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6.9 </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 xml:space="preserve">Three Months Ended December 31, 2023 Compared to Three Months Ended January 1, 2023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Sales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Sales were $208.5 million for the three months ended December 31, 2023, a decrease of $10.7 million, or 5%, from sales of $219.2 million in the same period a year ago. Increased sales in our Water Treatment segment were more than offset by decreased sales in our Industrial and Health and Nutrition segments.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Industrial segment sales decreased $21.4 million or 19%, to $93.0 million for the three months ended December 31, 2023, from sales of $114.4 million in the same period a year ago. Sales of bulk commodity products in the Industrial segment were approximately 14% of sales dollars in the three months ended December 31, 2023 and 18% in the same period of the prior year. The sale of our consumer bleach packaging business at the end of fiscal 2023 resulted in a $2.7 million decrease in sales in the current quarter. In addition, sales declined due to overall lower volumes as well as lower selling prices on certain products driven by lower raw material costs and competitive pricing pressures.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Water Treatment segment sales increased $13.5 million, or 20%, to $82.0 million for the three months ended December 31, 2023, from sales of $68.5 million in the same period a year ago. Sales of bulk commodity products in the Water Treatment segment were approximately 9% of sales dollars in the three months ended December 31, 2023 and 10% in the same period a year ago. Sales increased as a result of increased selling prices on many of our products as well as increased sales volumes of certain of our products, including $8.2 million of added sales from acquired businesses.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&amp; Nutrition Segment.</w:t>
      </w:r>
      <w:r>
        <w:rPr>
          <w:color w:val="000000"/>
        </w:rPr>
        <w:t xml:space="preserve"> </w:t>
      </w:r>
      <w:r>
        <w:rPr>
          <w:rFonts w:ascii="Calibri;sans-serif" w:hAnsi="Calibri;sans-serif"/>
          <w:b w:val="false"/>
          <w:color w:val="000000"/>
          <w:sz w:val="20"/>
        </w:rPr>
        <w:t>Health and Nutrition segment sales decreased $2.7 million, or 7%, to $33.5 million for the three months ended December 31, 2023, from sales of $36.2 million in the same period a year ago. The decrease in sales was a result of lower sales of our manufactured products, offset somewhat by increased sales of our specialty distributed products.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Gross Profit</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Gross profit increased $5.9 million, or 16%, to $42.2 million, or 20% of sales, for the three months ended December 31, 2023, from $36.3 million, or 17% of sales, in the same period a year ago. During the three months ended December 31, 2023, the LIFO reserve decreased, and gross profit increased, by $2.5 million due primarily to decreasing raw material prices. In the same quarter a year ago, the LIFO reserve increased, and gross profit decreased, by $3.7 million due primarily to rising raw material prices.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 xml:space="preserve">Gross profit for the Industrial segment increased $0.5 million, or 3%, to $16.5 million, or 18% of sales, for the three months ended December 31, 2023, from $16.0 million, or 14% of sales, in the same period a year ago. During the three months ended December 31, 2023, the LIFO reserve decreased, and gross profit increased, by $2.1 million due primarily to decreasing raw material costs. In the same quarter a year ago, the LIFO reserve increased, and gross profit decreased, by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$2.0 million due primarily to rising raw material prices. Gross profit increased as the LIFO benefit offset lower unit margins on certain products.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Gross profit for the Water Treatment segment increased $6.9 million, or 52%, to $20.2 million, or 25% of sales, for the three months ended December 31, 2023, from $13.3 million, or 19% of sales, in the same period a year ago. During the three months ended December 31, 2023, the LIFO reserve decreased, and gross profit increased, by $0.4 million due primarily to decreasing raw material costs. In the same quarter a year ago, the LIFO reserve increased, and gross profit decreased, by $1.7 million due primarily to rising raw material prices. Gross profit increased as a result of higher per-unit margins on many of our products as well as increased sales, including the added sales from our acquired businesses.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and Nutrition Segment</w:t>
      </w:r>
      <w:r>
        <w:rPr>
          <w:rFonts w:ascii="Calibri;sans-serif" w:hAnsi="Calibri;sans-serif"/>
          <w:b w:val="false"/>
          <w:color w:val="000000"/>
          <w:sz w:val="20"/>
        </w:rPr>
        <w:t>. Gross profit for our Health and Nutrition segment decreased $1.5 million, or 21%, to $5.5 million, or 16% of sales, for the three months ended December 31, 2023, from $7.0 million, or 19% of sales, in the same period a year ago. Gross profit decreased as a result of decreased sales.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Selling, General and Administrative Expenses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(“SG&amp;A”) expenses increased $2.8 million, or 13%, to $23.8 million, or 11% of sales, for the three months ended December 31, 2023, from $21.0 million, or 10% of sales, in the same period a year ago. Expenses increased due to acquisition costs of $0.7 million as well as added costs from the acquired businesses in our Water Treatment segment of $2.2 million, including $0.7 million of amortization of intangibles.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Operating Income</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Operating income increased $3.2 million, or 21%, to $18.5 million, or 9% of sales, for the three months ended December 31, 2023, from $15.3 million, or 7% of sales, in the same period a year ago due to the combined impact of the factors discussed above.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Interest Expense, Net</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Interest expense was $1.2 million for the three months ended December 31, 2023 and $1.5 million the same period a year ago. The decrease was due to a decrease in outstanding borrowings.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 xml:space="preserve">Other (Expense) Income </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Other income was $0.9 million for the three months ended December 31, 2023 compared to $0.5 million in the same period a year ago. The income represents gains recorded on investments held for our non-qualified deferred compensation plan. The amounts recorded as a gain were offset by similar amounts recorded as an increase to compensation expense within SG&amp;A expenses.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Income Tax Provision</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Our effective income tax rate was 18% for the three months ended December 31, 2023 and 24% for the three months ended January 1, 2023. The effective tax rate in the third quarter of both years was impacted by favorable tax provision adjustments recorded. The effective tax rate is impacted by projected levels of annual taxable income, permanent items, and state taxes. Our effective tax rate for the full year is expected to be approximately 25 to 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 xml:space="preserve">Nine Months Ended December 31, 2023 Compared to Nine Months Ended January 1, 2023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Sales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Sales were $696.1 million for the nine months ended December 31, 2023, a decrease of $10.9 million, or 2%, from sales of $707.0 million in the same period a year ago. Increased sales in our Water Treatment segment were more than offset by decreased sales in our Industrial and Health and Nutrition segments.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Industrial segment sales decreased $40.7 million or 12%, to $312.4 million for the nine months ended December 31, 2023, from sales of $353.1 million in the same period a year ago. Sales of bulk commodity products in the Industrial segment were approximately 13% of sales dollars in the nine months ended December 31, 2023 and 17% in the same period of the prior year.The sale of our consumer bleach packaging business at the end of fiscal 2023 resulted in and $11.4 million decrease in sales in the nine months ended December 31, 2023. In addition, sales declined due to overall lower sales volumes.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Water Treatment segment sales increased $43.1 million, or 18%, to $276.6 million for the nine months ended December 31, 2023, from sales of $233.5 million in the same period a year ago. Sales of bulk commodity products in the Water Treatment segment were approximately 9% of sales dollars in both the nine months ended December 31, 2023 and in the same period a year ago. Sales increased as a result of increased selling prices on many of our products as well as increased sales volumes of certain of our products, including $9.8 million of added sales from acquired businesses.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&amp; Nutrition Segment.</w:t>
      </w:r>
      <w:r>
        <w:rPr>
          <w:color w:val="000000"/>
        </w:rPr>
        <w:t xml:space="preserve"> </w:t>
      </w:r>
      <w:r>
        <w:rPr>
          <w:rFonts w:ascii="Calibri;sans-serif" w:hAnsi="Calibri;sans-serif"/>
          <w:b w:val="false"/>
          <w:color w:val="000000"/>
          <w:sz w:val="20"/>
        </w:rPr>
        <w:t>Health and Nutrition segment sales decreased $13.2 million, or 11%, to $107.1 million for the nine months ended December 31, 2023, from sales of $120.3 million in the same period a year ago. The decrease in sales was a result of lower sales volumes of both our manufactured products and our specialty distributed products.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Gross Profit</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Gross profit increased $18.7 million, or 14%, to $148.1 million, or 21% of sales, for the nine months ended December 31, 2023, from $129.4 million, or 18% of sales, in the same period a year ago. During the nine months ended December 31, 2023, the LIFO reserve decreased, and gross profit increased, by $6.0 million due primarily to decreasing raw material prices. In the same quarter a year ago, the LIFO reserve increased, and gross profit decreased, by $12.7 million due primarily to rising raw material prices.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Industrial Segment.</w:t>
      </w:r>
      <w:r>
        <w:rPr>
          <w:color w:val="000000"/>
        </w:rPr>
        <w:t xml:space="preserve"> </w:t>
      </w:r>
      <w:r>
        <w:rPr>
          <w:rFonts w:ascii="Calibri;sans-serif" w:hAnsi="Calibri;sans-serif"/>
          <w:b w:val="false"/>
          <w:color w:val="000000"/>
          <w:sz w:val="20"/>
        </w:rPr>
        <w:t xml:space="preserve">Gross profit for the Industrial segment was relatively flat at $53.6 million, or 17% of sales, for the nine months ended December 31, 2023, and $53.7 million, or 15% of sales, in the same period a year ago. During the nine months ended December 31, 2023, the LIFO reserve decreased, and gross profit increased, by $5.0 million due primarily to decreasing raw material costs. In the same quarter a year ago, the LIFO reserve increased, and gross profit decreased, by $8.5 million due primarily to rising raw material prices. Gross profit was relatively unchanged as the decreased margins as a result of the sales decline was offset by improved per-unit margins on certain products. </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Water Treatment Segment.</w:t>
      </w:r>
      <w:r>
        <w:rPr>
          <w:color w:val="000000"/>
        </w:rPr>
        <w:t xml:space="preserve"> </w:t>
      </w:r>
      <w:r>
        <w:rPr>
          <w:rFonts w:ascii="Calibri;sans-serif" w:hAnsi="Calibri;sans-serif"/>
          <w:b w:val="false"/>
          <w:color w:val="000000"/>
          <w:sz w:val="20"/>
        </w:rPr>
        <w:t>Gross profit for the Water Treatment segment increased $23.3 million, or 44%, to $76.0 million, or 27% of sales, for the nine months ended December 31, 2023, from $52.7 million, or 23% of sales, in the same period a year ago. During the nine months ended December 31, 2023, the LIFO reserve decreased, and gross profit increased, by $0.9 million due primarily to decreasing raw material costs. In the same quarter a year ago, the LIFO reserve increased, and gross profit decreased, by $4.2 million due primarily to rising raw material prices. Gross profit increased as a result of improved per-unit margins on many of our products as well as increased sales, including the added sales from our acquired businesses.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i/>
          <w:color w:val="000000"/>
          <w:sz w:val="20"/>
        </w:rPr>
        <w:t>Health and Nutrition Segment</w:t>
      </w:r>
      <w:r>
        <w:rPr>
          <w:rFonts w:ascii="Calibri;sans-serif" w:hAnsi="Calibri;sans-serif"/>
          <w:b w:val="false"/>
          <w:color w:val="000000"/>
          <w:sz w:val="20"/>
        </w:rPr>
        <w:t>. Gross profit for our Health and Nutrition segment decreased $4.4 million, or 19%, to $18.5 million, or 17% of sales, for the nine months ended December 31, 2023, from $23.0 million, or 19% of sales, in the same period a year ago. Gross profit decreased as a result of the decreased sales.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Selling, General and Administrative Expenses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(“SG&amp;A”) expenses increased $4.5 million, or 7%, to $64.2 million, or 9% of sales, for the nine months ended December 31, 2023, from $59.7 million, or 8% of sales, in the same period a year ago. In the current period, we recorded compensation expense of $0.9 million as a result of gains recorded on investments held for our non-qualified deferred compensation plan, as compared to a $0.7 million decrease in compensation expense in the same period a year ago as a result of losses incurred. These amounts were offset by similar amounts recorded in other income (expense). SG&amp;A expenses also increased due to added costs from the acquired businesses in our Water Treatment segment of $2.4 million, including $0.8 million of amortization of intangibles, increased variable pay of $1.7 million, and acquisition costs of $0.8 million, offset somewhat by decreases in other variable expenses.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Operating Income</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Operating income increased $14.3 million, or 21%, to $84.0 million, or 12% of sales, for the nine months ended December 31, 2023, from $69.7 million, or 10% of sales, in the same period a year ago due to the combined impact of the factors discussed above.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Interest Expense, Net</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Interest expense was $3.0 million for the nine months ended December 31, 2023 and $3.9 million the same period a year ago. The decrease was primarily due to a decrease in outstanding borrowings.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i/>
          <w:color w:val="000000"/>
          <w:sz w:val="20"/>
        </w:rPr>
      </w:pPr>
      <w:r>
        <w:rPr>
          <w:rFonts w:ascii="Calibri;sans-serif" w:hAnsi="Calibri;sans-serif"/>
          <w:b w:val="false"/>
          <w:i/>
          <w:color w:val="000000"/>
          <w:sz w:val="20"/>
        </w:rPr>
        <w:t>Other (Expense) Income</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Other income was $0.9 million for the nine months ended December 31, 2023 compared to other expense of $0.7 million in the same period a year ago. The current year income represents gains recorded on investments held for our non-qualified deferred compensation plan, whereas the prior year expense represented losses recorded on those investments. The amounts recorded as a gain or loss were offset by similar amounts recorded as an increase or decrease to compensation expense within SG&amp;A expenses.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i/>
          <w:color w:val="000000"/>
          <w:sz w:val="20"/>
        </w:rPr>
      </w:pPr>
      <w:r>
        <w:rPr>
          <w:rFonts w:ascii="Calibri;sans-serif" w:hAnsi="Calibri;sans-serif"/>
          <w:b w:val="false"/>
          <w:i/>
          <w:color w:val="000000"/>
          <w:sz w:val="20"/>
        </w:rPr>
        <w:t>Income Tax Provision</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Our effective income tax rate was 25% for the nine months ended December 31, 2023 and 26% the nine months ended January 1, 2023. The effective tax rate is impacted by projected levels of annual taxable income, permanent items, and state taxes. Our effective tax rate for the full year is currently expected to be approximately 25 to 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Cash was $5.7 million at December 31, 2023, a decrease of $1.8 million as compared with the $7.6 million available as of April 2, 2023.</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Cash provided by operating activities was $117.6 million for the nine months ended December 31, 2023, compared to cash provided by operating activities of $44.5 million in the same period a year ago. The year-over-year increase in cash provided by operating activities in the first nine months of the current year was primarily driven by decreased cash expended for inventory, along with increased customer collections and increased net income compared to the same period a year ago. Due to the nature of our operations, which includes purchases of large quantities of bulk chemicals, timing of purchases can result in significant changes in working capital investment and the resulting operating cash flow. </w:t>
      </w:r>
    </w:p>
    <w:p>
      <w:pPr>
        <w:pStyle w:val="TextBody"/>
        <w:bidi w:val="0"/>
        <w:spacing w:before="0" w:after="0"/>
        <w:jc w:val="left"/>
        <w:rPr/>
      </w:pPr>
      <w:r>
        <w:rPr/>
      </w:r>
    </w:p>
    <w:p>
      <w:pPr>
        <w:pStyle w:val="TextBody"/>
        <w:bidi w:val="0"/>
        <w:spacing w:lineRule="auto" w:line="288" w:before="0" w:after="0"/>
        <w:jc w:val="left"/>
        <w:rPr/>
      </w:pPr>
      <w:r>
        <w:rPr>
          <w:rFonts w:ascii="Calibri;sans-serif" w:hAnsi="Calibri;sans-serif"/>
          <w:b w:val="false"/>
          <w:color w:val="000000"/>
          <w:sz w:val="20"/>
        </w:rPr>
        <w:t>Cash u</w:t>
      </w:r>
      <w:r>
        <w:rPr>
          <w:rFonts w:ascii="Calibri;sans-serif" w:hAnsi="Calibri;sans-serif"/>
          <w:b w:val="false"/>
          <w:color w:val="000000"/>
          <w:sz w:val="20"/>
          <w:shd w:fill="FFFFFF" w:val="clear"/>
        </w:rPr>
        <w:t>sed in investing activities was $106.4 million for the nine months ended December 31, 2023, compared to $32.0 million in the same period a year ago. Capital expenditures were $28.2 million for the nine months ended December 31, 2023, compared to $32.3 million in the same period a year ago. In the first nine months of the current year, we invested $5.1 million to complete an expansion of one of our Minnesota manufacturing facilities. In the prior year, we invested nearly $4 million on rail expansion projects at three of our facilities, an additional $1.1 million to complete an expansion of our Illinois manufacturing facility, purchased a previously leased facility for $0.9 million, and had larger investments in safety equipment resulting in larger overall capital investments compared to the current year. In addition, we acquired substantially all the assets of Water Solutions Unlimited for $60.0 million, Miami Products &amp; Ch</w:t>
      </w:r>
      <w:r>
        <w:rPr>
          <w:rFonts w:ascii="Calibri;sans-serif" w:hAnsi="Calibri;sans-serif"/>
          <w:b w:val="false"/>
          <w:color w:val="000000"/>
          <w:sz w:val="20"/>
        </w:rPr>
        <w:t>emical for $15.5 million and EcoTech for $3.4 million in the first nine months of the current year.</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Cash used in financing activities was $13.1 million for the nine months ended December 31, 2023, compared to $9.9 million of cash provided by financing activities in the same period a year ago. Included in financing activities in the first nine months of the current year were net debt proceeds of $8.0 million, compared to net debt proceeds of $5.0 million in the first nine months of the prior year. In addition, we repurchased $11.3 million of our common stock in the first nine months of the current year, compared to $6.6 million in the same period of the prior year.</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expect our cash balances and funds available under our credit facility, discussed below, along with cash flows generated from operations, will be sufficient to fund the cash requirements of our ongoing operations for the foreseeable future. </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Our Board has authorized the repurchase of up to 2.6 million shares of our outstanding common shares.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nine months ended December 31, 2023, we repurchased 191,861 shares of common stock with an aggregate purchase price of $11.3 million. During the nine months ended January 1, 2023, we repurchased 181,657 shares at an aggregate purchase price of $6.6 million. As of December 31, 2023, 937,487 shares remained available to be repurchased under the share repurchase program. </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 xml:space="preserve">We are party to a second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refinanced the revolving loan under our previous credit agreement with U.S. Bank and provides us with senior secured revolving credit facilities (the “Revolving Loan Facility”) totaling $250 million. The Revolving Loan Facility includes a $10 million letter of credit subfacility and $25 million swingline subfacility. The Revolving Loan Facility has a five-year maturity date, maturing on April 30, 2027. The Revolving Loan Facility is secured by substantially all of our personal property assets and those of our subsidiaries. We may use the amount available under the Revolving Loan Facility for working capital, capital expenditures, </w:t>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share repurchases, restricted payments and acquisitions permitted under the Credit Agreement, and other general corporate purposes.</w:t>
      </w:r>
    </w:p>
    <w:p>
      <w:pPr>
        <w:pStyle w:val="TextBody"/>
        <w:bidi w:val="0"/>
        <w:spacing w:before="0" w:after="0"/>
        <w:jc w:val="left"/>
        <w:rPr/>
      </w:pPr>
      <w:r>
        <w:rPr/>
      </w:r>
    </w:p>
    <w:p>
      <w:pPr>
        <w:pStyle w:val="TextBody"/>
        <w:bidi w:val="0"/>
        <w:spacing w:lineRule="auto" w:line="276" w:before="0" w:after="0"/>
        <w:jc w:val="both"/>
        <w:rPr>
          <w:rFonts w:ascii="Calibri;sans-serif" w:hAnsi="Calibri;sans-serif"/>
          <w:b w:val="false"/>
          <w:color w:val="000000"/>
          <w:sz w:val="20"/>
        </w:rPr>
      </w:pPr>
      <w:r>
        <w:rPr>
          <w:rFonts w:ascii="Calibri;sans-serif" w:hAnsi="Calibri;sans-serif"/>
          <w:b w:val="false"/>
          <w:color w:val="000000"/>
          <w:sz w:val="20"/>
        </w:rPr>
        <w:t>Borrowings under the Revolving Loan Facility bear interest at a rate per annum equal to one of the following, plus, in both cases, an applicable margin based upon our leverage ratio: (a) Term SOFR, which includes a credit spread adjustment of 0.10%, for an interest period of one, three or six months as selected by us, reset at the end of the selected interest period, or (b) a base rate determined by reference to the highest of (1) U. S. Bank’s prime rate, (2) the Federal Funds Effective Rate plus 0.5%, or (3) one-month Term SOFR for U.S. dollars plus 1.0%. The Term SOFR margin is between 0.85% and 1.35%, depending on our leverage ratio. The base rate margin is between 0.00% and 0.35%, depending on our leverage ratio. At December 31, 2023, the effective interest rate on our borrowings was 4.6%.</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In addition to paying interest on the outstanding principal under the Revolving Loan Facility, we are required to pay a commitment fee on the unutilized commitments thereunder. The commitment fee is between 0.15% and 0.25%, depending on our leverage ratio.</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Debt issuance costs paid to the Lenders are being amortized as interest expense over the term of the Credit Agreement. As of December 31, 2023, the unamortized balance of these costs was $0.3 million, and is reflected as a reduction of debt on our balance sheet.</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December 31, 2023 and expect to remain in compliance with all covenants for the next 12 months.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 </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Critical Accounting Estimates</w:t>
      </w:r>
    </w:p>
    <w:p>
      <w:pPr>
        <w:pStyle w:val="TextBody"/>
        <w:bidi w:val="0"/>
        <w:spacing w:lineRule="auto" w:line="288" w:before="180" w:after="283"/>
        <w:jc w:val="left"/>
        <w:rPr/>
      </w:pPr>
      <w:r>
        <w:rPr>
          <w:rFonts w:ascii="Calibri;sans-serif" w:hAnsi="Calibri;sans-serif"/>
          <w:b w:val="false"/>
          <w:color w:val="000000"/>
          <w:sz w:val="20"/>
        </w:rPr>
        <w:t xml:space="preserve">There were no material changes in our critical accounting estimates since the filing of our </w:t>
      </w:r>
      <w:hyperlink r:id="rId6">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4940"/>
                <wp:effectExtent l="0" t="0" r="0" b="0"/>
                <wp:wrapNone/>
                <wp:docPr id="16" name="Frame16"/>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i/>
          <w:color w:val="000000"/>
          <w:sz w:val="20"/>
        </w:rPr>
      </w:pPr>
      <w:r>
        <w:rPr>
          <w:rFonts w:ascii="Calibri;sans-serif" w:hAnsi="Calibri;sans-serif"/>
          <w:b/>
          <w:i/>
          <w:color w:val="000000"/>
          <w:sz w:val="20"/>
        </w:rPr>
        <w:t>Forward-Looking Statements</w:t>
      </w:r>
    </w:p>
    <w:p>
      <w:pPr>
        <w:pStyle w:val="TextBody"/>
        <w:bidi w:val="0"/>
        <w:spacing w:lineRule="auto" w:line="288" w:before="120" w:after="283"/>
        <w:jc w:val="left"/>
        <w:rPr/>
      </w:pPr>
      <w:r>
        <w:rPr>
          <w:rFonts w:ascii="Calibri;sans-serif" w:hAnsi="Calibri;sans-serif"/>
          <w:b w:val="false"/>
          <w:color w:val="000000"/>
          <w:sz w:val="20"/>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w:t>
      </w:r>
      <w:hyperlink r:id="rId7">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4940"/>
                <wp:effectExtent l="0" t="0" r="0" b="0"/>
                <wp:wrapNone/>
                <wp:docPr id="17" name="Frame17"/>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3.        QUANTITATIVE AND QUALITATIVE DISCLOSURES ABOUT MARKET RISK</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We are exposed to market risks related to interest rates. Our exposure to changes in interest rates is primarily related to borrowings under our Revolving Loan Facility. We have in place an interest rate swap agreement to manage the risk associated with a portion of our variable-rate long-term debt. The interest rate swap involves the exchange of fixed-rate and variable-rate payments without the exchange of the underlying notional amount on which the interest payments are calculated. The notional amount of the swap agreement is $60.0 million and it will terminate on May 1, 2027. As of December 31, 2023, a 25-basis point change in interest rates on our unhedged variable-rate debt would potentially increase or decrease our annual interest expense by approximately $0.2 million. </w:t>
      </w:r>
    </w:p>
    <w:p>
      <w:pPr>
        <w:pStyle w:val="TextBody"/>
        <w:bidi w:val="0"/>
        <w:spacing w:before="0" w:after="0"/>
        <w:jc w:val="both"/>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Other types of market risk, such as foreign currency risk, do not arise in the normal course of our business activities.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4.        CONTROLS AND PROCEDURES</w:t>
      </w:r>
    </w:p>
    <w:p>
      <w:pPr>
        <w:pStyle w:val="TextBody"/>
        <w:bidi w:val="0"/>
        <w:spacing w:lineRule="auto" w:line="288" w:before="100" w:after="283"/>
        <w:jc w:val="left"/>
        <w:rPr>
          <w:rFonts w:ascii="Calibri;sans-serif" w:hAnsi="Calibri;sans-serif"/>
          <w:b/>
          <w:color w:val="000000"/>
          <w:sz w:val="20"/>
        </w:rPr>
      </w:pPr>
      <w:r>
        <w:rPr>
          <w:rFonts w:ascii="Calibri;sans-serif" w:hAnsi="Calibri;sans-serif"/>
          <w:b/>
          <w:color w:val="000000"/>
          <w:sz w:val="20"/>
        </w:rPr>
        <w:t>Evaluation of Disclosure Controls and Procedures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December 31, 2023.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pStyle w:val="TextBody"/>
        <w:bidi w:val="0"/>
        <w:spacing w:lineRule="auto" w:line="288" w:before="280" w:after="283"/>
        <w:jc w:val="left"/>
        <w:rPr>
          <w:rFonts w:ascii="Calibri;sans-serif" w:hAnsi="Calibri;sans-serif"/>
          <w:b/>
          <w:color w:val="000000"/>
          <w:sz w:val="20"/>
        </w:rPr>
      </w:pPr>
      <w:r>
        <w:rPr>
          <w:rFonts w:ascii="Calibri;sans-serif" w:hAnsi="Calibri;sans-serif"/>
          <w:b/>
          <w:color w:val="000000"/>
          <w:sz w:val="20"/>
        </w:rPr>
        <w:t>Changes in Internal Control</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There was no change in our internal control over financial reporting during the third quarter of fiscal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4940"/>
                <wp:effectExtent l="0" t="0" r="0" b="0"/>
                <wp:wrapNone/>
                <wp:docPr id="18" name="Frame18"/>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1.        LEGAL PROCEEDINGS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There are no material pending legal proceedings, other than ordinary routine litigation incidental to the business, to which we or any of our subsidiaries are a party or of which any of our property is the subject.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1A.    RISK FACTORS</w:t>
      </w:r>
    </w:p>
    <w:p>
      <w:pPr>
        <w:pStyle w:val="TextBody"/>
        <w:bidi w:val="0"/>
        <w:spacing w:lineRule="auto" w:line="288" w:before="180" w:after="283"/>
        <w:jc w:val="left"/>
        <w:rPr/>
      </w:pPr>
      <w:r>
        <w:rPr>
          <w:rFonts w:ascii="Calibri;sans-serif" w:hAnsi="Calibri;sans-serif"/>
          <w:b w:val="false"/>
          <w:color w:val="000000"/>
          <w:sz w:val="20"/>
        </w:rPr>
        <w:t xml:space="preserve">There have been no material changes to our risk factors from those disclosed in our </w:t>
      </w:r>
      <w:hyperlink r:id="rId8">
        <w:r>
          <w:rPr>
            <w:rStyle w:val="InternetLink"/>
            <w:rFonts w:ascii="Calibri;sans-serif" w:hAnsi="Calibri;sans-serif"/>
            <w:b w:val="false"/>
            <w:color w:val="0000FF"/>
            <w:sz w:val="20"/>
            <w:u w:val="single"/>
          </w:rPr>
          <w:t>Annual Report on Form 10-K for the fiscal year ended April 2, 2023</w:t>
        </w:r>
      </w:hyperlink>
      <w:r>
        <w:rPr>
          <w:rFonts w:ascii="Calibri;sans-serif" w:hAnsi="Calibri;sans-serif"/>
          <w:b w:val="false"/>
          <w:color w:val="000000"/>
          <w:sz w:val="20"/>
        </w:rPr>
        <w:t>.</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Calibri;sans-serif" w:hAnsi="Calibri;sans-serif"/>
          <w:b w:val="false"/>
          <w:color w:val="000000"/>
          <w:sz w:val="20"/>
        </w:rPr>
      </w:pPr>
      <w:r>
        <w:rPr>
          <w:rFonts w:ascii="Calibri;sans-serif" w:hAnsi="Calibri;sans-serif"/>
          <w:b w:val="false"/>
          <w:color w:val="000000"/>
          <w:sz w:val="20"/>
        </w:rPr>
        <w:t>Our Board has authorized the repurchase of up to 2.6 million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December 31, 2023:</w:t>
      </w:r>
    </w:p>
    <w:tbl>
      <w:tblPr>
        <w:tblW w:w="10205" w:type="dxa"/>
        <w:jc w:val="center"/>
        <w:tblInd w:w="0" w:type="dxa"/>
        <w:tblLayout w:type="fixed"/>
        <w:tblCellMar>
          <w:top w:w="28" w:type="dxa"/>
          <w:left w:w="28" w:type="dxa"/>
          <w:bottom w:w="28" w:type="dxa"/>
          <w:right w:w="28" w:type="dxa"/>
        </w:tblCellMar>
      </w:tblPr>
      <w:tblGrid>
        <w:gridCol w:w="697"/>
        <w:gridCol w:w="322"/>
        <w:gridCol w:w="329"/>
        <w:gridCol w:w="109"/>
        <w:gridCol w:w="109"/>
        <w:gridCol w:w="109"/>
        <w:gridCol w:w="556"/>
        <w:gridCol w:w="445"/>
        <w:gridCol w:w="447"/>
        <w:gridCol w:w="109"/>
        <w:gridCol w:w="109"/>
        <w:gridCol w:w="109"/>
        <w:gridCol w:w="328"/>
        <w:gridCol w:w="632"/>
        <w:gridCol w:w="169"/>
        <w:gridCol w:w="109"/>
        <w:gridCol w:w="109"/>
        <w:gridCol w:w="109"/>
        <w:gridCol w:w="862"/>
        <w:gridCol w:w="781"/>
        <w:gridCol w:w="783"/>
        <w:gridCol w:w="109"/>
        <w:gridCol w:w="109"/>
        <w:gridCol w:w="109"/>
        <w:gridCol w:w="892"/>
        <w:gridCol w:w="680"/>
        <w:gridCol w:w="974"/>
      </w:tblGrid>
      <w:tr>
        <w:trPr/>
        <w:tc>
          <w:tcPr>
            <w:tcW w:w="69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Total Number of Shares Purchased as Part of a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Maximum Number of Shares that May Yet be Purchased under Plans or Programs</w:t>
            </w:r>
          </w:p>
        </w:tc>
      </w:tr>
      <w:tr>
        <w:trPr/>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10/02/2023-10/29/2023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961,552 </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10/30/2023-11/26/2023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961,552 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11/27/2023-12/31/2023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24,065 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24,065 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937,487 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Calibri;sans-serif" w:hAnsi="Calibri;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24,065 </w:t>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24,065 </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During the three months ended December 31, 2023, no director or officer of the Company adopted, modified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4940"/>
                <wp:effectExtent l="0" t="0" r="0" b="0"/>
                <wp:wrapNone/>
                <wp:docPr id="19" name="Frame19"/>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8"/>
        <w:gridCol w:w="193"/>
        <w:gridCol w:w="109"/>
        <w:gridCol w:w="109"/>
        <w:gridCol w:w="109"/>
        <w:gridCol w:w="2543"/>
        <w:gridCol w:w="2461"/>
        <w:gridCol w:w="2482"/>
        <w:gridCol w:w="109"/>
        <w:gridCol w:w="109"/>
        <w:gridCol w:w="109"/>
        <w:gridCol w:w="393"/>
        <w:gridCol w:w="393"/>
        <w:gridCol w:w="560"/>
      </w:tblGrid>
      <w:tr>
        <w:trPr/>
        <w:tc>
          <w:tcPr>
            <w:tcW w:w="2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u w:val="single"/>
              </w:rPr>
            </w:pPr>
            <w:r>
              <w:rPr>
                <w:rFonts w:ascii="Calibri;sans-serif" w:hAnsi="Calibri;sans-serif"/>
                <w:b w:val="false"/>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6"/>
                <w:u w:val="single"/>
              </w:rPr>
            </w:pPr>
            <w:r>
              <w:rPr>
                <w:rFonts w:ascii="Calibri;sans-serif" w:hAnsi="Calibri;sans-serif"/>
                <w:b w:val="false"/>
                <w:color w:val="000000"/>
                <w:sz w:val="16"/>
                <w:u w:val="single"/>
              </w:rPr>
              <w:t>Method of Filing</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Calibri;sans-serif" w:hAnsi="Calibri;sans-serif"/>
                  <w:b w:val="false"/>
                  <w:color w:val="0000FF"/>
                  <w:sz w:val="20"/>
                  <w:u w:val="single"/>
                </w:rPr>
                <w:t>Restated Articles of Incorporation.</w:t>
              </w:r>
            </w:hyperlink>
            <w:r>
              <w:rPr>
                <w:color w:val="000000"/>
              </w:rPr>
              <w:t xml:space="preserve"> </w:t>
            </w:r>
            <w:r>
              <w:rPr>
                <w:rFonts w:ascii="Calibri;sans-serif" w:hAnsi="Calibri;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Incorporated by Reference</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Calibri;sans-serif" w:hAnsi="Calibri;sans-serif"/>
                  <w:b w:val="false"/>
                  <w:color w:val="0000FF"/>
                  <w:sz w:val="20"/>
                  <w:u w:val="single"/>
                </w:rPr>
                <w:t>Amended and Restated By-Laws.</w:t>
              </w:r>
            </w:hyperlink>
            <w:r>
              <w:rPr>
                <w:color w:val="000000"/>
              </w:rPr>
              <w:t xml:space="preserve"> </w:t>
            </w:r>
            <w:r>
              <w:rPr>
                <w:rFonts w:ascii="Calibri;sans-serif" w:hAnsi="Calibri;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Incorporated by Reference</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3123123ex311.htm">
              <w:r>
                <w:rPr>
                  <w:rStyle w:val="InternetLink"/>
                  <w:rFonts w:ascii="Calibri;sans-serif" w:hAnsi="Calibri;sans-serif"/>
                  <w:b w:val="false"/>
                  <w:color w:val="0000FF"/>
                  <w:sz w:val="20"/>
                  <w:u w:val="single"/>
                </w:rPr>
                <w:t>Certification by Chief Executive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3123123ex312.htm">
              <w:r>
                <w:rPr>
                  <w:rStyle w:val="InternetLink"/>
                  <w:rFonts w:ascii="Calibri;sans-serif" w:hAnsi="Calibri;sans-serif"/>
                  <w:b w:val="false"/>
                  <w:color w:val="0000FF"/>
                  <w:sz w:val="20"/>
                  <w:u w:val="single"/>
                </w:rPr>
                <w:t>Certification by Chief Financial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3123123ex321.htm">
              <w:r>
                <w:rPr>
                  <w:rStyle w:val="InternetLink"/>
                  <w:rFonts w:ascii="Calibri;sans-serif" w:hAnsi="Calibri;sans-serif"/>
                  <w:b w:val="false"/>
                  <w:color w:val="0000FF"/>
                  <w:sz w:val="20"/>
                  <w:u w:val="single"/>
                </w:rPr>
                <w:t>Section 1350 Certification by Chief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32.2 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fy2024q3123123ex322.htm">
              <w:r>
                <w:rPr>
                  <w:rStyle w:val="InternetLink"/>
                  <w:rFonts w:ascii="Calibri;sans-serif" w:hAnsi="Calibri;sans-serif"/>
                  <w:b w:val="false"/>
                  <w:color w:val="0000FF"/>
                  <w:sz w:val="20"/>
                  <w:u w:val="single"/>
                </w:rPr>
                <w:t>Section 1350 Certification by Chief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Financial statements from the Quarterly Report on Form 10-Q of Hawkins, Inc. for the period ended December 31, 2023 filed with the SEC on January 31, 2024 formatted in Inline Extensible Business Reporting Language (iXBRL); (i) the Condensed Consolidated Balance Sheets at December 31, 2023 and April 2, 2023, (ii) the Condensed Consolidated Statements of Income for the three and nine months ended December 31, 2023 and January 1, 2023, (iii) the Condensed Consolidated Statements of Comprehensive Income for the three and nine months ended December 31, 2023 and January 1, 2023, (iv) the Condensed Consolidated Statements of Shareholder's Equity for the three and nine months ended December 31, 2023 and January 1, 2023, (v) the Condensed Consolidated Statements of Cash Flows for the nine months ended December 31, 2023 and January 1, 2023, and (vi) Notes to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r>
        <w:trPr/>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Filed Electronically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(1)Incorporated by reference to Exhibit 3.2 to the Company’s Current Report on Form 8-K dated February 26, 2021 and filed March 2, 2021.</w:t>
      </w:r>
    </w:p>
    <w:p>
      <w:pPr>
        <w:pStyle w:val="TextBody"/>
        <w:bidi w:val="0"/>
        <w:spacing w:lineRule="auto" w:line="288"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(2)Incorporated by reference to Exhibit 3.1 to the Company’s Current Report on Form 8-K dated October 28, 2009 and filed November 3, 2009.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54940"/>
                <wp:effectExtent l="0" t="0" r="0" b="0"/>
                <wp:wrapNone/>
                <wp:docPr id="20" name="Frame20"/>
                <a:graphic xmlns:a="http://schemas.openxmlformats.org/drawingml/2006/main">
                  <a:graphicData uri="http://schemas.microsoft.com/office/word/2010/wordprocessingShape">
                    <wps:wsp>
                      <wps:cNvSpPr txBox="1"/>
                      <wps:spPr>
                        <a:xfrm>
                          <a:off x="0" y="0"/>
                          <a:ext cx="6480175" cy="154940"/>
                        </a:xfrm>
                        <a:prstGeom prst="rect"/>
                        <a:solidFill>
                          <a:srgbClr val="FFFFFF"/>
                        </a:solidFill>
                      </wps:spPr>
                      <wps:txbx>
                        <w:txbxContent>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48" w:type="dxa"/>
        <w:jc w:val="left"/>
        <w:tblInd w:w="0" w:type="dxa"/>
        <w:tblLayout w:type="fixed"/>
        <w:tblCellMar>
          <w:top w:w="28" w:type="dxa"/>
          <w:left w:w="28" w:type="dxa"/>
          <w:bottom w:w="28" w:type="dxa"/>
          <w:right w:w="28" w:type="dxa"/>
        </w:tblCellMar>
      </w:tblPr>
      <w:tblGrid>
        <w:gridCol w:w="162"/>
        <w:gridCol w:w="142"/>
        <w:gridCol w:w="142"/>
        <w:gridCol w:w="142"/>
        <w:gridCol w:w="142"/>
        <w:gridCol w:w="142"/>
        <w:gridCol w:w="2033"/>
        <w:gridCol w:w="2033"/>
        <w:gridCol w:w="2038"/>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7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HAWKINS,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/s/ Jeffrey P. Oldenkamp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Jeffrey P. Oldenkamp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(On behalf of the registrant and as 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Dated: January 31, 2024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31.1</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302 OF</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THE SARBANES-OXLEY ACT OF 2002</w:t>
      </w: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CERTIFICATIONS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I, Patrick H. Hawkins, certify that:</w:t>
      </w:r>
    </w:p>
    <w:p>
      <w:pPr>
        <w:pStyle w:val="TextBody"/>
        <w:bidi w:val="0"/>
        <w:spacing w:before="0" w:after="0"/>
        <w:jc w:val="left"/>
        <w:rPr/>
      </w:pPr>
      <w:r>
        <w:rPr/>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Date: January 31, 2024 </w:t>
      </w:r>
    </w:p>
    <w:p>
      <w:pPr>
        <w:pStyle w:val="TextBody"/>
        <w:bidi w:val="0"/>
        <w:spacing w:lineRule="auto" w:line="288" w:before="0" w:after="0"/>
        <w:jc w:val="left"/>
        <w:rPr>
          <w:color w:val="000000"/>
        </w:rPr>
      </w:pPr>
      <w:r>
        <w:rPr>
          <w:color w:val="000000"/>
        </w:rPr>
        <w:t> </w:t>
      </w:r>
    </w:p>
    <w:tbl>
      <w:tblPr>
        <w:tblW w:w="3387" w:type="dxa"/>
        <w:jc w:val="left"/>
        <w:tblInd w:w="0" w:type="dxa"/>
        <w:tblLayout w:type="fixed"/>
        <w:tblCellMar>
          <w:top w:w="28" w:type="dxa"/>
          <w:left w:w="28" w:type="dxa"/>
          <w:bottom w:w="28" w:type="dxa"/>
          <w:right w:w="28" w:type="dxa"/>
        </w:tblCellMar>
      </w:tblPr>
      <w:tblGrid>
        <w:gridCol w:w="124"/>
        <w:gridCol w:w="109"/>
        <w:gridCol w:w="109"/>
        <w:gridCol w:w="890"/>
        <w:gridCol w:w="890"/>
        <w:gridCol w:w="12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Patrick H. Hawkins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Patrick H. Hawkins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31.2</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302 OF</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THE SARBANES-OXLEY ACT OF 2002</w:t>
      </w: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CERTIFICATIONS</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I, Jeffrey P. Oldenkamp, certify that:</w:t>
      </w:r>
    </w:p>
    <w:p>
      <w:pPr>
        <w:pStyle w:val="TextBody"/>
        <w:bidi w:val="0"/>
        <w:spacing w:before="100" w:after="283"/>
        <w:jc w:val="left"/>
        <w:rPr/>
      </w:pPr>
      <w:r>
        <w:rPr/>
      </w:r>
    </w:p>
    <w:p>
      <w:pPr>
        <w:pStyle w:val="TextBody"/>
        <w:bidi w:val="0"/>
        <w:spacing w:lineRule="auto" w:line="288" w:before="0" w:after="0"/>
        <w:ind w:left="0" w:right="0" w:hanging="360"/>
        <w:jc w:val="left"/>
        <w:rPr>
          <w:rFonts w:ascii="Calibri;sans-serif" w:hAnsi="Calibri;sans-serif"/>
          <w:b w:val="false"/>
          <w:color w:val="000000"/>
          <w:sz w:val="20"/>
        </w:rPr>
      </w:pPr>
      <w:r>
        <w:rPr>
          <w:rFonts w:ascii="Calibri;sans-serif" w:hAnsi="Calibri;sans-serif"/>
          <w:b w:val="false"/>
          <w:color w:val="000000"/>
          <w:sz w:val="20"/>
        </w:rPr>
        <w:t>1.I have reviewed this quarterly report on Form 10-Q of Hawkins, Inc.;</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Calibri;sans-serif" w:hAnsi="Calibri;sans-serif"/>
          <w:b w:val="false"/>
          <w:color w:val="000000"/>
          <w:sz w:val="20"/>
        </w:rPr>
      </w:pPr>
      <w:r>
        <w:rPr>
          <w:rFonts w:ascii="Calibri;sans-serif" w:hAnsi="Calibri;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720"/>
        <w:jc w:val="left"/>
        <w:rPr>
          <w:rFonts w:ascii="Calibri;sans-serif" w:hAnsi="Calibri;sans-serif"/>
          <w:b w:val="false"/>
          <w:color w:val="000000"/>
          <w:sz w:val="20"/>
        </w:rPr>
      </w:pPr>
      <w:r>
        <w:rPr>
          <w:rFonts w:ascii="Calibri;sans-serif" w:hAnsi="Calibr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Date: January 31, 2024 </w:t>
      </w:r>
    </w:p>
    <w:p>
      <w:pPr>
        <w:pStyle w:val="TextBody"/>
        <w:bidi w:val="0"/>
        <w:spacing w:lineRule="auto" w:line="288" w:before="0" w:after="0"/>
        <w:jc w:val="left"/>
        <w:rPr>
          <w:color w:val="000000"/>
        </w:rPr>
      </w:pPr>
      <w:r>
        <w:rPr>
          <w:color w:val="000000"/>
        </w:rPr>
        <w:t> </w:t>
      </w:r>
    </w:p>
    <w:tbl>
      <w:tblPr>
        <w:tblW w:w="4482" w:type="dxa"/>
        <w:jc w:val="left"/>
        <w:tblInd w:w="0" w:type="dxa"/>
        <w:tblLayout w:type="fixed"/>
        <w:tblCellMar>
          <w:top w:w="28" w:type="dxa"/>
          <w:left w:w="28" w:type="dxa"/>
          <w:bottom w:w="28" w:type="dxa"/>
          <w:right w:w="28" w:type="dxa"/>
        </w:tblCellMar>
      </w:tblPr>
      <w:tblGrid>
        <w:gridCol w:w="124"/>
        <w:gridCol w:w="109"/>
        <w:gridCol w:w="109"/>
        <w:gridCol w:w="1212"/>
        <w:gridCol w:w="1212"/>
        <w:gridCol w:w="17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P. Oldenkamp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32.1</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In connection with the Quarterly Report of Hawkins, Inc. (the Company) on Form 10-Q for the period ended December 31, 2023, as filed with the Securities and Exchange Commission on the date hereof (the Report), I, Patrick H. Hawkins, Chief Executive Officer and President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and</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060" w:type="dxa"/>
        <w:jc w:val="left"/>
        <w:tblInd w:w="0" w:type="dxa"/>
        <w:tblLayout w:type="fixed"/>
        <w:tblCellMar>
          <w:top w:w="28" w:type="dxa"/>
          <w:left w:w="28" w:type="dxa"/>
          <w:bottom w:w="28" w:type="dxa"/>
          <w:right w:w="28" w:type="dxa"/>
        </w:tblCellMar>
      </w:tblPr>
      <w:tblGrid>
        <w:gridCol w:w="978"/>
        <w:gridCol w:w="859"/>
        <w:gridCol w:w="1223"/>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Patrick H. Hawkins </w:t>
            </w:r>
          </w:p>
        </w:tc>
      </w:tr>
      <w:tr>
        <w:trPr/>
        <w:tc>
          <w:tcPr>
            <w:tcW w:w="3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Patrick H. Hawkins</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 and President</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31,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Calibri;sans-serif" w:hAnsi="Calibri;sans-serif"/>
          <w:b/>
          <w:color w:val="000000"/>
          <w:sz w:val="20"/>
        </w:rPr>
      </w:pPr>
      <w:r>
        <w:rPr>
          <w:rFonts w:ascii="Calibri;sans-serif" w:hAnsi="Calibri;sans-serif"/>
          <w:b/>
          <w:color w:val="000000"/>
          <w:sz w:val="20"/>
        </w:rPr>
        <w:t>EXHIBIT 32.2</w:t>
      </w:r>
    </w:p>
    <w:p>
      <w:pPr>
        <w:pStyle w:val="TextBody"/>
        <w:bidi w:val="0"/>
        <w:spacing w:lineRule="auto" w:line="288" w:before="18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18 U.S.C. SECTION 1350,</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AS ADOPTED PURSUANT TO</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In connection with the Quarterly Report of Hawkins, Inc. (the Company) on Form 10-Q for the period ended December 31, 2023, as filed with the Securities and Exchange Commission on the date hereof (the Report), I, Jeffrey P. Oldenkamp, Chief Financial Officer of the Company, certify, pursuant to 18 U.S.C. § 1350, as adopted pursuant to § 906 of the Sarbanes-Oxley Act of 2002, that:</w:t>
      </w:r>
    </w:p>
    <w:p>
      <w:pPr>
        <w:pStyle w:val="TextBody"/>
        <w:bidi w:val="0"/>
        <w:spacing w:lineRule="auto" w:line="288" w:before="10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 xml:space="preserve">(1) The Report fully complies with the requirements of section 13(a) or 15(d) of the Securities Exchange Act of 1934; </w:t>
      </w:r>
    </w:p>
    <w:p>
      <w:pPr>
        <w:pStyle w:val="TextBody"/>
        <w:bidi w:val="0"/>
        <w:spacing w:lineRule="auto" w:line="288" w:before="100" w:after="283"/>
        <w:jc w:val="left"/>
        <w:rPr>
          <w:rFonts w:ascii="Calibri;sans-serif" w:hAnsi="Calibri;sans-serif"/>
          <w:b w:val="false"/>
          <w:color w:val="000000"/>
          <w:sz w:val="20"/>
        </w:rPr>
      </w:pPr>
      <w:r>
        <w:rPr>
          <w:rFonts w:ascii="Calibri;sans-serif" w:hAnsi="Calibri;sans-serif"/>
          <w:b w:val="false"/>
          <w:color w:val="000000"/>
          <w:sz w:val="20"/>
        </w:rPr>
        <w:t>and</w:t>
      </w:r>
    </w:p>
    <w:p>
      <w:pPr>
        <w:pStyle w:val="TextBody"/>
        <w:bidi w:val="0"/>
        <w:spacing w:lineRule="auto" w:line="288" w:before="180" w:after="283"/>
        <w:ind w:left="0" w:right="0" w:firstLine="495"/>
        <w:jc w:val="left"/>
        <w:rPr>
          <w:rFonts w:ascii="Calibri;sans-serif" w:hAnsi="Calibri;sans-serif"/>
          <w:b w:val="false"/>
          <w:color w:val="000000"/>
          <w:sz w:val="20"/>
        </w:rPr>
      </w:pPr>
      <w:r>
        <w:rPr>
          <w:rFonts w:ascii="Calibri;sans-serif" w:hAnsi="Calibri;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155" w:type="dxa"/>
        <w:jc w:val="left"/>
        <w:tblInd w:w="0" w:type="dxa"/>
        <w:tblLayout w:type="fixed"/>
        <w:tblCellMar>
          <w:top w:w="28" w:type="dxa"/>
          <w:left w:w="28" w:type="dxa"/>
          <w:bottom w:w="28" w:type="dxa"/>
          <w:right w:w="28" w:type="dxa"/>
        </w:tblCellMar>
      </w:tblPr>
      <w:tblGrid>
        <w:gridCol w:w="1330"/>
        <w:gridCol w:w="1168"/>
        <w:gridCol w:w="1657"/>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/s/ Jeffrey P. Oldenkamp </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 xml:space="preserve">Jeffrey P. Oldenkamp </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Executive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31, 2024</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46250/000004625023000015/hwkn-20230402.htm" TargetMode="External"/><Relationship Id="rId3" Type="http://schemas.openxmlformats.org/officeDocument/2006/relationships/hyperlink" Target="http://www.sec.gov/ix?doc=/Archives/edgar/data/46250/000004625023000015/hwkn-20230402.htm" TargetMode="External"/><Relationship Id="rId4" Type="http://schemas.openxmlformats.org/officeDocument/2006/relationships/hyperlink" Target="http://www.sec.gov/ix?doc=/Archives/edgar/data/46250/000004625023000015/hwkn-20230402.htm" TargetMode="External"/><Relationship Id="rId5" Type="http://schemas.openxmlformats.org/officeDocument/2006/relationships/hyperlink" Target="http://www.sec.gov/ix?doc=/Archives/edgar/data/46250/000004625023000015/hwkn-20230402.htm" TargetMode="External"/><Relationship Id="rId6" Type="http://schemas.openxmlformats.org/officeDocument/2006/relationships/hyperlink" Target="http://www.sec.gov/ix?doc=/Archives/edgar/data/46250/000004625023000015/hwkn-20230402.htm" TargetMode="External"/><Relationship Id="rId7" Type="http://schemas.openxmlformats.org/officeDocument/2006/relationships/hyperlink" Target="http://www.sec.gov/ix?doc=/Archives/edgar/data/46250/000004625023000015/hwkn-20230402.htm" TargetMode="External"/><Relationship Id="rId8" Type="http://schemas.openxmlformats.org/officeDocument/2006/relationships/hyperlink" Target="http://www.sec.gov/ix?doc=/Archives/edgar/data/46250/000004625023000015/hwkn-20230402.htm" TargetMode="External"/><Relationship Id="rId9" Type="http://schemas.openxmlformats.org/officeDocument/2006/relationships/hyperlink" Target="http://www.sec.gov/Archives/edgar/data/46250/000004625021000012/exhibit32.htm" TargetMode="External"/><Relationship Id="rId10" Type="http://schemas.openxmlformats.org/officeDocument/2006/relationships/hyperlink" Target="http://www.sec.gov/Archives/edgar/data/46250/000089710109002205/hawkins095018_ex3-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12331</Words>
  <Characters>66970</Characters>
  <CharactersWithSpaces>78653</CharactersWithSpaces>
  <Paragraphs>1724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