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13, 2003</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Hawkins,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28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0-7647</w:t>
            </w:r>
          </w:p>
        </w:tc>
        <w:tc>
          <w:tcPr>
            <w:tcW w:w="432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41-0771293</w:t>
            </w:r>
          </w:p>
        </w:tc>
        <w:tc>
          <w:tcPr>
            <w:tcW w:w="20" w:type="dxa"/>
            <w:vAlign w:val="bottom"/>
          </w:tcPr>
          <w:p>
            <w:pPr>
              <w:spacing w:after="0"/>
              <w:rPr>
                <w:sz w:val="19"/>
                <w:szCs w:val="19"/>
                <w:color w:val="auto"/>
              </w:rPr>
            </w:pPr>
          </w:p>
        </w:tc>
      </w:tr>
      <w:tr>
        <w:trPr>
          <w:trHeight w:val="216"/>
        </w:trPr>
        <w:tc>
          <w:tcPr>
            <w:tcW w:w="43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43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10"/>
        </w:trPr>
        <w:tc>
          <w:tcPr>
            <w:tcW w:w="43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3100 East Hennepin Avenue</w:t>
            </w:r>
          </w:p>
        </w:tc>
        <w:tc>
          <w:tcPr>
            <w:tcW w:w="2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3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Minneapolis, MN</w:t>
            </w:r>
          </w:p>
        </w:tc>
        <w:tc>
          <w:tcPr>
            <w:tcW w:w="2800" w:type="dxa"/>
            <w:vAlign w:val="bottom"/>
          </w:tcPr>
          <w:p>
            <w:pPr>
              <w:spacing w:after="0"/>
              <w:rPr>
                <w:sz w:val="19"/>
                <w:szCs w:val="19"/>
                <w:color w:val="auto"/>
              </w:rPr>
            </w:pPr>
          </w:p>
        </w:tc>
        <w:tc>
          <w:tcPr>
            <w:tcW w:w="432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55413</w:t>
            </w:r>
          </w:p>
        </w:tc>
        <w:tc>
          <w:tcPr>
            <w:tcW w:w="20" w:type="dxa"/>
            <w:vAlign w:val="bottom"/>
          </w:tcPr>
          <w:p>
            <w:pPr>
              <w:spacing w:after="0"/>
              <w:rPr>
                <w:sz w:val="19"/>
                <w:szCs w:val="19"/>
                <w:color w:val="auto"/>
              </w:rPr>
            </w:pPr>
          </w:p>
        </w:tc>
      </w:tr>
      <w:tr>
        <w:trPr>
          <w:trHeight w:val="234"/>
        </w:trPr>
        <w:tc>
          <w:tcPr>
            <w:tcW w:w="43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43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20"/>
                <w:szCs w:val="20"/>
                <w:color w:val="auto"/>
              </w:rPr>
            </w:pPr>
          </w:p>
        </w:tc>
      </w:tr>
      <w:tr>
        <w:trPr>
          <w:trHeight w:val="432"/>
        </w:trPr>
        <w:tc>
          <w:tcPr>
            <w:tcW w:w="710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320" w:type="dxa"/>
            <w:vAlign w:val="bottom"/>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rPr>
              <w:t>(612) 331-6910</w:t>
            </w:r>
          </w:p>
        </w:tc>
        <w:tc>
          <w:tcPr>
            <w:tcW w:w="20" w:type="dxa"/>
            <w:vAlign w:val="bottom"/>
          </w:tcPr>
          <w:p>
            <w:pPr>
              <w:spacing w:after="0"/>
              <w:rPr>
                <w:sz w:val="24"/>
                <w:szCs w:val="24"/>
                <w:color w:val="auto"/>
              </w:rPr>
            </w:pPr>
          </w:p>
        </w:tc>
      </w:tr>
      <w:tr>
        <w:trPr>
          <w:trHeight w:val="250"/>
        </w:trPr>
        <w:tc>
          <w:tcPr>
            <w:tcW w:w="43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430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430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4"/>
          <w:szCs w:val="24"/>
          <w:color w:val="auto"/>
        </w:rPr>
      </w:pPr>
    </w:p>
    <w:p>
      <w:pPr>
        <w:ind w:left="760" w:hanging="57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4"/>
          <w:szCs w:val="24"/>
          <w:color w:val="auto"/>
        </w:rPr>
      </w:pPr>
    </w:p>
    <w:p>
      <w:pPr>
        <w:ind w:left="760" w:right="980"/>
        <w:spacing w:after="0" w:line="282" w:lineRule="auto"/>
        <w:rPr>
          <w:sz w:val="20"/>
          <w:szCs w:val="20"/>
          <w:color w:val="auto"/>
        </w:rPr>
      </w:pPr>
      <w:r>
        <w:rPr>
          <w:rFonts w:ascii="Times New Roman" w:cs="Times New Roman" w:eastAsia="Times New Roman" w:hAnsi="Times New Roman"/>
          <w:sz w:val="18"/>
          <w:szCs w:val="18"/>
          <w:color w:val="auto"/>
        </w:rPr>
        <w:t>Exhibit 99 - Press Release, dated November 13, 2003, announcing financial results of Hawkins, Inc. for its fiscal second quarter ended September 30, 2003.</w:t>
      </w:r>
    </w:p>
    <w:p>
      <w:pPr>
        <w:spacing w:after="0" w:line="158" w:lineRule="exact"/>
        <w:rPr>
          <w:sz w:val="24"/>
          <w:szCs w:val="24"/>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4"/>
          <w:szCs w:val="24"/>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November 13, 2003, Hawkins, Inc. issued a press release announcing financial results for its second quarter ended September 30, 2003. A copy of the press release issued by the Registrant is furnished herewith as Exhibit 99 hereto and is incorporated herein by reference.</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4"/>
          <w:szCs w:val="24"/>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3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HAWKINS, INC.</w:t>
            </w:r>
          </w:p>
        </w:tc>
        <w:tc>
          <w:tcPr>
            <w:tcW w:w="4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2003</w:t>
            </w:r>
          </w:p>
        </w:tc>
        <w:tc>
          <w:tcPr>
            <w:tcW w:w="332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 Marvin E. Dee</w:t>
            </w:r>
          </w:p>
        </w:tc>
        <w:tc>
          <w:tcPr>
            <w:tcW w:w="2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center"/>
              <w:ind w:right="990"/>
              <w:spacing w:after="0" w:line="191" w:lineRule="exact"/>
              <w:rPr>
                <w:sz w:val="20"/>
                <w:szCs w:val="20"/>
                <w:color w:val="auto"/>
              </w:rPr>
            </w:pPr>
            <w:r>
              <w:rPr>
                <w:rFonts w:ascii="Times New Roman" w:cs="Times New Roman" w:eastAsia="Times New Roman" w:hAnsi="Times New Roman"/>
                <w:sz w:val="18"/>
                <w:szCs w:val="18"/>
                <w:color w:val="auto"/>
              </w:rPr>
              <w:t>Marvin E. Dee</w:t>
            </w:r>
          </w:p>
        </w:tc>
        <w:tc>
          <w:tcPr>
            <w:tcW w:w="2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Vice President, Chief Financial Officer,</w:t>
            </w:r>
          </w:p>
        </w:tc>
        <w:tc>
          <w:tcPr>
            <w:tcW w:w="2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Secretary and Treasurer</w:t>
            </w:r>
          </w:p>
        </w:tc>
        <w:tc>
          <w:tcPr>
            <w:tcW w:w="2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700" w:type="dxa"/>
            <w:vAlign w:val="bottom"/>
            <w:tcBorders>
              <w:bottom w:val="single" w:sz="8" w:color="808080"/>
            </w:tcBorders>
          </w:tcPr>
          <w:p>
            <w:pPr>
              <w:spacing w:after="0"/>
              <w:rPr>
                <w:sz w:val="7"/>
                <w:szCs w:val="7"/>
                <w:color w:val="auto"/>
              </w:rPr>
            </w:pPr>
          </w:p>
        </w:tc>
        <w:tc>
          <w:tcPr>
            <w:tcW w:w="22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79" w:right="21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Marvin E. Dee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612/617-8571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marvin.dee@hawkinsinc.com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A. Weichert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651/686-9751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weichertfr@aol.com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HAWKINS, INC. REPORTS SECOND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FIRST HALF FISCAL 2004 RESULTS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Minneapolis, MN, November 13, 2003 – Hawkins, Inc. (Nasdaq: HWKN) today announced results for the second quarter and first six months of fiscal 2004. For the quarter ended September 30, 2003, Hawkins reported sales of $28.6 million versus $27.6 million in the same period a year ago. Net income for the second quarter of fiscal 2004 was $2.6 million, or earnings per share of $0.25, compared with net income of $2.7 million, or earnings per share of $0.26, for the same period of fiscal 2003.</w:t>
      </w:r>
    </w:p>
    <w:p>
      <w:pPr>
        <w:spacing w:after="0" w:line="180"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For the six months ended September 30, 2003, Hawkins reported sales of $57.7 million, net income of $5.4 million and earnings per share of $0.53 versus sales of $54.9 million, net income of $5.3 million and earnings per share of $0.51 for the six months ended September 30, 2002.</w:t>
      </w:r>
    </w:p>
    <w:p>
      <w:pPr>
        <w:spacing w:after="0" w:line="162"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Chairman and Chief Executive Officer, John R. Hawkins, commented, “Our Water Treatment Segment made excellent strides during the first half of fiscal 2004. Not only did the business benefit from favorable weather conditions, Hawkins Water Treatment Group has very effectively strategically positioned itself in the marketplace and developed strong customer relationships. We are leveraging those customer relations and introducing new products to better serve their needs.”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“Caustic soda, our main commodity product, contributed to the increase in sales in the quarter and the first half of fiscal 2004 primarily as a result of increases in the cost and selling price of caustic soda compared to a year ago,” Hawkins continued. “Other business activity in the Industrial Segment remains sluggish as the economy has seen little recovery, particularly in the telecommunications and circuit board industries, and competitive pricing is a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Mr. Hawkins noted that overall gross margins for the six months ended September 30, 2003 rose to 29.1% versus 28.6% for the six months ended September 30, 2002. These improvements were largely related to the Water Treatment Segment along with caustic soda pricing.</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“Hawkins is in excellent shape financially, with a strong balance sheet that includes $26.6 million in cash and marketable securities, strong, predictable cash flow and no debt at September 30,” Hawkins said. “Our goals are unchanged. Our primary focus is on serving our customers, building long-term, dependable relationships, improving efficiencies and maximizing returns to our shareholders.”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Hawkins’ customers participate in the chemical processing, electronics, energy, environmental services, food processing, metal finishing, pharmaceutical, medical device, pulp and paper, and water treatment industries. The Company strives to operate in concert with the environment. Its products and services are geared to improve the environment and insure the safe handling of chemicals.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Hawkins is headquartered in Minneapolis, Minnesota. The Company operates fourteen facilities in Iowa, Illinois, Minnesota, Montana, Nebraska, South and North Dakota and Wisconsin and services customers in Upper Michigan and Wyoming as well.</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30, 2003, Forms 10-Q, and other SEC filings.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5160" w:type="dxa"/>
        <w:tblCellMar>
          <w:top w:w="0" w:type="dxa"/>
          <w:left w:w="0" w:type="dxa"/>
          <w:bottom w:w="0" w:type="dxa"/>
          <w:right w:w="0" w:type="dxa"/>
        </w:tblCellMar>
      </w:tblPr>
      <w:tr>
        <w:trPr>
          <w:trHeight w:val="173"/>
        </w:trPr>
        <w:tc>
          <w:tcPr>
            <w:tcW w:w="320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6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16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0"/>
                <w:szCs w:val="10"/>
                <w:color w:val="auto"/>
              </w:rPr>
            </w:pPr>
          </w:p>
        </w:tc>
        <w:tc>
          <w:tcPr>
            <w:tcW w:w="160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2002</w:t>
            </w:r>
          </w:p>
        </w:tc>
      </w:tr>
    </w:tbl>
    <w:p>
      <w:pPr>
        <w:sectPr>
          <w:pgSz w:w="11900" w:h="16838" w:orient="portrait"/>
          <w:cols w:equalWidth="0" w:num="1">
            <w:col w:w="11420"/>
          </w:cols>
          <w:pgMar w:left="240" w:top="117"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28,645,014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27,636,311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57,711,881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54,919,212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20,282,707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19,673,756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40,913,441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39,205,531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7,962,555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16,798,440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15,713,681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4,405,588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3,895,389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8,598,243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4,067,166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8,200,197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8,022,457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190,854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188,145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413,392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4,255,311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8,613,589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2,591,573</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2,681,311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5,383,589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5,255,706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10,216,688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10,216,688</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10,216,688</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1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2019-12-11T18:27:28Z</dcterms:created>
  <dcterms:modified xsi:type="dcterms:W3CDTF">2019-12-11T18:27:28Z</dcterms:modified>
</cp:coreProperties>
</file>