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38"/>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29"/>
                <w:szCs w:val="29"/>
                <w:b w:val="1"/>
                <w:bCs w:val="1"/>
                <w:color w:val="auto"/>
                <w:w w:val="97"/>
              </w:rPr>
              <w:t>UNITED STATES</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w w:val="99"/>
              </w:rPr>
              <w:t>WASHINGTON, D.C. 20549</w:t>
            </w:r>
          </w:p>
        </w:tc>
        <w:tc>
          <w:tcPr>
            <w:tcW w:w="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Borders>
              <w:bottom w:val="single" w:sz="8" w:color="auto"/>
            </w:tcBorders>
          </w:tcPr>
          <w:p>
            <w:pPr>
              <w:jc w:val="center"/>
              <w:ind w:left="634"/>
              <w:spacing w:after="0" w:line="331" w:lineRule="exact"/>
              <w:rPr>
                <w:sz w:val="20"/>
                <w:szCs w:val="20"/>
                <w:color w:val="auto"/>
              </w:rPr>
            </w:pPr>
            <w:r>
              <w:rPr>
                <w:rFonts w:ascii="Arial" w:cs="Arial" w:eastAsia="Arial" w:hAnsi="Arial"/>
                <w:sz w:val="29"/>
                <w:szCs w:val="29"/>
                <w:b w:val="1"/>
                <w:bCs w:val="1"/>
                <w:color w:val="auto"/>
                <w:w w:val="98"/>
              </w:rPr>
              <w:t>FORM 10-Q</w:t>
            </w:r>
          </w:p>
        </w:tc>
        <w:tc>
          <w:tcPr>
            <w:tcW w:w="7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4"/>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5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32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9"/>
              </w:rPr>
              <w:t>For the quarterly period ended December 26, 2021</w:t>
            </w:r>
          </w:p>
        </w:tc>
      </w:tr>
      <w:tr>
        <w:trPr>
          <w:trHeight w:val="256"/>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0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rPr>
              <w:t>Commission file number 0-7647</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32"/>
                <w:szCs w:val="32"/>
                <w:b w:val="1"/>
                <w:bCs w:val="1"/>
                <w:color w:val="auto"/>
              </w:rPr>
              <w:t>HAWKINS, INC.</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345"/>
        </w:trPr>
        <w:tc>
          <w:tcPr>
            <w:tcW w:w="11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jc w:val="center"/>
              <w:ind w:right="3074"/>
              <w:spacing w:after="0"/>
              <w:rPr>
                <w:sz w:val="20"/>
                <w:szCs w:val="20"/>
                <w:color w:val="auto"/>
              </w:rPr>
            </w:pPr>
            <w:r>
              <w:rPr>
                <w:rFonts w:ascii="Arial" w:cs="Arial" w:eastAsia="Arial" w:hAnsi="Arial"/>
                <w:sz w:val="18"/>
                <w:szCs w:val="18"/>
                <w:b w:val="1"/>
                <w:bCs w:val="1"/>
                <w:color w:val="auto"/>
              </w:rPr>
              <w:t>Minnesota</w:t>
            </w:r>
          </w:p>
        </w:tc>
        <w:tc>
          <w:tcPr>
            <w:tcW w:w="3620" w:type="dxa"/>
            <w:vAlign w:val="bottom"/>
            <w:tcBorders>
              <w:bottom w:val="single" w:sz="8" w:color="auto"/>
            </w:tcBorders>
            <w:gridSpan w:val="2"/>
          </w:tcPr>
          <w:p>
            <w:pPr>
              <w:jc w:val="center"/>
              <w:ind w:right="170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1140" w:type="dxa"/>
            <w:vAlign w:val="bottom"/>
          </w:tcPr>
          <w:p>
            <w:pPr>
              <w:spacing w:after="0"/>
              <w:rPr>
                <w:sz w:val="12"/>
                <w:szCs w:val="12"/>
                <w:color w:val="auto"/>
              </w:rPr>
            </w:pPr>
          </w:p>
        </w:tc>
        <w:tc>
          <w:tcPr>
            <w:tcW w:w="6440" w:type="dxa"/>
            <w:vAlign w:val="bottom"/>
            <w:gridSpan w:val="2"/>
          </w:tcPr>
          <w:p>
            <w:pPr>
              <w:jc w:val="center"/>
              <w:ind w:right="307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gridSpan w:val="2"/>
          </w:tcPr>
          <w:p>
            <w:pPr>
              <w:jc w:val="center"/>
              <w:ind w:right="170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1140" w:type="dxa"/>
            <w:vAlign w:val="bottom"/>
          </w:tcPr>
          <w:p>
            <w:pPr>
              <w:spacing w:after="0"/>
              <w:rPr>
                <w:sz w:val="16"/>
                <w:szCs w:val="16"/>
                <w:color w:val="auto"/>
              </w:rPr>
            </w:pPr>
          </w:p>
        </w:tc>
        <w:tc>
          <w:tcPr>
            <w:tcW w:w="6440" w:type="dxa"/>
            <w:vAlign w:val="bottom"/>
            <w:gridSpan w:val="2"/>
          </w:tcPr>
          <w:p>
            <w:pPr>
              <w:jc w:val="center"/>
              <w:ind w:right="3074"/>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1140" w:type="dxa"/>
            <w:vAlign w:val="bottom"/>
          </w:tcPr>
          <w:p>
            <w:pPr>
              <w:spacing w:after="0"/>
              <w:rPr>
                <w:sz w:val="24"/>
                <w:szCs w:val="24"/>
                <w:color w:val="auto"/>
              </w:rPr>
            </w:pPr>
          </w:p>
        </w:tc>
        <w:tc>
          <w:tcPr>
            <w:tcW w:w="6440" w:type="dxa"/>
            <w:vAlign w:val="bottom"/>
            <w:gridSpan w:val="2"/>
          </w:tcPr>
          <w:p>
            <w:pPr>
              <w:jc w:val="center"/>
              <w:ind w:right="1794"/>
              <w:spacing w:after="0"/>
              <w:rPr>
                <w:sz w:val="20"/>
                <w:szCs w:val="20"/>
                <w:color w:val="auto"/>
              </w:rPr>
            </w:pPr>
            <w:r>
              <w:rPr>
                <w:rFonts w:ascii="Arial" w:cs="Arial" w:eastAsia="Arial" w:hAnsi="Arial"/>
                <w:sz w:val="18"/>
                <w:szCs w:val="18"/>
                <w:b w:val="1"/>
                <w:bCs w:val="1"/>
                <w:color w:val="auto"/>
                <w:w w:val="99"/>
              </w:rPr>
              <w:t>2381 Rosegate, Roseville, Minnesota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6440" w:type="dxa"/>
            <w:vAlign w:val="bottom"/>
            <w:gridSpan w:val="2"/>
          </w:tcPr>
          <w:p>
            <w:pPr>
              <w:jc w:val="center"/>
              <w:ind w:right="1774"/>
              <w:spacing w:after="0"/>
              <w:rPr>
                <w:sz w:val="20"/>
                <w:szCs w:val="20"/>
                <w:color w:val="auto"/>
              </w:rPr>
            </w:pPr>
            <w:r>
              <w:rPr>
                <w:rFonts w:ascii="Arial" w:cs="Arial" w:eastAsia="Arial" w:hAnsi="Arial"/>
                <w:sz w:val="14"/>
                <w:szCs w:val="14"/>
                <w:b w:val="1"/>
                <w:bCs w:val="1"/>
                <w:color w:val="auto"/>
              </w:rPr>
              <w:t>(Address of principal executive offices)</w:t>
            </w:r>
          </w:p>
        </w:tc>
        <w:tc>
          <w:tcPr>
            <w:tcW w:w="362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rPr>
              <w:t>(Zip code)</w:t>
            </w:r>
          </w:p>
        </w:tc>
      </w:tr>
      <w:tr>
        <w:trPr>
          <w:trHeight w:val="417"/>
        </w:trPr>
        <w:tc>
          <w:tcPr>
            <w:tcW w:w="1140" w:type="dxa"/>
            <w:vAlign w:val="bottom"/>
          </w:tcPr>
          <w:p>
            <w:pPr>
              <w:spacing w:after="0"/>
              <w:rPr>
                <w:sz w:val="24"/>
                <w:szCs w:val="24"/>
                <w:color w:val="auto"/>
              </w:rPr>
            </w:pPr>
          </w:p>
        </w:tc>
        <w:tc>
          <w:tcPr>
            <w:tcW w:w="6440" w:type="dxa"/>
            <w:vAlign w:val="bottom"/>
            <w:gridSpan w:val="2"/>
          </w:tcPr>
          <w:p>
            <w:pPr>
              <w:jc w:val="center"/>
              <w:ind w:left="2388"/>
              <w:spacing w:after="0"/>
              <w:rPr>
                <w:sz w:val="20"/>
                <w:szCs w:val="20"/>
                <w:color w:val="auto"/>
              </w:rPr>
            </w:pPr>
            <w:r>
              <w:rPr>
                <w:rFonts w:ascii="Arial" w:cs="Arial" w:eastAsia="Arial" w:hAnsi="Arial"/>
                <w:sz w:val="18"/>
                <w:szCs w:val="18"/>
                <w:b w:val="1"/>
                <w:bCs w:val="1"/>
                <w:color w:val="auto"/>
              </w:rPr>
              <w:t>(612) 331-6910</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60" w:type="dxa"/>
            <w:vAlign w:val="bottom"/>
            <w:tcBorders>
              <w:bottom w:val="single" w:sz="8" w:color="auto"/>
            </w:tcBorders>
          </w:tcPr>
          <w:p>
            <w:pPr>
              <w:spacing w:after="0"/>
              <w:rPr>
                <w:sz w:val="16"/>
                <w:szCs w:val="16"/>
                <w:color w:val="auto"/>
              </w:rPr>
            </w:pPr>
          </w:p>
        </w:tc>
        <w:tc>
          <w:tcPr>
            <w:tcW w:w="2860" w:type="dxa"/>
            <w:vAlign w:val="bottom"/>
          </w:tcPr>
          <w:p>
            <w:pPr>
              <w:spacing w:after="0"/>
              <w:rPr>
                <w:sz w:val="16"/>
                <w:szCs w:val="16"/>
                <w:color w:val="auto"/>
              </w:rPr>
            </w:pPr>
          </w:p>
        </w:tc>
      </w:tr>
    </w:tbl>
    <w:p>
      <w:pPr>
        <w:spacing w:after="0" w:line="3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248" w:lineRule="exact"/>
        <w:rPr>
          <w:sz w:val="24"/>
          <w:szCs w:val="24"/>
          <w:color w:val="auto"/>
        </w:rPr>
      </w:pPr>
    </w:p>
    <w:p>
      <w:pPr>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2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Shares Outstanding at January 28, 2022</w:t>
            </w:r>
          </w:p>
        </w:tc>
        <w:tc>
          <w:tcPr>
            <w:tcW w:w="126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Common Stock, par value $.01 per share</w:t>
            </w:r>
          </w:p>
        </w:tc>
        <w:tc>
          <w:tcPr>
            <w:tcW w:w="4820" w:type="dxa"/>
            <w:vAlign w:val="bottom"/>
          </w:tcPr>
          <w:p>
            <w:pPr>
              <w:jc w:val="right"/>
              <w:ind w:right="1879"/>
              <w:spacing w:after="0"/>
              <w:rPr>
                <w:sz w:val="20"/>
                <w:szCs w:val="20"/>
                <w:color w:val="auto"/>
              </w:rPr>
            </w:pPr>
            <w:r>
              <w:rPr>
                <w:rFonts w:ascii="Arial" w:cs="Arial" w:eastAsia="Arial" w:hAnsi="Arial"/>
                <w:sz w:val="18"/>
                <w:szCs w:val="18"/>
                <w:color w:val="auto"/>
              </w:rPr>
              <w:t>21,116,457</w:t>
            </w:r>
          </w:p>
        </w:tc>
        <w:tc>
          <w:tcPr>
            <w:tcW w:w="1260" w:type="dxa"/>
            <w:vAlign w:val="bottom"/>
          </w:tcPr>
          <w:p>
            <w:pPr>
              <w:spacing w:after="0"/>
              <w:rPr>
                <w:sz w:val="19"/>
                <w:szCs w:val="19"/>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2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 (unaudited):</w:t>
              </w:r>
            </w:hyperlink>
          </w:p>
        </w:tc>
        <w:tc>
          <w:tcPr>
            <w:tcW w:w="548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2"/>
                <w:szCs w:val="22"/>
                <w:color w:val="auto"/>
              </w:rPr>
            </w:pPr>
          </w:p>
        </w:tc>
        <w:tc>
          <w:tcPr>
            <w:tcW w:w="672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 xml:space="preserve">Condensed Consolidated Balance Sheets </w:t>
              </w:r>
            </w:hyperlink>
            <w:r>
              <w:rPr>
                <w:rFonts w:ascii="Arial" w:cs="Arial" w:eastAsia="Arial" w:hAnsi="Arial"/>
                <w:sz w:val="18"/>
                <w:szCs w:val="18"/>
                <w:color w:val="0000FF"/>
                <w:w w:val="99"/>
              </w:rPr>
              <w:t xml:space="preserve">–December </w:t>
            </w:r>
            <w:hyperlink w:anchor="page3">
              <w:r>
                <w:rPr>
                  <w:rFonts w:ascii="Arial" w:cs="Arial" w:eastAsia="Arial" w:hAnsi="Arial"/>
                  <w:sz w:val="18"/>
                  <w:szCs w:val="18"/>
                  <w:color w:val="0000FF"/>
                  <w:w w:val="99"/>
                </w:rPr>
                <w:t>26, 2021 and March 28, 2021</w:t>
              </w:r>
            </w:hyperlink>
          </w:p>
        </w:tc>
        <w:tc>
          <w:tcPr>
            <w:tcW w:w="1460" w:type="dxa"/>
            <w:vAlign w:val="bottom"/>
            <w:gridSpan w:val="6"/>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64"/>
        </w:trPr>
        <w:tc>
          <w:tcPr>
            <w:tcW w:w="1120" w:type="dxa"/>
            <w:vAlign w:val="bottom"/>
          </w:tcPr>
          <w:p>
            <w:pPr>
              <w:spacing w:after="0"/>
              <w:rPr>
                <w:sz w:val="22"/>
                <w:szCs w:val="22"/>
                <w:color w:val="auto"/>
              </w:rPr>
            </w:pPr>
          </w:p>
        </w:tc>
        <w:tc>
          <w:tcPr>
            <w:tcW w:w="8180" w:type="dxa"/>
            <w:vAlign w:val="bottom"/>
            <w:gridSpan w:val="2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 Three and Nine Months Ended December</w:t>
              </w:r>
            </w:hyperlink>
          </w:p>
        </w:tc>
        <w:tc>
          <w:tcPr>
            <w:tcW w:w="9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156"/>
        </w:trPr>
        <w:tc>
          <w:tcPr>
            <w:tcW w:w="1120" w:type="dxa"/>
            <w:vAlign w:val="bottom"/>
          </w:tcPr>
          <w:p>
            <w:pPr>
              <w:spacing w:after="0"/>
              <w:rPr>
                <w:sz w:val="13"/>
                <w:szCs w:val="13"/>
                <w:color w:val="auto"/>
              </w:rPr>
            </w:pPr>
          </w:p>
        </w:tc>
        <w:tc>
          <w:tcPr>
            <w:tcW w:w="73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26, 2021 and December 27, 2020</w:t>
              </w:r>
            </w:hyperlink>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18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 Three and Nine Months</w:t>
              </w:r>
            </w:hyperlink>
          </w:p>
        </w:tc>
        <w:tc>
          <w:tcPr>
            <w:tcW w:w="9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156"/>
        </w:trPr>
        <w:tc>
          <w:tcPr>
            <w:tcW w:w="11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Ended </w:t>
              </w:r>
            </w:hyperlink>
            <w:hyperlink w:anchor="page3">
              <w:r>
                <w:rPr>
                  <w:rFonts w:ascii="Arial" w:cs="Arial" w:eastAsia="Arial" w:hAnsi="Arial"/>
                  <w:sz w:val="18"/>
                  <w:szCs w:val="18"/>
                  <w:color w:val="0000FF"/>
                  <w:w w:val="99"/>
                </w:rPr>
                <w:t xml:space="preserve">December 26, </w:t>
              </w:r>
            </w:hyperlink>
            <w:hyperlink w:anchor="page4">
              <w:r>
                <w:rPr>
                  <w:rFonts w:ascii="Arial" w:cs="Arial" w:eastAsia="Arial" w:hAnsi="Arial"/>
                  <w:sz w:val="18"/>
                  <w:szCs w:val="18"/>
                  <w:color w:val="0000FF"/>
                  <w:w w:val="99"/>
                </w:rPr>
                <w:t xml:space="preserve">2021 and </w:t>
              </w:r>
            </w:hyperlink>
            <w:hyperlink w:anchor="page3">
              <w:r>
                <w:rPr>
                  <w:rFonts w:ascii="Arial" w:cs="Arial" w:eastAsia="Arial" w:hAnsi="Arial"/>
                  <w:sz w:val="18"/>
                  <w:szCs w:val="18"/>
                  <w:color w:val="0000FF"/>
                  <w:w w:val="99"/>
                </w:rPr>
                <w:t xml:space="preserve">December 27, </w:t>
              </w:r>
            </w:hyperlink>
            <w:hyperlink w:anchor="page4">
              <w:r>
                <w:rPr>
                  <w:rFonts w:ascii="Arial" w:cs="Arial" w:eastAsia="Arial" w:hAnsi="Arial"/>
                  <w:sz w:val="18"/>
                  <w:szCs w:val="18"/>
                  <w:color w:val="0000FF"/>
                  <w:w w:val="99"/>
                </w:rPr>
                <w:t>2020</w:t>
              </w:r>
            </w:hyperlink>
          </w:p>
        </w:tc>
        <w:tc>
          <w:tcPr>
            <w:tcW w:w="3080" w:type="dxa"/>
            <w:vAlign w:val="bottom"/>
            <w:tcBorders>
              <w:top w:val="single" w:sz="8" w:color="0000FF"/>
            </w:tcBorders>
            <w:gridSpan w:val="7"/>
          </w:tcPr>
          <w:p>
            <w:pPr>
              <w:spacing w:after="0"/>
              <w:rPr>
                <w:sz w:val="13"/>
                <w:szCs w:val="13"/>
                <w:color w:val="auto"/>
              </w:rPr>
            </w:pPr>
          </w:p>
        </w:tc>
        <w:tc>
          <w:tcPr>
            <w:tcW w:w="34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Shareholder’s Equity – Three and Nine Months Ended</w:t>
              </w:r>
            </w:hyperlink>
          </w:p>
        </w:tc>
        <w:tc>
          <w:tcPr>
            <w:tcW w:w="9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155"/>
        </w:trPr>
        <w:tc>
          <w:tcPr>
            <w:tcW w:w="1120" w:type="dxa"/>
            <w:vAlign w:val="bottom"/>
          </w:tcPr>
          <w:p>
            <w:pPr>
              <w:spacing w:after="0"/>
              <w:rPr>
                <w:sz w:val="13"/>
                <w:szCs w:val="13"/>
                <w:color w:val="auto"/>
              </w:rPr>
            </w:pPr>
          </w:p>
        </w:tc>
        <w:tc>
          <w:tcPr>
            <w:tcW w:w="75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December 26, </w:t>
              </w:r>
            </w:hyperlink>
            <w:hyperlink w:anchor="page5">
              <w:r>
                <w:rPr>
                  <w:rFonts w:ascii="Arial" w:cs="Arial" w:eastAsia="Arial" w:hAnsi="Arial"/>
                  <w:sz w:val="18"/>
                  <w:szCs w:val="18"/>
                  <w:color w:val="0000FF"/>
                </w:rPr>
                <w:t xml:space="preserve">2021 and </w:t>
              </w:r>
            </w:hyperlink>
            <w:hyperlink w:anchor="page3">
              <w:r>
                <w:rPr>
                  <w:rFonts w:ascii="Arial" w:cs="Arial" w:eastAsia="Arial" w:hAnsi="Arial"/>
                  <w:sz w:val="18"/>
                  <w:szCs w:val="18"/>
                  <w:color w:val="0000FF"/>
                </w:rPr>
                <w:t xml:space="preserve">December 27, </w:t>
              </w:r>
            </w:hyperlink>
            <w:hyperlink w:anchor="page5">
              <w:r>
                <w:rPr>
                  <w:rFonts w:ascii="Arial" w:cs="Arial" w:eastAsia="Arial" w:hAnsi="Arial"/>
                  <w:sz w:val="18"/>
                  <w:szCs w:val="18"/>
                  <w:color w:val="0000FF"/>
                </w:rPr>
                <w:t>2020</w:t>
              </w:r>
            </w:hyperlink>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 Nine Months Ended December 26,</w:t>
              </w:r>
            </w:hyperlink>
          </w:p>
        </w:tc>
        <w:tc>
          <w:tcPr>
            <w:tcW w:w="9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55"/>
        </w:trPr>
        <w:tc>
          <w:tcPr>
            <w:tcW w:w="1120" w:type="dxa"/>
            <w:vAlign w:val="bottom"/>
          </w:tcPr>
          <w:p>
            <w:pPr>
              <w:spacing w:after="0"/>
              <w:rPr>
                <w:sz w:val="13"/>
                <w:szCs w:val="13"/>
                <w:color w:val="auto"/>
              </w:rPr>
            </w:pPr>
          </w:p>
        </w:tc>
        <w:tc>
          <w:tcPr>
            <w:tcW w:w="7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2021 and </w:t>
              </w:r>
            </w:hyperlink>
            <w:hyperlink w:anchor="page3">
              <w:r>
                <w:rPr>
                  <w:rFonts w:ascii="Arial" w:cs="Arial" w:eastAsia="Arial" w:hAnsi="Arial"/>
                  <w:sz w:val="18"/>
                  <w:szCs w:val="18"/>
                  <w:color w:val="0000FF"/>
                </w:rPr>
                <w:t xml:space="preserve">December 27, </w:t>
              </w:r>
            </w:hyperlink>
            <w:hyperlink w:anchor="page6">
              <w:r>
                <w:rPr>
                  <w:rFonts w:ascii="Arial" w:cs="Arial" w:eastAsia="Arial" w:hAnsi="Arial"/>
                  <w:sz w:val="18"/>
                  <w:szCs w:val="18"/>
                  <w:color w:val="0000FF"/>
                </w:rPr>
                <w:t>2020</w:t>
              </w:r>
            </w:hyperlink>
          </w:p>
        </w:tc>
        <w:tc>
          <w:tcPr>
            <w:tcW w:w="10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44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3700" w:type="dxa"/>
            <w:vAlign w:val="bottom"/>
            <w:gridSpan w:val="9"/>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2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Quantitative and Qualitative Disclosures about Market Risk</w:t>
              </w:r>
            </w:hyperlink>
          </w:p>
        </w:tc>
        <w:tc>
          <w:tcPr>
            <w:tcW w:w="2380" w:type="dxa"/>
            <w:vAlign w:val="bottom"/>
            <w:tcBorders>
              <w:top w:val="single" w:sz="8" w:color="0000FF"/>
            </w:tcBorders>
            <w:gridSpan w:val="3"/>
          </w:tcPr>
          <w:p>
            <w:pPr>
              <w:spacing w:after="0"/>
              <w:rPr>
                <w:sz w:val="22"/>
                <w:szCs w:val="22"/>
                <w:color w:val="auto"/>
              </w:rPr>
            </w:pPr>
          </w:p>
        </w:tc>
        <w:tc>
          <w:tcPr>
            <w:tcW w:w="110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15</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Controls and Procedures</w:t>
              </w:r>
            </w:hyperlink>
          </w:p>
        </w:tc>
        <w:tc>
          <w:tcPr>
            <w:tcW w:w="618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15</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OTHER INFORMATION</w:t>
              </w:r>
            </w:hyperlink>
          </w:p>
        </w:tc>
        <w:tc>
          <w:tcPr>
            <w:tcW w:w="6220" w:type="dxa"/>
            <w:vAlign w:val="bottom"/>
            <w:gridSpan w:val="18"/>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Legal Proceedings</w:t>
              </w:r>
            </w:hyperlink>
          </w:p>
        </w:tc>
        <w:tc>
          <w:tcPr>
            <w:tcW w:w="6680" w:type="dxa"/>
            <w:vAlign w:val="bottom"/>
            <w:gridSpan w:val="20"/>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16</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2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9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16</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Unregistered Sales of Equity Securities and Use of Proceeds</w:t>
              </w:r>
            </w:hyperlink>
          </w:p>
        </w:tc>
        <w:tc>
          <w:tcPr>
            <w:tcW w:w="332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Defaults Upon Senior Securities</w:t>
              </w:r>
            </w:hyperlink>
          </w:p>
        </w:tc>
        <w:tc>
          <w:tcPr>
            <w:tcW w:w="5620" w:type="dxa"/>
            <w:vAlign w:val="bottom"/>
            <w:gridSpan w:val="14"/>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Mine Safety Disclosures</w:t>
              </w:r>
            </w:hyperlink>
          </w:p>
        </w:tc>
        <w:tc>
          <w:tcPr>
            <w:tcW w:w="6240" w:type="dxa"/>
            <w:vAlign w:val="bottom"/>
            <w:gridSpan w:val="19"/>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16</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Exhibits</w:t>
              </w:r>
            </w:hyperlink>
          </w:p>
        </w:tc>
        <w:tc>
          <w:tcPr>
            <w:tcW w:w="760" w:type="dxa"/>
            <w:vAlign w:val="bottom"/>
            <w:tcBorders>
              <w:top w:val="single" w:sz="8" w:color="0000FF"/>
            </w:tcBorders>
            <w:gridSpan w:val="2"/>
          </w:tcPr>
          <w:p>
            <w:pPr>
              <w:spacing w:after="0"/>
              <w:rPr>
                <w:sz w:val="22"/>
                <w:szCs w:val="22"/>
                <w:color w:val="auto"/>
              </w:rPr>
            </w:pPr>
          </w:p>
        </w:tc>
        <w:tc>
          <w:tcPr>
            <w:tcW w:w="6780" w:type="dxa"/>
            <w:vAlign w:val="bottom"/>
            <w:gridSpan w:val="21"/>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6" w:right="1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209,478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09"/>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2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Short-term lease liability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Container deposits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r>
      <w:tr>
        <w:trPr>
          <w:trHeight w:val="212"/>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88,845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229,450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207,304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authorized: 60,000,000 shares of $0.01 par value; 20,858,385 and 20,969,746 shares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December 26, 2021 and March 28, 2021, respectively</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51,138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213,898</w:t>
            </w:r>
          </w:p>
        </w:tc>
      </w:tr>
      <w:tr>
        <w:trPr>
          <w:trHeight w:val="206"/>
        </w:trPr>
        <w:tc>
          <w:tcPr>
            <w:tcW w:w="822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265,246</w:t>
            </w:r>
          </w:p>
        </w:tc>
      </w:tr>
      <w:tr>
        <w:trPr>
          <w:trHeight w:val="235"/>
        </w:trPr>
        <w:tc>
          <w:tcPr>
            <w:tcW w:w="8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145"/>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2"/>
                <w:szCs w:val="12"/>
                <w:color w:val="auto"/>
              </w:rPr>
            </w:pP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2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2"/>
                <w:szCs w:val="12"/>
                <w:color w:val="auto"/>
              </w:rPr>
            </w:pPr>
          </w:p>
        </w:tc>
        <w:tc>
          <w:tcPr>
            <w:tcW w:w="1180" w:type="dxa"/>
            <w:vAlign w:val="bottom"/>
          </w:tcPr>
          <w:p>
            <w:pPr>
              <w:jc w:val="right"/>
              <w:ind w:right="112"/>
              <w:spacing w:after="0" w:line="145" w:lineRule="exact"/>
              <w:rPr>
                <w:sz w:val="20"/>
                <w:szCs w:val="20"/>
                <w:color w:val="auto"/>
              </w:rPr>
            </w:pPr>
            <w:r>
              <w:rPr>
                <w:rFonts w:ascii="Arial" w:cs="Arial" w:eastAsia="Arial" w:hAnsi="Arial"/>
                <w:sz w:val="14"/>
                <w:szCs w:val="14"/>
                <w:b w:val="1"/>
                <w:bCs w:val="1"/>
                <w:color w:val="auto"/>
              </w:rPr>
              <w:t>December 27,</w:t>
            </w:r>
          </w:p>
        </w:tc>
      </w:tr>
      <w:tr>
        <w:trPr>
          <w:trHeight w:val="176"/>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(341,888)</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43,184</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20,885,232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21,013,836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20,968,692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21,043,042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21,054,603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21,223,310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21,278,744</w:t>
            </w:r>
          </w:p>
        </w:tc>
      </w:tr>
      <w:tr>
        <w:trPr>
          <w:trHeight w:val="270"/>
        </w:trPr>
        <w:tc>
          <w:tcPr>
            <w:tcW w:w="5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5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0.11625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0.38250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0.34875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2"/>
                <w:szCs w:val="12"/>
                <w:color w:val="auto"/>
              </w:rPr>
            </w:pPr>
          </w:p>
        </w:tc>
        <w:tc>
          <w:tcPr>
            <w:tcW w:w="11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December 27,</w:t>
            </w:r>
          </w:p>
        </w:tc>
      </w:tr>
      <w:tr>
        <w:trPr>
          <w:trHeight w:val="175"/>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31,899</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interest rate swap</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31,978</w:t>
            </w: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0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23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1080" w:type="dxa"/>
            <w:vAlign w:val="bottom"/>
          </w:tcPr>
          <w:p>
            <w:pPr>
              <w:jc w:val="center"/>
              <w:ind w:right="2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3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28,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20,969,746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123,002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(100,954)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27, 2021</w:t>
            </w:r>
          </w:p>
        </w:tc>
        <w:tc>
          <w:tcPr>
            <w:tcW w:w="1100" w:type="dxa"/>
            <w:vAlign w:val="bottom"/>
          </w:tcPr>
          <w:p>
            <w:pPr>
              <w:jc w:val="right"/>
              <w:spacing w:after="0"/>
              <w:rPr>
                <w:sz w:val="20"/>
                <w:szCs w:val="20"/>
                <w:color w:val="auto"/>
              </w:rPr>
            </w:pPr>
            <w:r>
              <w:rPr>
                <w:rFonts w:ascii="Arial" w:cs="Arial" w:eastAsia="Arial" w:hAnsi="Arial"/>
                <w:sz w:val="16"/>
                <w:szCs w:val="16"/>
                <w:color w:val="auto"/>
              </w:rPr>
              <w:t>20,946,404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47,069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227,926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275,205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Cash dividends declared and paid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40,300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26,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20,888,923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284,313</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(30,538)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line="183" w:lineRule="exact"/>
              <w:rPr>
                <w:sz w:val="20"/>
                <w:szCs w:val="20"/>
                <w:color w:val="auto"/>
              </w:rPr>
            </w:pPr>
            <w:r>
              <w:rPr>
                <w:rFonts w:ascii="Arial" w:cs="Arial" w:eastAsia="Arial" w:hAnsi="Arial"/>
                <w:sz w:val="16"/>
                <w:szCs w:val="16"/>
                <w:color w:val="auto"/>
              </w:rPr>
              <w:t>BALANCE — December 26, 2021</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20,858,385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44,723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246,762</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291,694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0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30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40" w:type="dxa"/>
            <w:vAlign w:val="bottom"/>
          </w:tcPr>
          <w:p>
            <w:pPr>
              <w:spacing w:after="0"/>
              <w:rPr>
                <w:sz w:val="8"/>
                <w:szCs w:val="8"/>
                <w:color w:val="auto"/>
              </w:rPr>
            </w:pPr>
          </w:p>
        </w:tc>
        <w:tc>
          <w:tcPr>
            <w:tcW w:w="23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8"/>
                <w:szCs w:val="8"/>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8"/>
                <w:szCs w:val="8"/>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8"/>
                <w:szCs w:val="8"/>
                <w:color w:val="auto"/>
              </w:rPr>
            </w:pPr>
          </w:p>
        </w:tc>
        <w:tc>
          <w:tcPr>
            <w:tcW w:w="1080" w:type="dxa"/>
            <w:vAlign w:val="bottom"/>
            <w:vMerge w:val="restart"/>
          </w:tcPr>
          <w:p>
            <w:pPr>
              <w:jc w:val="center"/>
              <w:ind w:right="40"/>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21,024,458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10,526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21,031,670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51,051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192,256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Cash dividends declared and paid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42,720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27,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21,090,406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(166,088)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27,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20,924,318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256,915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December 26,</w:t>
            </w:r>
          </w:p>
        </w:tc>
        <w:tc>
          <w:tcPr>
            <w:tcW w:w="160" w:type="dxa"/>
            <w:vAlign w:val="bottom"/>
          </w:tcPr>
          <w:p>
            <w:pPr>
              <w:spacing w:after="0"/>
              <w:rPr>
                <w:sz w:val="13"/>
                <w:szCs w:val="13"/>
                <w:color w:val="auto"/>
              </w:rPr>
            </w:pPr>
          </w:p>
        </w:tc>
        <w:tc>
          <w:tcPr>
            <w:tcW w:w="13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December 27,</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40,965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31,899</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16,735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(8,121)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(3,569)</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26,606</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(35,017)</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(48,063)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(7,430)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r>
      <w:tr>
        <w:trPr>
          <w:trHeight w:val="206"/>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25,149</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15,208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12,345</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790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December 26, 2021 are not necessarily indicative of the results that may be expected for the full year.</w:t>
      </w:r>
    </w:p>
    <w:p>
      <w:pPr>
        <w:spacing w:after="0" w:line="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References to fiscal 2020 refer to the fiscal year ended March 29, 2020, references to fiscal 2021 refer to the fiscal year ended March 28, 2021 and references to fiscal 2022 refer to the fiscal year ending April 3, 2022. As compared to our normal 52-week fiscal years, fiscal 2022 will be a 53-week year, with the extra week to be recorded in our fourth quarter's results of operations.</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71" w:lineRule="exact"/>
        <w:rPr>
          <w:sz w:val="20"/>
          <w:szCs w:val="20"/>
          <w:color w:val="auto"/>
        </w:rPr>
      </w:pPr>
    </w:p>
    <w:p>
      <w:pPr>
        <w:jc w:val="both"/>
        <w:ind w:right="20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 There has been no significant change in our accounting policies since the end of fiscal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8"/>
          <w:szCs w:val="18"/>
          <w:b w:val="1"/>
          <w:bCs w:val="1"/>
          <w:i w:val="1"/>
          <w:iCs w:val="1"/>
          <w:color w:val="auto"/>
        </w:rPr>
        <w:t xml:space="preserve">Acquisition of Water and Waste Specialties, Inc.: </w:t>
      </w:r>
      <w:r>
        <w:rPr>
          <w:rFonts w:ascii="Arial" w:cs="Arial" w:eastAsia="Arial" w:hAnsi="Arial"/>
          <w:sz w:val="18"/>
          <w:szCs w:val="18"/>
          <w:color w:val="auto"/>
        </w:rPr>
        <w:t>On October 29, 2021, we acquired substantially all the assets of Water and Waste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Specialties, Inc., under the terms of a purchase agreement with Water and Waste Specialties and its shareholders. We paid $1.4 million at closing for the acquisition. Water and Waste Specialties was a water treatment chemical distribution company operating primarily in Alabama.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and liabilities of Water and Waste Specialties acquired in connection with the acquisition based on their estimated fair values. We estimated the fair values of the assets acquired and liabilities assumed using a discounted cash flow analysis (income approach). Of the total $1.4 million purchase price, we allocated $0.5 million to finite-lived intangible assets, primarily customer</w:t>
      </w:r>
    </w:p>
    <w:p>
      <w:pPr>
        <w:spacing w:after="0" w:line="2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relationships to be amortized over 11 years, and $0.4 million to property, plant and equipment. The residual amount of $0.5 million was allocated to goodwill. The goodwill recognized as a result of this acquisition is primarily attributable to strategic and synergistic benefits, as well as the assembled workforce. Such goodwill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Acquisition of Southeast Water Systems LLC: </w:t>
      </w:r>
      <w:r>
        <w:rPr>
          <w:rFonts w:ascii="Arial" w:cs="Arial" w:eastAsia="Arial" w:hAnsi="Arial"/>
          <w:sz w:val="18"/>
          <w:szCs w:val="18"/>
          <w:color w:val="auto"/>
        </w:rPr>
        <w:t>On September 20, 2021, we acquired substantially all the assets of Southeast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LLC, under the terms of an asset purchase agreement with Southeast Water Systems and its shareholders. We paid $1.2 million at closing for the acquisition and may pay up to an additional $1.0 million over the next three years based on achieving certain goals. Southeast Water Systems supplied and installed water treatment chemical equipment to its customers located primarily in Alabama, southern Georgia and the Florida panhandle.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tangible and intangible assets and liabilities of Southeast Water Systems acquired in connection with the acquisition based on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values. We estimated the fair values of the assets acquired and liabilities assumed using a discounted cash flow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approach). Of the total $2.2 million purchase price, which includes a contingent consideration liability of $1.0 million, we allocated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 million to finite-lived intangible assets, primarily customer relationships to be amortized over 10 years, and $0.1 million to property, plant</w:t>
      </w:r>
    </w:p>
    <w:p>
      <w:pPr>
        <w:spacing w:after="0" w:line="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equipment. The residual amount of $1.7 million was allocated to goodwill. The goodwill recognized as a result of this acquisition is primarily attributable to strategic and synergistic benefits, as well as the assembled workforce. Such goodwill is expected to be deductible for tax purposes.</w:t>
      </w:r>
    </w:p>
    <w:p>
      <w:pPr>
        <w:spacing w:after="0" w:line="7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Acquisitions of C&amp;L Aqua Professionals, Inc. and LC Blending, Inc.</w:t>
      </w:r>
      <w:r>
        <w:rPr>
          <w:rFonts w:ascii="Arial" w:cs="Arial" w:eastAsia="Arial" w:hAnsi="Arial"/>
          <w:sz w:val="18"/>
          <w:szCs w:val="18"/>
          <w:color w:val="auto"/>
        </w:rPr>
        <w:t>: In the fourth quarter of fiscal 2021, we acquired substantially 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C&amp;L Aqua Professionals, Inc. and LC Blending, Inc. (together, "C&amp;L Aqua") under the terms of an asset purchase agreement among us, C&amp;L Aqua and its shareholders. We paid $ 16 million for the acquisition. C&amp;L Aqua was a water treatment chemical distribution company operating primarily in Louisiana.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Acquisition of Property</w:t>
      </w:r>
      <w:r>
        <w:rPr>
          <w:rFonts w:ascii="Arial" w:cs="Arial" w:eastAsia="Arial" w:hAnsi="Arial"/>
          <w:sz w:val="18"/>
          <w:szCs w:val="18"/>
          <w:color w:val="auto"/>
        </w:rPr>
        <w:t>: In the third quarter of fiscal 2021, we acquired a manufacturing facility on 28 acres located adjacent to our facility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Rosemount, Minnesota to allow further expansion and growth in both our Industrial and Water Treatment segments. We paid $10 million for the property. The purchase of this facility added approximately 40,000 square feet of manufacturing and warehouse space to bring us to a total of 105,000 square feet of space on 56 acres of land in the area, with rail access at both of the sites to allow for future growth and provide for supply chain flexibility on certain raw materials to better serve our customers.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In the second quarter of fiscal 2021, we acquired substantially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of American Development Corporation of Tennessee, Inc. (“ADC”) under the terms of an asset purchase agreement among us, ADC and its shareholders. We paid $25 million for the acquisition. ADC was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Revenue</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three and nine months ended December 26, 2021 and December 27, 2020:</w:t>
      </w:r>
    </w:p>
    <w:p>
      <w:pPr>
        <w:sectPr>
          <w:pgSz w:w="11900" w:h="16838" w:orient="portrait"/>
          <w:cols w:equalWidth="0" w:num="1">
            <w:col w:w="11200"/>
          </w:cols>
          <w:pgMar w:left="320" w:top="603" w:right="37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8"/>
          <w:szCs w:val="18"/>
          <w:b w:val="1"/>
          <w:bCs w:val="1"/>
          <w:color w:val="auto"/>
        </w:rPr>
        <w:t>Three months ended December 26,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49,430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134,896</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Three months ended December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41,765</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100,049</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142,927</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Nine months ended December 26,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90,086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145,735</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151,842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399,147</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551,568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-333375</wp:posOffset>
            </wp:positionV>
            <wp:extent cx="71062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Nine months ended December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82,593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307,621</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-333375</wp:posOffset>
            </wp:positionV>
            <wp:extent cx="710628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40"/>
          </w:cols>
          <w:pgMar w:left="320" w:top="603" w:right="379" w:bottom="1440" w:gutter="0" w:footer="0" w:header="0"/>
          <w:type w:val="continuous"/>
        </w:sectPr>
      </w:pPr>
    </w:p>
    <w:p>
      <w:pPr>
        <w:spacing w:after="0" w:line="139" w:lineRule="exact"/>
        <w:rPr>
          <w:sz w:val="20"/>
          <w:szCs w:val="20"/>
          <w:color w:val="auto"/>
        </w:rPr>
      </w:pPr>
    </w:p>
    <w:p>
      <w:pPr>
        <w:jc w:val="both"/>
        <w:ind w:left="660" w:right="2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0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5560" w:type="dxa"/>
            <w:vAlign w:val="bottom"/>
          </w:tcPr>
          <w:p>
            <w:pPr>
              <w:spacing w:after="0"/>
              <w:rPr>
                <w:sz w:val="22"/>
                <w:szCs w:val="22"/>
                <w:color w:val="auto"/>
              </w:rPr>
            </w:pPr>
          </w:p>
        </w:tc>
        <w:tc>
          <w:tcPr>
            <w:tcW w:w="290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76"/>
        </w:trPr>
        <w:tc>
          <w:tcPr>
            <w:tcW w:w="5560" w:type="dxa"/>
            <w:vAlign w:val="bottom"/>
          </w:tcPr>
          <w:p>
            <w:pPr>
              <w:spacing w:after="0"/>
              <w:rPr>
                <w:sz w:val="15"/>
                <w:szCs w:val="15"/>
                <w:color w:val="auto"/>
              </w:rPr>
            </w:pPr>
          </w:p>
        </w:tc>
        <w:tc>
          <w:tcPr>
            <w:tcW w:w="1460" w:type="dxa"/>
            <w:vAlign w:val="bottom"/>
            <w:tcBorders>
              <w:top w:val="single" w:sz="8" w:color="auto"/>
            </w:tcBorders>
            <w:gridSpan w:val="2"/>
          </w:tcPr>
          <w:p>
            <w:pPr>
              <w:ind w:left="100"/>
              <w:spacing w:after="0" w:line="176" w:lineRule="exact"/>
              <w:rPr>
                <w:sz w:val="20"/>
                <w:szCs w:val="20"/>
                <w:color w:val="auto"/>
              </w:rPr>
            </w:pPr>
            <w:r>
              <w:rPr>
                <w:rFonts w:ascii="Arial" w:cs="Arial" w:eastAsia="Arial" w:hAnsi="Arial"/>
                <w:sz w:val="18"/>
                <w:szCs w:val="18"/>
                <w:b w:val="1"/>
                <w:bCs w:val="1"/>
                <w:color w:val="auto"/>
              </w:rPr>
              <w:t>December 26,</w:t>
            </w:r>
          </w:p>
        </w:tc>
        <w:tc>
          <w:tcPr>
            <w:tcW w:w="1340" w:type="dxa"/>
            <w:vAlign w:val="bottom"/>
            <w:tcBorders>
              <w:top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rPr>
              <w:t>December 27,</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80"/>
              <w:spacing w:after="0" w:line="176" w:lineRule="exact"/>
              <w:rPr>
                <w:sz w:val="20"/>
                <w:szCs w:val="20"/>
                <w:color w:val="auto"/>
              </w:rPr>
            </w:pPr>
            <w:r>
              <w:rPr>
                <w:rFonts w:ascii="Arial" w:cs="Arial" w:eastAsia="Arial" w:hAnsi="Arial"/>
                <w:sz w:val="18"/>
                <w:szCs w:val="18"/>
                <w:b w:val="1"/>
                <w:bCs w:val="1"/>
                <w:color w:val="auto"/>
              </w:rPr>
              <w:t>December 26,</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December 27,</w:t>
            </w:r>
          </w:p>
        </w:tc>
      </w:tr>
      <w:tr>
        <w:trPr>
          <w:trHeight w:val="229"/>
        </w:trPr>
        <w:tc>
          <w:tcPr>
            <w:tcW w:w="55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20,885,232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21,013,836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20,968,692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21,043,042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209,474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235,702</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21,054,603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21,223,310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21,142,515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21,278,744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94"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23" w:lineRule="exact"/>
        <w:rPr>
          <w:sz w:val="20"/>
          <w:szCs w:val="20"/>
          <w:color w:val="auto"/>
        </w:rPr>
      </w:pPr>
    </w:p>
    <w:p>
      <w:pPr>
        <w:ind w:left="1820" w:right="640" w:hanging="908"/>
        <w:spacing w:after="0" w:line="219" w:lineRule="auto"/>
        <w:tabs>
          <w:tab w:leader="none" w:pos="180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4" w:lineRule="exact"/>
        <w:rPr>
          <w:sz w:val="20"/>
          <w:szCs w:val="20"/>
          <w:color w:val="auto"/>
        </w:rPr>
      </w:pPr>
    </w:p>
    <w:p>
      <w:pPr>
        <w:ind w:left="1820" w:right="700" w:hanging="908"/>
        <w:spacing w:after="0" w:line="219" w:lineRule="auto"/>
        <w:tabs>
          <w:tab w:leader="none" w:pos="180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financial assets that are measured at fair value on a recurring basis are assets held in a deferred compensation retirement plan. As of December 26, 2021 and March 28, 2021, the assets held in a deferred compensation retirement plan were classified as other long-term assets on our balance sheet, with the portion of the plan assets expected to be paid within twelve months classified as current assets on our balance sheet.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9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financial liability that is measured at fair value on a recurring basis consists of a contingent earnout liability in connection with our acquisition of Southeast Water Systems LLC. The contingent earnout liability was classified as other long-term liabilities on our balance sheet, with the portion of the contingent earnout liability expected to be paid within 12 months classified as current liabilities on our balance sheet.</w:t>
      </w:r>
    </w:p>
    <w:p>
      <w:pPr>
        <w:spacing w:after="0" w:line="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December 26, 2021 and March 28,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26, 2021</w:t>
            </w:r>
          </w:p>
        </w:tc>
        <w:tc>
          <w:tcPr>
            <w:tcW w:w="24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28, 2021</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700" w:type="dxa"/>
            <w:vAlign w:val="bottom"/>
          </w:tcPr>
          <w:p>
            <w:pPr>
              <w:ind w:left="1600"/>
              <w:spacing w:after="0"/>
              <w:rPr>
                <w:sz w:val="20"/>
                <w:szCs w:val="20"/>
                <w:color w:val="auto"/>
              </w:rPr>
            </w:pPr>
            <w:r>
              <w:rPr>
                <w:rFonts w:ascii="Arial" w:cs="Arial" w:eastAsia="Arial" w:hAnsi="Arial"/>
                <w:sz w:val="18"/>
                <w:szCs w:val="18"/>
                <w:color w:val="auto"/>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5,946</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Contingent consideration liability</w:t>
            </w:r>
          </w:p>
        </w:tc>
        <w:tc>
          <w:tcPr>
            <w:tcW w:w="2700" w:type="dxa"/>
            <w:vAlign w:val="bottom"/>
          </w:tcPr>
          <w:p>
            <w:pPr>
              <w:ind w:left="1600"/>
              <w:spacing w:after="0"/>
              <w:rPr>
                <w:sz w:val="20"/>
                <w:szCs w:val="20"/>
                <w:color w:val="auto"/>
              </w:rPr>
            </w:pPr>
            <w:r>
              <w:rPr>
                <w:rFonts w:ascii="Arial" w:cs="Arial" w:eastAsia="Arial" w:hAnsi="Arial"/>
                <w:sz w:val="18"/>
                <w:szCs w:val="18"/>
                <w:color w:val="auto"/>
              </w:rPr>
              <w:t>Level 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58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Assets Held for Sale</w:t>
      </w:r>
    </w:p>
    <w:p>
      <w:pPr>
        <w:spacing w:after="0" w:line="13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Included in assets held for sale as of March 28, 2021 was $ 0.7 million for an office building in St. Louis, Missouri which was utilized in the administration of our Industrial segment and $ 0.2 million for a former water treatment branch located in Eldridge, Iowa, which has been relocated to another owned facility. Both were sold in the first quarter of fiscal 2022. These amounts were recorded as assets held for sale within prepaid expenses and other current assets on our balance sheet.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7840" w:type="dxa"/>
            <w:vAlign w:val="bottom"/>
          </w:tcPr>
          <w:p>
            <w:pPr>
              <w:spacing w:after="0"/>
              <w:rPr>
                <w:sz w:val="20"/>
                <w:szCs w:val="20"/>
                <w:color w:val="auto"/>
              </w:rPr>
            </w:pPr>
            <w:r>
              <w:rPr>
                <w:rFonts w:ascii="Arial" w:cs="Arial" w:eastAsia="Arial" w:hAnsi="Arial"/>
                <w:sz w:val="18"/>
                <w:szCs w:val="18"/>
                <w:color w:val="auto"/>
              </w:rPr>
              <w:t>Inventories at December 26, 2021 and March 28, 2021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7"/>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December 26,</w:t>
            </w:r>
          </w:p>
        </w:tc>
        <w:tc>
          <w:tcPr>
            <w:tcW w:w="26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8"/>
              </w:rPr>
              <w:t>89,442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8"/>
              </w:rPr>
              <w:t>76,242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$ 64.3 million at December 26, 2021 and $46.8 million at March 28, 2021.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carrying amount of goodwill was $72.9 million as of December 26, 2021 and $70.7 million as of March 28, 2021, of which $44.9 million was related to our Health and Nutrition segment, $21.5 million was related to our Water Treatment segment, and $6.5 million was related to our Industrial segment. The increase in goodwill during the nine months ended December 26, 2021 represents goodwill recorded in connection with the acquisitions of the assets of Southeast Water Systems and Water and Waste Specialties as discussed in Note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December 26, 2021 and March 28, 2021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26, 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8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3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100,484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69,661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99,588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(26,522)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7"/>
          </w:tcPr>
          <w:p>
            <w:pPr>
              <w:spacing w:after="0"/>
              <w:rPr>
                <w:sz w:val="20"/>
                <w:szCs w:val="20"/>
                <w:color w:val="auto"/>
              </w:rPr>
            </w:pPr>
            <w:r>
              <w:rPr>
                <w:rFonts w:ascii="Arial" w:cs="Arial" w:eastAsia="Arial" w:hAnsi="Arial"/>
                <w:sz w:val="18"/>
                <w:szCs w:val="18"/>
                <w:color w:val="auto"/>
              </w:rPr>
              <w:t>Debt at December 26, 2021 and March 28, 2021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26,</w:t>
            </w:r>
          </w:p>
        </w:tc>
        <w:tc>
          <w:tcPr>
            <w:tcW w:w="30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March 28,</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116,000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115,822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98,752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105,915</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of the Credit Agreement as of December 26, 2021.</w:t>
      </w: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4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 Income Taxes</w:t>
      </w:r>
    </w:p>
    <w:p>
      <w:pPr>
        <w:spacing w:after="0" w:line="13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1, 2018 are closed to examination by the Internal Revenue Service, and with few exceptions, state and local</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income tax jurisdictions. Our effective tax rate was approximately 26% for both the nine months ended December 26, 2021 and for the nine months ended December 27, 2020. The effective tax rate is impacted by projected levels of annual taxable income, permanent items, and state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December 26, 2021,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original lease terms of 1 year to 23 years, some of which include options to extend the lease for up to 10 years.</w:t>
      </w:r>
    </w:p>
    <w:p>
      <w:pPr>
        <w:spacing w:after="0" w:line="8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As of December 26, 2021, our operating lease components with initial or remaining terms in excess of one year were classified on the condensed consolidated balance sheet within right of use assets, short-term lease liability and long-term lease liability.</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Expense for leases less than 12 months was not material for the three and nine months ended December 26, 2021 and December 27, 2020. Total lease expense was $0.7 million for both the three months ended December 26, 2021 and December 27, 2020, and was $2.1 million for both the nine months ended December 26, 2021 and December 27,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4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December 26, 2021</w:t>
            </w:r>
          </w:p>
        </w:tc>
        <w:tc>
          <w:tcPr>
            <w:tcW w:w="18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March 28, 2021</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2280" w:type="dxa"/>
            <w:vAlign w:val="bottom"/>
          </w:tcPr>
          <w:p>
            <w:pPr>
              <w:jc w:val="right"/>
              <w:ind w:right="153"/>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2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2.6 %</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553"/>
        </w:trPr>
        <w:tc>
          <w:tcPr>
            <w:tcW w:w="7140" w:type="dxa"/>
            <w:vAlign w:val="bottom"/>
          </w:tcPr>
          <w:p>
            <w:pPr>
              <w:spacing w:after="0"/>
              <w:rPr>
                <w:sz w:val="20"/>
                <w:szCs w:val="20"/>
                <w:color w:val="auto"/>
              </w:rPr>
            </w:pPr>
            <w:r>
              <w:rPr>
                <w:rFonts w:ascii="Arial" w:cs="Arial" w:eastAsia="Arial" w:hAnsi="Arial"/>
                <w:sz w:val="18"/>
                <w:szCs w:val="18"/>
                <w:color w:val="auto"/>
              </w:rPr>
              <w:t>Maturities of lease liabilities as of December 26, 2021 were as follows:</w:t>
            </w: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2022</w:t>
            </w:r>
          </w:p>
        </w:tc>
        <w:tc>
          <w:tcPr>
            <w:tcW w:w="2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11</w:t>
            </w: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1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2022 and fiscal 2021.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88,524 shares in the aggregate for fiscal 2022.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26,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rPr>
              <w:t>239,120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452"/>
              <w:spacing w:after="0"/>
              <w:rPr>
                <w:sz w:val="20"/>
                <w:szCs w:val="20"/>
                <w:color w:val="auto"/>
              </w:rPr>
            </w:pPr>
            <w:r>
              <w:rPr>
                <w:rFonts w:ascii="Arial" w:cs="Arial" w:eastAsia="Arial" w:hAnsi="Arial"/>
                <w:sz w:val="18"/>
                <w:szCs w:val="18"/>
                <w:color w:val="auto"/>
              </w:rPr>
              <w:t>111,618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8"/>
              </w:rPr>
              <w:t>(123,002)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227,736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recorded compensation expense related to performance share units and restricted stock of $0.8 million and $2.0 million for the three and nine months ended December 26, 2021, respectively. We recorded compensation expense related to performance share units and restricted stock of $0.7 million and $1.6 million for the three and nine months ended December 27, 2020, respectively. Substantially all of the compensation expense was recorded in selling, general and administrative expenses in the condensed consolidated statements of income.</w:t>
      </w:r>
    </w:p>
    <w:p>
      <w:pPr>
        <w:spacing w:after="0" w:line="7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non-employee directors receive restricted stock for their Board services.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awards are generally expensed over a one-year vesting period, based on the market value on the date of grant. As of December 26, 2021, there were 10,287 shares of restricted stock with an average grant date fair value of $32.80 outstanding under this program. Compensation expense for both the three months ended December 26, 2021 and December 27, 2020 related to restricted stock awards to the Board was $0.1 million. Compensation expense for both the nine months ended December 26, 2021 and December 27, 2020 related to restricted stock awards to the Board was $0.2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has authorized the repurchase of up to 1.6 million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December 26, 2021, we repurchased 30,538 shares at an aggregate purchase price of $1.1 million. During the nine months ended December 26, 2021, we repurchased 240,501 shares at an aggregate purchase price of $8.5 million. During the three and nine months ended December 27, 2020, we repurchased 166,088 shares at an aggregate purchase price of $4.1 million. As of December 26, 2021, 311,005 shares remained available to be repurchased under the share repurchase program.</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14 – Segment Information</w:t>
      </w:r>
    </w:p>
    <w:p>
      <w:pPr>
        <w:spacing w:after="0" w:line="139" w:lineRule="exact"/>
        <w:rPr>
          <w:sz w:val="20"/>
          <w:szCs w:val="20"/>
          <w:color w:val="auto"/>
        </w:rPr>
      </w:pPr>
    </w:p>
    <w:p>
      <w:pPr>
        <w:ind w:right="1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1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26,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49,756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36,740</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December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December 26,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269,572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168,105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113,891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551,568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110,201</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54,216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Nine months ended December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92,012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December 26,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On December 30, 2021, we acquired substantially all the assets of NAPCO Chemical Company, Inc. and its affiliates ("NAPCO") for</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$18.5 million, subject to a working capital adjustment, under the terms of an asset purchase agreement among us, NAPCO and certain other parties thereto. NAPCO manufactures and distributes water treatment chemicals from three locations in Texas. The results of operations and the assets, including the goodwill associated with this acquisition, will be included as part of our Water Treatment segment from the date of acquisition forward. The purchase accounting for this acquisition has not yet been completed.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spacing w:after="0" w:line="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nine months ended December 26, 2021 as compared to the similar period ended December 27, 2020.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25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December 30, 2021, after the end of our third quarter, we acquired substantially all the assets of NAPCO Chemical Company, Inc. and its affiliates ("NAPCO") under the terms of an asset purchase agreement among us, NAPCO and certain other parties thereto. NAPCO manufactures and distributes water treatment chemicals from three locations in Texas. The results of operations beginning at the date of acquisition will be included as part of our Water Treatment segment from the date of acquisition forward.</w:t>
      </w:r>
    </w:p>
    <w:p>
      <w:pPr>
        <w:spacing w:after="0" w:line="23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On October 29, 2021, we acquired substantially all the assets of Water and Waste Specialties, LLC, under the terms of an asset purchase agreement with Water and Waste Specialties and its shareholders. Water and Waste Specialties was a water treatment chemical distribution company operating primarily in Alabama. The results of operations since the acquisition date are included in our Water Treatment segment.</w:t>
      </w:r>
    </w:p>
    <w:p>
      <w:pPr>
        <w:spacing w:after="0" w:line="21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September 20, 2021, we acquired substantially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operations since the acquisition date are included in our Water Treatment segment.</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the fourth quarter of fiscal 2021, we acquired substantially all the assets of C&amp;L Aqua Professionals, Inc. and LC Blending, Inc. (together, “C&amp;L Aqua”) under the terms of an asset purchase agreement among us, C&amp;L Aqua and its shareholders. C&amp;L Aqua was a water treatment chemical distribution company operating primarily in Louisiana. The results of operations and the assets are included as part of our Water Treatment segment.</w:t>
      </w:r>
    </w:p>
    <w:p>
      <w:pPr>
        <w:spacing w:after="0" w:line="232" w:lineRule="exact"/>
        <w:rPr>
          <w:sz w:val="20"/>
          <w:szCs w:val="20"/>
          <w:color w:val="auto"/>
        </w:rPr>
      </w:pPr>
    </w:p>
    <w:p>
      <w:pPr>
        <w:jc w:val="both"/>
        <w:ind w:right="600"/>
        <w:spacing w:after="0" w:line="238" w:lineRule="auto"/>
        <w:rPr>
          <w:sz w:val="20"/>
          <w:szCs w:val="20"/>
          <w:color w:val="auto"/>
        </w:rPr>
      </w:pPr>
      <w:r>
        <w:rPr>
          <w:rFonts w:ascii="Arial" w:cs="Arial" w:eastAsia="Arial" w:hAnsi="Arial"/>
          <w:sz w:val="18"/>
          <w:szCs w:val="18"/>
          <w:color w:val="auto"/>
        </w:rPr>
        <w:t>In the second quarter of fiscal 2021, we acquired substantially all the assets of American Development Corporation of Tennessee, Inc. (“ADC”) under the terms of an asset purchase agreement among us, ADC and its shareholders. ADC was a water treatment chemical distribution company operating primarily in Tennessee, Georgia and Kentucky. The results of operations since the acquisition date are included in our Water Treatment segment.</w:t>
      </w:r>
    </w:p>
    <w:p>
      <w:pPr>
        <w:spacing w:after="0" w:line="23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aggregate annual revenue of the three businesses acquired in the current fiscal year totaled approximately $17 million, as determined using the applicable twelve-month period preceding each respective acquisition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5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the fourth quarter of fiscal 2021, we effected a two-for-one split of our common stock, and adjusted the par value from $0.05 per share to $0.01 per share. At the same time, we increased the number of authorized shares from 30 million to 60 million. Our consolidated financial statements, related notes, and other financial data contained in this report have been adjusted to give retroactive effect to the stock split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pandemic caused by COVID-19, federal, state and local governments around the world implemented stringent measures to help control the spread of the virus, including, from time to time, quarantines, “shelter in place” and “stay at home” orders, travel restrictions or bans, business curtailments, school closures, and other protective measures. While most restrictions have eased since the start of the COVID-19 pandemic, certain restrictions remain in place or new restrictions may be implemented in the future.</w:t>
      </w:r>
    </w:p>
    <w:p>
      <w:pPr>
        <w:spacing w:after="0" w:line="231" w:lineRule="exact"/>
        <w:rPr>
          <w:sz w:val="20"/>
          <w:szCs w:val="20"/>
          <w:color w:val="auto"/>
        </w:rPr>
      </w:pPr>
    </w:p>
    <w:p>
      <w:pPr>
        <w:ind w:right="300"/>
        <w:spacing w:after="0" w:line="308"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our output levels.</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this public health crisis, we remained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country's critical infrastructure.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w:t>
      </w:r>
    </w:p>
    <w:p>
      <w:pPr>
        <w:sectPr>
          <w:pgSz w:w="11900" w:h="16919" w:orient="portrait"/>
          <w:cols w:equalWidth="0" w:num="1">
            <w:col w:w="11240"/>
          </w:cols>
          <w:pgMar w:left="320" w:top="584" w:right="339" w:bottom="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36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26,</w:t>
            </w:r>
          </w:p>
        </w:tc>
        <w:tc>
          <w:tcPr>
            <w:tcW w:w="1620" w:type="dxa"/>
            <w:vAlign w:val="bottom"/>
            <w:tcBorders>
              <w:top w:val="single" w:sz="8" w:color="auto"/>
            </w:tcBorders>
            <w:shd w:val="clear" w:color="auto" w:fill="CCEEFF"/>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27,</w:t>
            </w: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26,</w:t>
            </w:r>
          </w:p>
        </w:tc>
        <w:tc>
          <w:tcPr>
            <w:tcW w:w="1640" w:type="dxa"/>
            <w:vAlign w:val="bottom"/>
            <w:tcBorders>
              <w:top w:val="single" w:sz="8" w:color="auto"/>
            </w:tcBorders>
            <w:shd w:val="clear" w:color="auto" w:fill="CCEEFF"/>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27,</w:t>
            </w:r>
          </w:p>
        </w:tc>
      </w:tr>
      <w:tr>
        <w:trPr>
          <w:trHeight w:val="229"/>
        </w:trPr>
        <w:tc>
          <w:tcPr>
            <w:tcW w:w="43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21.2 %</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10.2 %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26, 2021 Compared to Three Months Ended December 27,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Sales were $187.1 million for the three months ended December 26, 2021, an increase of $44.2 million, or 31%, from sales of $142.9 million in the same period a year ago.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$36.2 million, or 56%, to $100.6 million for the three months ended December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sales of $64.4 million in the same period a year ago. Sales of bulk commodity products in the Industrial segment were approximately 16% of sales dollars in both the three months ended December 26, 2021 and the same period of the prior year. The increase in Industrial segment sales was driven primarily by increased sales volumes of both our bulk and our manufactured, blended and repackaged products. The increase included sales of certain of our agricultural products lines due in large part due to both favorable crop prices and early purchases as customers anticipated additional price increases later in the season. Sales also increased due to increased selling prices driven by higher costs on many of our raw materials.</w:t>
      </w:r>
    </w:p>
    <w:p>
      <w:pPr>
        <w:spacing w:after="0" w:line="212"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$10.5 million, or 27%, to $49.8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2021, from sales of $39.3 million in the same period a year ago. Sales of bulk commodity products in the Water Treatment segment were approximately 9% of sales dollars in the three months ended December 26, 2021 and 10% in the same period of the prior year. Sales increased as a result of increased demand for many of our products, as well as $3.1 million in added sales from acquired businesses.</w:t>
      </w:r>
    </w:p>
    <w:p>
      <w:pPr>
        <w:spacing w:after="0" w:line="21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$2.6 million, or 7%, to $36.7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2021, from sales of $ 39.3 million in the same period a year ago. The decrease in sales was primarily driven by decreased sales of our manufactured products when compared to strong demand for those products in the prior year, partially offset by an increase in sales of our specialty distributed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Gross profit increased $ 5.7 million, or 20%, to $33.9 million, or 18% of sales, for the three months ended December 26, 2021, from $28.2 million, or 20% of sales, for the same period a year ago. During the three months ended December 26, 2021, the LIFO reserve increased, and gross profit decreased, by $2.9 million, primarily due to rising raw material prices. In the same quarter a year ago, the LIFO reserve increased, and gross profit decreased, by $0.1 million.</w:t>
      </w:r>
    </w:p>
    <w:p>
      <w:pPr>
        <w:spacing w:after="0" w:line="21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$ 6.1 million, or 66%, to $15.3 million, or 15%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26, 2021, from $9.2 million, or 14% of sales, in the same period a year ago. During the three months ended December 26, 2021, the LIFO reserve increased, and gross profit decreased, by $2.2 million, primarily due to rising raw material prices. In the same quarter a year ago, the change in the LIFO reserve had a nominal impact on gross profit. Gross profit increased as a result of the increase in sales, partially offset by the negative impact of the increase in the LIFO reserve.</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$1.1 million, or 11%, to $11.1 million, or 22%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December 26, 2021, from $10.0 million, or 26% of sales, in the same period a year ago. During the three months ended December 26, 2021, the LIFO reserve increased, and gross profit decreased, by $0.6 million. In the same quarter a year ago, the change in the LIFO reserve had a nominal impact on gross profit. Gross profit increased as a result of the increase in sales, including the added sales from the acquired businesses, partially offset by the negative $0.6 million year-over-year impact of the increase in the LIFO reserve. Gross profit as a percentage of sales declined in part due to rising raw material costs and our inability in some cases to pass cost increases on to customers with contracts in place.</w:t>
      </w:r>
    </w:p>
    <w:p>
      <w:pPr>
        <w:sectPr>
          <w:pgSz w:w="11900" w:h="16838" w:orient="portrait"/>
          <w:cols w:equalWidth="0" w:num="1">
            <w:col w:w="11240"/>
          </w:cols>
          <w:pgMar w:left="320" w:top="140" w:right="339" w:bottom="164" w:gutter="0" w:footer="0" w:header="0"/>
        </w:sectPr>
      </w:pPr>
    </w:p>
    <w:bookmarkStart w:id="17" w:name="page18"/>
    <w:bookmarkEnd w:id="17"/>
    <w:p>
      <w:pPr>
        <w:jc w:val="both"/>
        <w:ind w:right="220"/>
        <w:spacing w:after="0" w:line="251"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$1.5 million, or 16%, to $7.5 million, or 21%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December 26, 2021, from $9.0 million, or 23% of sales, for the same period a year ago. The decrease in gross profit was a result of the year-over-year decline in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Selling, general and administrative (“SG&amp;A”) expenses increased $1.9 million to $19.7 million, or 11% of sales, for the three months ended December 26, 2021, from $17.8 million, or 12% of sales, for the same period a year ago. Expenses increased in part due to the added costs from the acquired businesses in our Water Treatment segment, including $0.1 million of expense for amortization of intangibles, as well as increased variable pay expense and increased travel expense. Increased expenses were partially offset by a year-over-year decrease of $0.4 million due to lower compensation expense relating to the non-qualified deferred compensation plan liability which is offset in other income as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Operating income increased $3.8 million, or 36%, to $14.3 million, or 8% of sales, for the three months ended December 26, 2021, from $10.5 million, or 7% of sales, for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Interest expense was $0.3 million for the three months ended December 26, 2021 and $0.4 million the three months ended December 27, 2020. Additional interest cost as a result of the increase in outstanding borrowings was more than offset by lower borrowing rates compared to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Other income was $0.1 million for the three months ended December 26, 2021 and $0.5 million in the same period a year ago. This represents gains recorded on investments held for our non-qualified deferred compensation plan. The amount recorded as a gain was offset by a similar amount recorded as an increase to compensation expense within SG&amp;A expenses</w:t>
      </w:r>
      <w:r>
        <w:rPr>
          <w:rFonts w:ascii="Arial" w:cs="Arial" w:eastAsia="Arial" w:hAnsi="Arial"/>
          <w:sz w:val="18"/>
          <w:szCs w:val="18"/>
          <w:i w:val="1"/>
          <w:i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effective income tax rate was 27% for the three months ended December 26, 2021, compared to 25% in the same period a year ago. The effective tax rate is impacted by projected levels of annual taxable income, permanent items, and state taxes. Our effective tax rate for the full year is currently expected to be approximately 26-27%.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26, 2021 Compared to Nine Months Ended December 27,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Sales were $551.6 million for the nine months ended December 26, 2021, an increase of $117.7 million, or 27%, from sales of $433.9 million in the same period a year ago.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$72.6 million, or 37%, to $269.6 million for the nine months ended December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sales of $197.0 million in the same period a year ago. Sales of bulk commodity products in the Industrial segment were approximately 15% of sales dollars in the nine months ended December 26, 2021 and 14% in the same period of the prior year. The increase in Industrial segment sales was driven primarily by increased sales volumes of both our bulk and our manufactured, blended and repackaged products. The increase included sales of certain of our agricultural products lines due in large part due to both favorable crop prices and early purchases as customers anticipated additional price increases later in the season. Sales also increased due to increased selling prices driven by higher costs on many of our raw materials.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$39.6 million, or 31%, to $168.1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26, 2021, from sales of $128.6 million in the same period a year ago. Sales of bulk commodity products in the Water Treatment segment were approximately 9% of sales dollars in both the nine months ended December 26, 2021 and the same period in the prior year. Sales increased as a result of increased demand for many of our products, as well as $14.7 million in added sales from acquired businesses.</w:t>
      </w:r>
    </w:p>
    <w:p>
      <w:pPr>
        <w:spacing w:after="0" w:line="193"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$5.6 million, or 5%, to $113.9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2021, from sales of $108.3 million in the same period a year ago. The increase in sales was driven by increased sales of our specialty distributed products partially offset by the decrease in sales of our manufactured products when compared to the strong demand for those products in the prior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 increased $ 18.2 million, or 20%, to $110.2 million, or 20% of sales, for the nine months ended December 26, 2021, from $92.0 million, or 20% of sales, in the same period a year ago. During the nine months ended December 26, 2021, the LIFO reserve increased, and gross profit decreased, by $7.6 million, primarily due to rising raw material costs. In the same period a year ago, the LIFO reserve decreased, and gross profit increased, by $0.1 million.</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$10.0 million, or 31%, to $42.1 million, or 16%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26, 2021, from $32.1 million, or 16% of sales, in the same period a year ago. During the nine months ended December 26, 2021, the LIFO reserve increased, and gross profit decreased, by $5.9 million, primarily due to rising raw material costs. In the same period a year ago, the LIFO reserve decreased, and gross profit increased, by $0.1</w:t>
      </w:r>
    </w:p>
    <w:p>
      <w:pPr>
        <w:ind w:right="380"/>
        <w:spacing w:after="0" w:line="246" w:lineRule="auto"/>
        <w:rPr>
          <w:sz w:val="20"/>
          <w:szCs w:val="20"/>
          <w:color w:val="auto"/>
        </w:rPr>
      </w:pPr>
      <w:r>
        <w:rPr>
          <w:rFonts w:ascii="Arial" w:cs="Arial" w:eastAsia="Arial" w:hAnsi="Arial"/>
          <w:sz w:val="18"/>
          <w:szCs w:val="18"/>
          <w:color w:val="auto"/>
        </w:rPr>
        <w:t>million. Gross profit increased as a result of the increase in sales, partially offset by the negative impact resulting from the increase in the LIFO reserve.</w:t>
      </w:r>
    </w:p>
    <w:p>
      <w:pPr>
        <w:sectPr>
          <w:pgSz w:w="11900" w:h="16838" w:orient="portrait"/>
          <w:cols w:equalWidth="0" w:num="1">
            <w:col w:w="11240"/>
          </w:cols>
          <w:pgMar w:left="320" w:top="120" w:right="339" w:bottom="0" w:gutter="0" w:footer="0" w:header="0"/>
        </w:sectPr>
      </w:pPr>
    </w:p>
    <w:bookmarkStart w:id="18" w:name="page19"/>
    <w:bookmarkEnd w:id="18"/>
    <w:p>
      <w:pPr>
        <w:ind w:right="200"/>
        <w:spacing w:after="0" w:line="243" w:lineRule="auto"/>
        <w:rPr>
          <w:sz w:val="20"/>
          <w:szCs w:val="20"/>
          <w:color w:val="auto"/>
        </w:rPr>
      </w:pPr>
      <w:r>
        <w:rPr>
          <w:rFonts w:ascii="Arial" w:cs="Arial" w:eastAsia="Arial" w:hAnsi="Arial"/>
          <w:sz w:val="18"/>
          <w:szCs w:val="18"/>
          <w:i w:val="1"/>
          <w:iCs w:val="1"/>
          <w:color w:val="auto"/>
        </w:rPr>
        <w:t>Water Treatment Segment</w:t>
      </w:r>
      <w:r>
        <w:rPr>
          <w:rFonts w:ascii="Arial" w:cs="Arial" w:eastAsia="Arial" w:hAnsi="Arial"/>
          <w:sz w:val="18"/>
          <w:szCs w:val="18"/>
          <w:color w:val="auto"/>
        </w:rPr>
        <w:t>. Gross profit for the Water Treatment segment increased $9.0 million, or 25%, to $44.9 million, or 27%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December 26, 2021, from $35.9 million, or 28% of sales, in the same period a year ago. During the nine months ended December 26, 2021, the LIFO reserve increased, and gross profit decreased, by $1.7 million. In the same period a year ago, the change in the LIFO reserve had a nominal impact on gross profit. Gross profit increased as a result of the increase in sales, including the added sales from the acquired businesses.</w:t>
      </w:r>
    </w:p>
    <w:p>
      <w:pPr>
        <w:spacing w:after="0" w:line="20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$ 0.8 million, or 3%, to $23.2 million, or 20%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nine months ended December 26, 2021, from $24.0 million, or 22% of sales, in the same period a year ago. The decrease in gross profit was a result of product mix changes as well as inventory adjustments of approximately $1.0 million due to increased reserves for excess product on hand, in accordance with our reserve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SG&amp;A expenses increased $ 5.2 million to $54.2 million, or 10% of sales, for the nine months ended December 26, 2021, from $49.0 million, or 11% of sales, in the same period a year ago. Expenses increased in part due to the added costs from the acquired businesses in our Water Treatment segment, including $0.7 million of expense for amortization of intangibles, as well as increased variable pay expense and increased travel expense. Increased expenses were partially offset by a year-over-year decrease of $0.8 million due to lower compensation expense relating to the non-qualified deferred compensation plan liability which is offset in other income as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Operating income increased $ 13.0 million, or 30%, to $56.0 million, or 10% of sales, for the nine months ended December 26, 2021, from $43.0 million, or 10% of sales, in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Interest expense was $1.0 million for the nine months ended December 26, 2021 and $ 1.1 million the nine months ended December 27, 2020. Additional interest cost as a result of the increase in outstanding borrowings was more than offset by lower borrowing rates compared to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4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Other income was $0.5 million for the nine months ended December 26, 2021 and $1.3 million in the same period a year ago. This represents gains recorded on investments held for our non-qualified deferred compensation plan. The amount recorded as a gain was offset by a similar amount recorded as an increase to compensation expense within SG&amp;A expenses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effective income tax rate was 26% for both the nine months ended December 26, 2021 and in the same period a year ago. The effective tax rate is impacted by projected levels of annual taxable income, permanent items, and state taxes. Our effective tax rate for the full year is currently expected to be approximately 26-27%.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was $23.4 million at December 26, 2021, an increase of $20.4 million as compared with the $3.0 million available as of March 28, 2021. Generally we expect cash to be lower at the end of a quarter as debt is paid down, but due to the NAPCO acquisition closing occurring within a few days after quarter end the funds were borrowed within the quarter.</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provided by operating activities was $38.7 million for the nine months ended December 26, 2021, compared to cash provided by operating activities of $26.6 million in the same period a year ago. The year-over-year increase in cash provided by operating activities was primarily driven by an increase in net income combined with year-over-year changes in uses of working capital, including less cash expended in the first nine months of the current year for accounts payable, partially offset by an increase in inventory and customer receivables for the nine months ended December 26, 2021 compared to the same period a year ago. Due to the nature of our operations, which includes purchases of large quantities of bulk chemicals, timing of purchases can result in significant changes in working capital investment and the resulting operating cash flow.</w:t>
      </w:r>
    </w:p>
    <w:p>
      <w:pPr>
        <w:spacing w:after="0" w:line="23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Cash used in investing activities was $18.0 million for the nine months ended December 26, 2021, compared to $48.1 million in the same period a year ago. Capital expenditures were $15.7 million for the nine months ended December 26, 2021,</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compared to $13.2 million in the same period a year ago. In the first nine months of the current year, we had larger investments in containers and replacement equipment compared to the first nine months of the prior year. Acquisition spending was $2.6 million in the current year compared to $35.0 million in the same period of the prior year.</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used in financing activities was $0.2 million for the nine months ended December 26, 2021, compared to $25.1 million of cash provided by financing activities in the same period a year ago. Included in financing activities in the first nine months of the current year were net debt proceeds of $17.0 million, compared to net debt proceeds of $36.0 million in the first nine months of the prior year. In addition, we repurchased $8.5 million of shares of our common stock in the first nine months of the current fiscal year, compared to $4.1 million shares repurchased in the same period a year ago.</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Board has authorized the repurchase of up to 1.6 million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nine months ended December 26, 2021, we repurchased 240,501 shares of common stock with an aggregate</w:t>
      </w:r>
    </w:p>
    <w:p>
      <w:pPr>
        <w:sectPr>
          <w:pgSz w:w="11900" w:h="16838" w:orient="portrait"/>
          <w:cols w:equalWidth="0" w:num="1">
            <w:col w:w="11240"/>
          </w:cols>
          <w:pgMar w:left="320" w:top="120" w:right="339" w:bottom="0" w:gutter="0" w:footer="0" w:header="0"/>
        </w:sectPr>
      </w:pPr>
    </w:p>
    <w:bookmarkStart w:id="19" w:name="page20"/>
    <w:bookmarkEnd w:id="19"/>
    <w:p>
      <w:pPr>
        <w:ind w:right="80"/>
        <w:spacing w:after="0" w:line="250" w:lineRule="auto"/>
        <w:rPr>
          <w:sz w:val="20"/>
          <w:szCs w:val="20"/>
          <w:color w:val="auto"/>
        </w:rPr>
      </w:pPr>
      <w:r>
        <w:rPr>
          <w:rFonts w:ascii="Arial" w:cs="Arial" w:eastAsia="Arial" w:hAnsi="Arial"/>
          <w:sz w:val="18"/>
          <w:szCs w:val="18"/>
          <w:color w:val="auto"/>
        </w:rPr>
        <w:t>purchase price of $8.5 million. During the nine months ended December 27, 2020, 166,088 shares were repurchased with an aggregate purchase price of $4.1 million. As of December 26, 2021, 311,005 shares remained available to be repurchased under the share repurchase program.</w:t>
      </w:r>
    </w:p>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nine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December 26, 2021, the effective interest rate on our borrowings was 0.9%.</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December 26, 2021, the unamortized balance of these costs was $0.2 million, and is reflected as a reduction of debt on our balance sheet.</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December 26, 2021.</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March 28, 2021</w:t>
        </w:r>
        <w:r>
          <w:rPr>
            <w:rFonts w:ascii="Arial" w:cs="Arial" w:eastAsia="Arial" w:hAnsi="Arial"/>
            <w:sz w:val="18"/>
            <w:szCs w:val="18"/>
            <w:color w:val="000000"/>
          </w:rPr>
          <w:t>.</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39"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1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year ended March 28, 2021</w:t>
        </w:r>
        <w:r>
          <w:rPr>
            <w:rFonts w:ascii="Arial" w:cs="Arial" w:eastAsia="Arial" w:hAnsi="Arial"/>
            <w:sz w:val="18"/>
            <w:szCs w:val="18"/>
            <w:color w:val="000000"/>
          </w:rPr>
          <w:t>. We caution you not to place undue reliance on these forward-looking statements, which reflect our</w:t>
        </w:r>
      </w:hyperlink>
      <w:r>
        <w:rPr>
          <w:rFonts w:ascii="Arial" w:cs="Arial" w:eastAsia="Arial" w:hAnsi="Arial"/>
          <w:sz w:val="18"/>
          <w:szCs w:val="18"/>
          <w:color w:val="0000FF"/>
        </w:rPr>
        <w:t xml:space="preserve"> </w:t>
      </w:r>
      <w:r>
        <w:rPr>
          <w:rFonts w:ascii="Arial" w:cs="Arial" w:eastAsia="Arial" w:hAnsi="Arial"/>
          <w:sz w:val="18"/>
          <w:szCs w:val="18"/>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ectPr>
          <w:pgSz w:w="11900" w:h="16838" w:orient="portrait"/>
          <w:cols w:equalWidth="0" w:num="1">
            <w:col w:w="11240"/>
          </w:cols>
          <w:pgMar w:left="320" w:top="140" w:right="339" w:bottom="968"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68" w:gutter="0" w:footer="0" w:header="0"/>
          <w:type w:val="continuous"/>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$0.2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26, 2021.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1,600,000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December 26, 2021:</w:t>
      </w:r>
    </w:p>
    <w:tbl>
      <w:tblPr>
        <w:tblLayout w:type="fixed"/>
        <w:tblInd w:w="66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5"/>
                <w:szCs w:val="15"/>
                <w:color w:val="auto"/>
              </w:rPr>
            </w:pPr>
          </w:p>
        </w:tc>
        <w:tc>
          <w:tcPr>
            <w:tcW w:w="20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2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09/27/2021-10/24/2021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341,543</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10/25/2021-11/21/2021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341,543</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11/22/2021-12/26/2021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311,005</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spacing w:after="0"/>
              <w:rPr>
                <w:sz w:val="18"/>
                <w:szCs w:val="18"/>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Total</w:t>
            </w:r>
          </w:p>
        </w:tc>
        <w:tc>
          <w:tcPr>
            <w:tcW w:w="3420" w:type="dxa"/>
            <w:vAlign w:val="bottom"/>
          </w:tcPr>
          <w:p>
            <w:pPr>
              <w:jc w:val="right"/>
              <w:ind w:right="1470"/>
              <w:spacing w:after="0"/>
              <w:rPr>
                <w:sz w:val="20"/>
                <w:szCs w:val="20"/>
                <w:color w:val="auto"/>
              </w:rPr>
            </w:pPr>
            <w:r>
              <w:rPr>
                <w:rFonts w:ascii="Arial" w:cs="Arial" w:eastAsia="Arial" w:hAnsi="Arial"/>
                <w:sz w:val="18"/>
                <w:szCs w:val="18"/>
                <w:color w:val="auto"/>
              </w:rPr>
              <w:t>30,538</w:t>
            </w:r>
          </w:p>
        </w:tc>
        <w:tc>
          <w:tcPr>
            <w:tcW w:w="2120" w:type="dxa"/>
            <w:vAlign w:val="bottom"/>
          </w:tcPr>
          <w:p>
            <w:pPr>
              <w:jc w:val="right"/>
              <w:spacing w:after="0"/>
              <w:rPr>
                <w:sz w:val="20"/>
                <w:szCs w:val="20"/>
                <w:color w:val="auto"/>
              </w:rPr>
            </w:pPr>
            <w:r>
              <w:rPr>
                <w:rFonts w:ascii="Arial" w:cs="Arial" w:eastAsia="Arial" w:hAnsi="Arial"/>
                <w:sz w:val="18"/>
                <w:szCs w:val="18"/>
                <w:color w:val="auto"/>
              </w:rPr>
              <w:t>30,538</w:t>
            </w:r>
          </w:p>
        </w:tc>
      </w:tr>
      <w:tr>
        <w:trPr>
          <w:trHeight w:val="79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5360" w:type="dxa"/>
            <w:vAlign w:val="bottom"/>
            <w:gridSpan w:val="2"/>
          </w:tcPr>
          <w:p>
            <w:pPr>
              <w:jc w:val="right"/>
              <w:ind w:right="1710"/>
              <w:spacing w:after="0"/>
              <w:rPr>
                <w:sz w:val="20"/>
                <w:szCs w:val="20"/>
                <w:color w:val="auto"/>
              </w:rPr>
            </w:pPr>
            <w:r>
              <w:rPr>
                <w:rFonts w:ascii="Arial" w:cs="Arial" w:eastAsia="Arial" w:hAnsi="Arial"/>
                <w:sz w:val="18"/>
                <w:szCs w:val="18"/>
                <w:color w:val="auto"/>
              </w:rPr>
              <w:t>DEFAULTS UPON SENIOR SECURITIES</w:t>
            </w:r>
          </w:p>
        </w:tc>
        <w:tc>
          <w:tcPr>
            <w:tcW w:w="212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None.</w:t>
            </w:r>
          </w:p>
        </w:tc>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12"/>
              <w:spacing w:after="0"/>
              <w:rPr>
                <w:sz w:val="20"/>
                <w:szCs w:val="20"/>
                <w:color w:val="auto"/>
              </w:rPr>
            </w:pPr>
            <w:r>
              <w:rPr>
                <w:rFonts w:ascii="Arial" w:cs="Arial" w:eastAsia="Arial" w:hAnsi="Arial"/>
                <w:sz w:val="18"/>
                <w:szCs w:val="18"/>
                <w:color w:val="auto"/>
                <w:w w:val="98"/>
              </w:rPr>
              <w:t>ITEM 6.</w:t>
            </w:r>
          </w:p>
        </w:tc>
        <w:tc>
          <w:tcPr>
            <w:tcW w:w="7920" w:type="dxa"/>
            <w:vAlign w:val="bottom"/>
            <w:gridSpan w:val="7"/>
          </w:tcPr>
          <w:p>
            <w:pPr>
              <w:ind w:left="200"/>
              <w:spacing w:after="0"/>
              <w:rPr>
                <w:sz w:val="20"/>
                <w:szCs w:val="20"/>
                <w:color w:val="auto"/>
              </w:rPr>
            </w:pPr>
            <w:r>
              <w:rPr>
                <w:rFonts w:ascii="Arial" w:cs="Arial" w:eastAsia="Arial" w:hAnsi="Arial"/>
                <w:sz w:val="18"/>
                <w:szCs w:val="18"/>
                <w:color w:val="auto"/>
              </w:rPr>
              <w:t>EXHIBITS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840" w:type="dxa"/>
            <w:vAlign w:val="bottom"/>
          </w:tcPr>
          <w:p>
            <w:pPr>
              <w:jc w:val="right"/>
              <w:ind w:right="52"/>
              <w:spacing w:after="0"/>
              <w:rPr>
                <w:sz w:val="20"/>
                <w:szCs w:val="20"/>
                <w:color w:val="auto"/>
              </w:rPr>
            </w:pPr>
            <w:r>
              <w:rPr>
                <w:rFonts w:ascii="Arial" w:cs="Arial" w:eastAsia="Arial" w:hAnsi="Arial"/>
                <w:sz w:val="14"/>
                <w:szCs w:val="14"/>
                <w:color w:val="auto"/>
              </w:rPr>
              <w:t>Exhibit</w:t>
            </w:r>
          </w:p>
        </w:tc>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3"/>
          </w:tcPr>
          <w:p>
            <w:pPr>
              <w:spacing w:after="0"/>
              <w:rPr>
                <w:sz w:val="16"/>
                <w:szCs w:val="16"/>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3.1</w:t>
            </w:r>
          </w:p>
        </w:tc>
        <w:tc>
          <w:tcPr>
            <w:tcW w:w="3540" w:type="dxa"/>
            <w:vAlign w:val="bottom"/>
            <w:gridSpan w:val="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720" w:type="dxa"/>
            <w:vAlign w:val="bottom"/>
            <w:gridSpan w:val="2"/>
          </w:tcPr>
          <w:p>
            <w:pPr>
              <w:spacing w:after="0"/>
              <w:rPr>
                <w:sz w:val="17"/>
                <w:szCs w:val="17"/>
                <w:color w:val="auto"/>
              </w:rPr>
            </w:pPr>
          </w:p>
        </w:tc>
        <w:tc>
          <w:tcPr>
            <w:tcW w:w="3660" w:type="dxa"/>
            <w:vAlign w:val="bottom"/>
            <w:gridSpan w:val="3"/>
          </w:tcPr>
          <w:p>
            <w:pPr>
              <w:spacing w:after="0"/>
              <w:rPr>
                <w:sz w:val="17"/>
                <w:szCs w:val="17"/>
                <w:color w:val="auto"/>
              </w:rPr>
            </w:pPr>
          </w:p>
        </w:tc>
        <w:tc>
          <w:tcPr>
            <w:tcW w:w="2280" w:type="dxa"/>
            <w:vAlign w:val="bottom"/>
            <w:gridSpan w:val="3"/>
          </w:tcPr>
          <w:p>
            <w:pPr>
              <w:jc w:val="center"/>
              <w:ind w:left="52"/>
              <w:spacing w:after="0" w:line="196" w:lineRule="exact"/>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920" w:type="dxa"/>
            <w:vAlign w:val="bottom"/>
            <w:gridSpan w:val="7"/>
          </w:tcPr>
          <w:p>
            <w:pPr>
              <w:spacing w:after="0"/>
              <w:rPr>
                <w:rFonts w:ascii="Arial" w:cs="Arial" w:eastAsia="Arial" w:hAnsi="Arial"/>
                <w:sz w:val="18"/>
                <w:szCs w:val="18"/>
                <w:color w:val="0000FF"/>
              </w:rPr>
            </w:pPr>
            <w:hyperlink r:id="rId41">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7920" w:type="dxa"/>
            <w:vAlign w:val="bottom"/>
            <w:gridSpan w:val="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Certification by Chief Executive Officer pursuant to Rule 13a-14(a) of the Exchange Act.</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6980" w:type="dxa"/>
            <w:vAlign w:val="bottom"/>
            <w:tcBorders>
              <w:top w:val="single" w:sz="8" w:color="0000FF"/>
            </w:tcBorders>
            <w:gridSpan w:val="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Certification by Chief Financial Officer pursuant to Rule 13a-14(a) of the Exchange Act.</w:t>
              </w:r>
            </w:hyperlink>
          </w:p>
        </w:tc>
        <w:tc>
          <w:tcPr>
            <w:tcW w:w="940" w:type="dxa"/>
            <w:vAlign w:val="bottom"/>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4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Section 1350 Certification by Chief Executive Officer.</w:t>
              </w:r>
            </w:hyperlink>
          </w:p>
        </w:tc>
        <w:tc>
          <w:tcPr>
            <w:tcW w:w="2660" w:type="dxa"/>
            <w:vAlign w:val="bottom"/>
            <w:tcBorders>
              <w:top w:val="single" w:sz="8" w:color="0000FF"/>
            </w:tcBorders>
          </w:tcPr>
          <w:p>
            <w:pPr>
              <w:spacing w:after="0"/>
              <w:rPr>
                <w:sz w:val="18"/>
                <w:szCs w:val="18"/>
                <w:color w:val="auto"/>
              </w:rPr>
            </w:pPr>
          </w:p>
        </w:tc>
        <w:tc>
          <w:tcPr>
            <w:tcW w:w="1000" w:type="dxa"/>
            <w:vAlign w:val="bottom"/>
            <w:gridSpan w:val="2"/>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Section 1350 Certification by Chief Financial Officer.</w:t>
              </w:r>
            </w:hyperlink>
          </w:p>
        </w:tc>
        <w:tc>
          <w:tcPr>
            <w:tcW w:w="3760" w:type="dxa"/>
            <w:vAlign w:val="bottom"/>
            <w:gridSpan w:val="4"/>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7920" w:type="dxa"/>
            <w:vAlign w:val="bottom"/>
            <w:gridSpan w:val="7"/>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ended December 26, 2021 filed with the SEC on February 2, 2022 formatted in Inline Extensible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Business Reporting Language (iXBRL); (i) the Condensed Consolidated Balance Sheets at</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December 26, 2021 and March 28, 2021, (ii) the Condensed Consolidated Statements of Income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for the three and nine months ended December 26, 2021 and December 27, 2020, (iii) the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Condensed Consolidated Statements of Comprehensive Income for the three and nine months</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ended December 26, 2021 and December 27, 2020, (iv) the Condensed Consolidated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Statements of Shareholder's Equity for the three and nine months ended December 26, 2021 and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December 27, 2020, (v) the Condensed Consolidated Statements of Cash Flows for the nine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months ended December 26, 2021 and December 27, 2020, and (vi) Notes to Condensed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9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80" w:lineRule="exact"/>
        <w:rPr>
          <w:sz w:val="20"/>
          <w:szCs w:val="20"/>
          <w:color w:val="auto"/>
        </w:rPr>
      </w:pPr>
    </w:p>
    <w:p>
      <w:pPr>
        <w:ind w:left="580" w:right="26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2, 2021.</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23"/>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0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17"/>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2022</w:t>
      </w:r>
    </w:p>
    <w:p>
      <w:pPr>
        <w:sectPr>
          <w:pgSz w:w="11900" w:h="16838" w:orient="portrait"/>
          <w:cols w:equalWidth="0" w:num="1">
            <w:col w:w="11120"/>
          </w:cols>
          <w:pgMar w:left="320" w:top="886" w:right="4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26, 2021,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Patrick H. Hawkins</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Patrick H. Hawkins</w:t>
      </w:r>
    </w:p>
    <w:p>
      <w:pPr>
        <w:spacing w:after="0" w:line="22" w:lineRule="exact"/>
        <w:rPr>
          <w:rFonts w:ascii="Arial" w:cs="Arial" w:eastAsia="Arial" w:hAnsi="Arial"/>
          <w:sz w:val="18"/>
          <w:szCs w:val="18"/>
          <w:color w:val="auto"/>
        </w:rPr>
      </w:pPr>
    </w:p>
    <w:p>
      <w:pPr>
        <w:ind w:left="80" w:right="8180"/>
        <w:spacing w:after="0" w:line="277" w:lineRule="auto"/>
        <w:rPr>
          <w:rFonts w:ascii="Arial" w:cs="Arial" w:eastAsia="Arial" w:hAnsi="Arial"/>
          <w:sz w:val="18"/>
          <w:szCs w:val="18"/>
          <w:color w:val="auto"/>
        </w:rPr>
      </w:pPr>
      <w:r>
        <w:rPr>
          <w:rFonts w:ascii="Arial" w:cs="Arial" w:eastAsia="Arial" w:hAnsi="Arial"/>
          <w:sz w:val="18"/>
          <w:szCs w:val="18"/>
          <w:color w:val="auto"/>
        </w:rPr>
        <w:t>Chief Executive Officer and President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2588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26, 2021,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Jeffrey P. Oldenkamp</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Jeffrey P. Oldenkamp</w:t>
      </w:r>
    </w:p>
    <w:p>
      <w:pPr>
        <w:spacing w:after="0" w:line="22" w:lineRule="exact"/>
        <w:rPr>
          <w:rFonts w:ascii="Arial" w:cs="Arial" w:eastAsia="Arial" w:hAnsi="Arial"/>
          <w:sz w:val="18"/>
          <w:szCs w:val="18"/>
          <w:color w:val="auto"/>
        </w:rPr>
      </w:pPr>
    </w:p>
    <w:p>
      <w:pPr>
        <w:ind w:left="80" w:right="7020"/>
        <w:spacing w:after="0" w:line="277"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3257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18" Type="http://schemas.openxmlformats.org/officeDocument/2006/relationships/hyperlink" Target="http://www.sec.gov/ix?doc=/Archives/edgar/data/46250/000004625021000019/hwkn-20210328.htm" TargetMode="External"/><Relationship Id="rId40" Type="http://schemas.openxmlformats.org/officeDocument/2006/relationships/hyperlink" Target="http://www.sec.gov/Archives/edgar/data/46250/000004625021000012/exhibit32.htm" TargetMode="External"/><Relationship Id="rId41"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2022-02-02T15:22:15Z</dcterms:created>
  <dcterms:modified xsi:type="dcterms:W3CDTF">2022-02-02T15:22:15Z</dcterms:modified>
</cp:coreProperties>
</file>