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SCHEDULE 14A INFORMATION</w:t>
      </w:r>
    </w:p>
    <w:p>
      <w:pPr>
        <w:spacing w:after="0" w:line="180" w:lineRule="exact"/>
        <w:rPr>
          <w:sz w:val="24"/>
          <w:szCs w:val="24"/>
          <w:color w:val="auto"/>
        </w:rPr>
      </w:pPr>
    </w:p>
    <w:p>
      <w:pPr>
        <w:ind w:left="1627"/>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5" w:lineRule="exact"/>
        <w:rPr>
          <w:sz w:val="24"/>
          <w:szCs w:val="24"/>
          <w:color w:val="auto"/>
        </w:rPr>
      </w:pPr>
    </w:p>
    <w:p>
      <w:pPr>
        <w:ind w:left="1087"/>
        <w:spacing w:after="0"/>
        <w:tabs>
          <w:tab w:leader="none" w:pos="5986" w:val="left"/>
        </w:tabs>
        <w:rPr>
          <w:sz w:val="20"/>
          <w:szCs w:val="20"/>
          <w:color w:val="auto"/>
        </w:rPr>
      </w:pPr>
      <w:r>
        <w:rPr>
          <w:rFonts w:ascii="Courier New" w:cs="Courier New" w:eastAsia="Courier New" w:hAnsi="Courier New"/>
          <w:sz w:val="15"/>
          <w:szCs w:val="15"/>
          <w:color w:val="auto"/>
        </w:rPr>
        <w:t>the Securities Exchange Act of 1934 (Amendment No.</w:t>
      </w:r>
      <w:r>
        <w:rPr>
          <w:sz w:val="20"/>
          <w:szCs w:val="20"/>
          <w:color w:val="auto"/>
        </w:rPr>
        <w:tab/>
      </w:r>
      <w:r>
        <w:rPr>
          <w:rFonts w:ascii="Courier New" w:cs="Courier New" w:eastAsia="Courier New" w:hAnsi="Courier New"/>
          <w:sz w:val="13"/>
          <w:szCs w:val="13"/>
          <w:color w:val="auto"/>
        </w:rPr>
        <w:t>)</w:t>
      </w:r>
    </w:p>
    <w:p>
      <w:pPr>
        <w:spacing w:after="0" w:line="354"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Filed by the Registrant /X/</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0"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Check the appropriate box:</w:t>
      </w:r>
    </w:p>
    <w:p>
      <w:pPr>
        <w:spacing w:after="0" w:line="5" w:lineRule="exact"/>
        <w:rPr>
          <w:sz w:val="24"/>
          <w:szCs w:val="24"/>
          <w:color w:val="auto"/>
        </w:rPr>
      </w:pPr>
    </w:p>
    <w:p>
      <w:pPr>
        <w:ind w:left="547" w:hanging="183"/>
        <w:spacing w:after="0"/>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4" w:lineRule="exact"/>
        <w:rPr>
          <w:rFonts w:ascii="Courier New" w:cs="Courier New" w:eastAsia="Courier New" w:hAnsi="Courier New"/>
          <w:sz w:val="15"/>
          <w:szCs w:val="15"/>
          <w:color w:val="auto"/>
        </w:rPr>
      </w:pPr>
    </w:p>
    <w:p>
      <w:pPr>
        <w:ind w:left="547" w:hanging="183"/>
        <w:spacing w:after="0"/>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w:t>
      </w:r>
    </w:p>
    <w:p>
      <w:pPr>
        <w:spacing w:after="0" w:line="5"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14a-6(e)(2))</w:t>
      </w:r>
    </w:p>
    <w:p>
      <w:pPr>
        <w:spacing w:after="0" w:line="5" w:lineRule="exact"/>
        <w:rPr>
          <w:sz w:val="24"/>
          <w:szCs w:val="24"/>
          <w:color w:val="auto"/>
        </w:rPr>
      </w:pPr>
    </w:p>
    <w:p>
      <w:pPr>
        <w:ind w:left="367"/>
        <w:spacing w:after="0"/>
        <w:tabs>
          <w:tab w:leader="none" w:pos="806" w:val="left"/>
        </w:tabs>
        <w:rPr>
          <w:sz w:val="20"/>
          <w:szCs w:val="20"/>
          <w:color w:val="auto"/>
        </w:rPr>
      </w:pPr>
      <w:r>
        <w:rPr>
          <w:rFonts w:ascii="Courier New" w:cs="Courier New" w:eastAsia="Courier New" w:hAnsi="Courier New"/>
          <w:sz w:val="15"/>
          <w:szCs w:val="15"/>
          <w:color w:val="auto"/>
        </w:rPr>
        <w:t>/X/</w:t>
        <w:tab/>
        <w:t>Definitive Proxy Statement</w:t>
      </w:r>
    </w:p>
    <w:p>
      <w:pPr>
        <w:spacing w:after="0" w:line="5" w:lineRule="exact"/>
        <w:rPr>
          <w:sz w:val="24"/>
          <w:szCs w:val="24"/>
          <w:color w:val="auto"/>
        </w:rPr>
      </w:pPr>
    </w:p>
    <w:p>
      <w:pPr>
        <w:ind w:left="547" w:hanging="183"/>
        <w:spacing w:after="0"/>
        <w:tabs>
          <w:tab w:leader="none" w:pos="5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4" w:lineRule="exact"/>
        <w:rPr>
          <w:rFonts w:ascii="Courier New" w:cs="Courier New" w:eastAsia="Courier New" w:hAnsi="Courier New"/>
          <w:sz w:val="15"/>
          <w:szCs w:val="15"/>
          <w:color w:val="auto"/>
        </w:rPr>
      </w:pPr>
    </w:p>
    <w:p>
      <w:pPr>
        <w:ind w:left="827" w:right="4419" w:hanging="463"/>
        <w:spacing w:after="0" w:line="247" w:lineRule="auto"/>
        <w:tabs>
          <w:tab w:leader="none" w:pos="55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Section240.14a-11(c) or Section240.14a-12</w:t>
      </w:r>
    </w:p>
    <w:p>
      <w:pPr>
        <w:spacing w:after="0" w:line="200" w:lineRule="exact"/>
        <w:rPr>
          <w:sz w:val="24"/>
          <w:szCs w:val="24"/>
          <w:color w:val="auto"/>
        </w:rPr>
      </w:pPr>
    </w:p>
    <w:p>
      <w:pPr>
        <w:spacing w:after="0" w:line="324" w:lineRule="exact"/>
        <w:rPr>
          <w:sz w:val="24"/>
          <w:szCs w:val="24"/>
          <w:color w:val="auto"/>
        </w:rPr>
      </w:pPr>
    </w:p>
    <w:p>
      <w:pPr>
        <w:ind w:left="3367"/>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0"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/X/</w:t>
        <w:tab/>
        <w:t>No fee required.</w:t>
      </w:r>
    </w:p>
    <w:p>
      <w:pPr>
        <w:spacing w:after="0" w:line="5" w:lineRule="exact"/>
        <w:rPr>
          <w:sz w:val="24"/>
          <w:szCs w:val="24"/>
          <w:color w:val="auto"/>
        </w:rPr>
      </w:pPr>
    </w:p>
    <w:p>
      <w:pPr>
        <w:ind w:left="447" w:right="4139" w:hanging="447"/>
        <w:spacing w:after="0" w:line="246" w:lineRule="auto"/>
        <w:tabs>
          <w:tab w:leader="none" w:pos="17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 w:lineRule="exact"/>
        <w:rPr>
          <w:sz w:val="24"/>
          <w:szCs w:val="24"/>
          <w:color w:val="auto"/>
        </w:rPr>
      </w:pPr>
    </w:p>
    <w:p>
      <w:pPr>
        <w:ind w:left="827" w:hanging="372"/>
        <w:spacing w:after="0"/>
        <w:tabs>
          <w:tab w:leader="none" w:pos="8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827" w:hanging="372"/>
        <w:spacing w:after="0"/>
        <w:tabs>
          <w:tab w:leader="none" w:pos="8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827" w:right="3139" w:hanging="372"/>
        <w:spacing w:after="0" w:line="246" w:lineRule="auto"/>
        <w:tabs>
          <w:tab w:leader="none" w:pos="8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2"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827" w:hanging="372"/>
        <w:spacing w:after="0"/>
        <w:tabs>
          <w:tab w:leader="none" w:pos="82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827" w:hanging="372"/>
        <w:spacing w:after="0"/>
        <w:tabs>
          <w:tab w:leader="none" w:pos="82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4" w:lineRule="exact"/>
        <w:rPr>
          <w:rFonts w:ascii="Courier New" w:cs="Courier New" w:eastAsia="Courier New" w:hAnsi="Courier New"/>
          <w:sz w:val="15"/>
          <w:szCs w:val="15"/>
          <w:color w:val="auto"/>
        </w:rPr>
      </w:pPr>
    </w:p>
    <w:p>
      <w:pPr>
        <w:ind w:left="447" w:right="3219" w:hanging="447"/>
        <w:spacing w:after="0" w:line="246" w:lineRule="auto"/>
        <w:tabs>
          <w:tab w:leader="none" w:pos="17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Amount Previously Paid:</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Form, Schedule or Registration Statement No.:</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   Filing Party:</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   Date Filed:</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409" w:right="1440" w:bottom="1440" w:gutter="0" w:footer="0" w:header="0"/>
        </w:sectPr>
      </w:pPr>
    </w:p>
    <w:bookmarkStart w:id="1" w:name="page2"/>
    <w:bookmarkEnd w:id="1"/>
    <w:p>
      <w:pPr>
        <w:jc w:val="center"/>
        <w:ind w:right="2959"/>
        <w:spacing w:after="0"/>
        <w:rPr>
          <w:sz w:val="20"/>
          <w:szCs w:val="20"/>
          <w:color w:val="auto"/>
        </w:rPr>
      </w:pPr>
      <w:r>
        <w:rPr>
          <w:rFonts w:ascii="Courier New" w:cs="Courier New" w:eastAsia="Courier New" w:hAnsi="Courier New"/>
          <w:sz w:val="15"/>
          <w:szCs w:val="15"/>
          <w:color w:val="auto"/>
        </w:rPr>
        <w:t>[HAWKINS LOGO]</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3100 EAST HENNEPIN AVENUE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MINNEAPOLIS, MINNESOTA 55413</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TO BE HELD</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FEBRUARY 14, 2001</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annual meeting of shareholders of Hawkins Chemical, Inc. (the "Company") will be held at the Four Points Sheraton Hotel, 1330 Industrial Boulevard, Minneapolis, Minnesota, on Wednesday, February 14, 2001, at 3:30 P.M., Central Standard Time, for the following purposes:</w:t>
      </w:r>
    </w:p>
    <w:p>
      <w:pPr>
        <w:spacing w:after="0" w:line="177" w:lineRule="exact"/>
        <w:rPr>
          <w:sz w:val="20"/>
          <w:szCs w:val="20"/>
          <w:color w:val="auto"/>
        </w:rPr>
      </w:pPr>
    </w:p>
    <w:p>
      <w:pPr>
        <w:ind w:left="720" w:hanging="363"/>
        <w:spacing w:after="0"/>
        <w:tabs>
          <w:tab w:leader="none" w:pos="7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nine directors.</w:t>
      </w:r>
    </w:p>
    <w:p>
      <w:pPr>
        <w:spacing w:after="0" w:line="179" w:lineRule="exact"/>
        <w:rPr>
          <w:rFonts w:ascii="Courier New" w:cs="Courier New" w:eastAsia="Courier New" w:hAnsi="Courier New"/>
          <w:sz w:val="15"/>
          <w:szCs w:val="15"/>
          <w:color w:val="auto"/>
        </w:rPr>
      </w:pPr>
    </w:p>
    <w:p>
      <w:pPr>
        <w:ind w:left="720" w:right="2959" w:hanging="363"/>
        <w:spacing w:after="0" w:line="247" w:lineRule="auto"/>
        <w:tabs>
          <w:tab w:leader="none" w:pos="7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Amended and Second Restated Articles of Incorporation to change the name of the Company from Hawkins Chemical, Inc. to Hawkins, Inc.</w:t>
      </w:r>
    </w:p>
    <w:p>
      <w:pPr>
        <w:spacing w:after="0" w:line="174" w:lineRule="exact"/>
        <w:rPr>
          <w:rFonts w:ascii="Courier New" w:cs="Courier New" w:eastAsia="Courier New" w:hAnsi="Courier New"/>
          <w:sz w:val="15"/>
          <w:szCs w:val="15"/>
          <w:color w:val="auto"/>
        </w:rPr>
      </w:pPr>
    </w:p>
    <w:p>
      <w:pPr>
        <w:ind w:left="720" w:right="3039" w:hanging="363"/>
        <w:spacing w:after="0" w:line="247" w:lineRule="auto"/>
        <w:tabs>
          <w:tab w:leader="none" w:pos="7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175"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Board of Directors has fixed the close of business on January 5, 2001 as the record date for determining the shareholders entitled to vote at the annual meeting. Accordingly, only shareholders of record at the close of business on that date will be entitled to vote at the meeting. The Company's transfer books will not be closed.</w:t>
      </w:r>
    </w:p>
    <w:p>
      <w:pPr>
        <w:spacing w:after="0" w:line="200" w:lineRule="exact"/>
        <w:rPr>
          <w:sz w:val="20"/>
          <w:szCs w:val="20"/>
          <w:color w:val="auto"/>
        </w:rPr>
      </w:pPr>
    </w:p>
    <w:p>
      <w:pPr>
        <w:spacing w:after="0" w:line="327" w:lineRule="exact"/>
        <w:rPr>
          <w:sz w:val="20"/>
          <w:szCs w:val="20"/>
          <w:color w:val="auto"/>
        </w:rPr>
      </w:pPr>
    </w:p>
    <w:p>
      <w:pPr>
        <w:ind w:left="2360" w:right="4779" w:hanging="2816"/>
        <w:spacing w:after="0" w:line="494" w:lineRule="auto"/>
        <w:tabs>
          <w:tab w:leader="none" w:pos="2340" w:val="left"/>
        </w:tabs>
        <w:rPr>
          <w:sz w:val="20"/>
          <w:szCs w:val="20"/>
          <w:color w:val="auto"/>
        </w:rPr>
      </w:pPr>
      <w:r>
        <w:rPr>
          <w:rFonts w:ascii="Courier New" w:cs="Courier New" w:eastAsia="Courier New" w:hAnsi="Courier New"/>
          <w:sz w:val="15"/>
          <w:szCs w:val="15"/>
          <w:color w:val="auto"/>
        </w:rPr>
        <w:t>Dated: January 15, 2001.</w:t>
        <w:tab/>
        <w:t>BY ORDER OF THE BOARD OF DIRECTORS MARVIN E. DEE, SECRETARY</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IMPORTANT: TO ASSURE THE NECESSARY REPRESENTATION AT THE ANNUAL MEETING, YOU ARE URGED TO SIGN AND RETURN THE ENCLOSED PROXY PROMPTLY TO SAVE THE COMPANY THE EXPENSE OF ADDITIONAL SOLICITATION. DOING SO WILL NOT PREVENT YOU FROM VOTING IN PERSON IF YOU SO DESIRE.</w:t>
      </w:r>
    </w:p>
    <w:p>
      <w:pPr>
        <w:sectPr>
          <w:pgSz w:w="11900" w:h="16838" w:orient="portrait"/>
          <w:cols w:equalWidth="0" w:num="1">
            <w:col w:w="10219"/>
          </w:cols>
          <w:pgMar w:left="240" w:top="468" w:right="1440" w:bottom="1440" w:gutter="0" w:footer="0" w:header="0"/>
        </w:sectPr>
      </w:pPr>
    </w:p>
    <w:bookmarkStart w:id="2" w:name="page3"/>
    <w:bookmarkEnd w:id="2"/>
    <w:p>
      <w:pPr>
        <w:ind w:left="2900"/>
        <w:spacing w:after="0"/>
        <w:rPr>
          <w:sz w:val="20"/>
          <w:szCs w:val="20"/>
          <w:color w:val="auto"/>
        </w:rPr>
      </w:pPr>
      <w:r>
        <w:rPr>
          <w:rFonts w:ascii="Courier New" w:cs="Courier New" w:eastAsia="Courier New" w:hAnsi="Courier New"/>
          <w:sz w:val="15"/>
          <w:szCs w:val="15"/>
          <w:color w:val="auto"/>
        </w:rPr>
        <w:t>PROXY STATEMENT</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3100 EAST HENNEPIN AVENUE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MINNEAPOLIS, MINNESOTA 55413</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JANUARY 15, 2001</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statement is furnished in connection with the solicitation of proxies by the Board of Directors of Hawkins Chemical, Inc. (the "Company") to be voted at the annual meeting of shareholders of the Company to be held on Wednesday, February 14, 2001, or at any adjournment or adjournments of such meeting. Distribution of this proxy statement and proxy to the shareholders began on or about January 15, 2001.</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SOLICITATION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cost of soliciting proxies and of the notices of the meeting, including the preparation, assembly and mailing of proxies and this statement, will be borne by the Company. In addition to the use of the mails, proxies may be solicited personally or by telephone or telegraph by directors, officers and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REVOCATION AND VOTING OF PROXY</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use at the meeting by (1) delivering a written notice expressly revoking the proxy to the Secretary at the Company's offices, (2) signing and forwarding to the Company at its offices a later dated proxy, or (3) attending the annual meeting and casting his or her votes personally.</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Unless otherwise directed in the accompanying proxy, the persons named therein will vote FOR the nominees for director as set forth in this Notice of Annual Meeting of Shareholders and FOR the amendment authorizing the change of the Company's name to "Hawkins, Inc." Management is not aware of any other business that will, or is likely to, come before the meeting. If any other business does properly come before the meeting, such persons will vote in accordance with their judgment as to what is in the Company's best interests.</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 majority of the outstanding shares will constitute a quorum at the annual meeting. Abstentions and broker non-votes are counted for purposes of determining the presence or absence of a quorum for the transaction of business. Pursuant to Minnesota law and the Company's Amended and Second Restated Articles of Incorporation, abstentions are counted in determining the total number of the votes cast on proposals presented to shareholders, but will not be treated as votes in favor of the proposals. Broker non-votes are not counted for purposes of determining the total number of votes cast on proposals presented to shareholders.</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OUTSTANDING SHARES AND VOTING RIGHTS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As of the close of business on January 5, 2001, there were outstanding 10,374,439 shares of common stock, par value $.05 per share, which is the only outstanding class of stock of the Company. Holders of common shares are entitled to one vote for each share held on the record date with respect to all matters that may be brought before the meeting. The record date for determining the shareholders entitled to vote at the 2001 annual meeting is January 5, 2001. There is no cumulative voting for directors.</w:t>
      </w:r>
    </w:p>
    <w:p>
      <w:pPr>
        <w:sectPr>
          <w:pgSz w:w="11900" w:h="16838" w:orient="portrait"/>
          <w:cols w:equalWidth="0" w:num="1">
            <w:col w:w="10219"/>
          </w:cols>
          <w:pgMar w:left="240" w:top="468" w:right="1440" w:bottom="1440" w:gutter="0" w:footer="0" w:header="0"/>
        </w:sectPr>
      </w:pPr>
    </w:p>
    <w:bookmarkStart w:id="3" w:name="page4"/>
    <w:bookmarkEnd w:id="3"/>
    <w:p>
      <w:pPr>
        <w:ind w:left="1087"/>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Section 16(a) of the Securities Exchange Act of 1934 requires the Company's executive officers and directors to file initial reports of ownership and reports of changes in ownership of common stock of the Company with the Securities and Exchange Commission.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 except that (i) Howard M. Hawkins inadvertently failed to file a Form 4 for a transaction that occurred in June 2000 and (ii) each of Keenan A. Paulson, John R. Sevenich, and Daniel E. Soderlund inadvertently failed to file their initial reports on Form 3 upon becoming executive officers of the Company in May 2000, all of which reports have since been filed.</w:t>
      </w:r>
    </w:p>
    <w:p>
      <w:pPr>
        <w:spacing w:after="0" w:line="184"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SECURITY OWNERSHIP OF MANAGEMENT</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AND BENEFICIAL OWNERSHIP</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following table contains information as of December 1, 2000 concerning the beneficial ownership of the Company's common shares by all directors and nominees, by the named executive officers in the Summary Compensation table, by all current directors and executive officers as a group and by persons known to the Company to beneficially own more than 5% of its common shares. Unless otherwise noted, the address for each person listed below is the Company's executive offices.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NUMBER OF</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PERCENT OF</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SHARES(a)</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CLASS</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174,593(b)</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108,173(c)</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123,950(d)</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82,901(e)</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John S. McKeon..............................................</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19,125(f)</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Duane M. Jergenson..........................................</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6,125</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G. Robert Gey...............................................</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2,171</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Kurt R. Norman..............................................</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15,023(g)</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Daryl I. Skaar..............................................</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John R. Sevenich............................................</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16,817(h)</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Daniel E. Soderlund.........................................</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8,754(i)</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All current directors and officers as a group (13</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persons)..................................................</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564,513(j)</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Trustees, Hawkins Chemical, Inc.</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Employee Stock Ownership Plan and Trust.....................</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2,418,023(k)</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23.2%</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hanging="367"/>
        <w:spacing w:after="0"/>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80" w:lineRule="exact"/>
        <w:rPr>
          <w:sz w:val="20"/>
          <w:szCs w:val="20"/>
          <w:color w:val="auto"/>
        </w:rPr>
      </w:pPr>
    </w:p>
    <w:p>
      <w:pPr>
        <w:ind w:left="367" w:right="3039" w:hanging="367"/>
        <w:spacing w:after="0" w:line="247" w:lineRule="auto"/>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all shares shown are held by individuals possessing sole voting and investment power with respect to such shares.</w:t>
      </w:r>
    </w:p>
    <w:p>
      <w:pPr>
        <w:spacing w:after="0" w:line="174" w:lineRule="exact"/>
        <w:rPr>
          <w:rFonts w:ascii="Courier New" w:cs="Courier New" w:eastAsia="Courier New" w:hAnsi="Courier New"/>
          <w:sz w:val="15"/>
          <w:szCs w:val="15"/>
          <w:color w:val="auto"/>
        </w:rPr>
      </w:pPr>
    </w:p>
    <w:p>
      <w:pPr>
        <w:ind w:left="367" w:right="2959" w:hanging="367"/>
        <w:spacing w:after="0" w:line="247" w:lineRule="auto"/>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64,195 shares held by Mr. Hawkins' wife as to which he may be deemed to share voting and investment power, but as to which he disclaims beneficial ownership; and 8,876 shares that Mr. Hawkins holds jointly with his wife as to which he shares voting and investment power. Does not include shares representing the beneficial interest of Mr. Hawkins as of September 30, 2000 in the Company's Employee Stock Ownership Plan (106,540 shares).</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468" w:right="1440" w:bottom="1440" w:gutter="0" w:footer="0" w:header="0"/>
        </w:sectPr>
      </w:pPr>
    </w:p>
    <w:bookmarkStart w:id="4" w:name="page5"/>
    <w:bookmarkEnd w:id="4"/>
    <w:p>
      <w:pPr>
        <w:ind w:left="367" w:right="303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9,797 shares that Mr. Hahn holds jointly with his wife as to which he shares voting and investment power. Does not include shares representing Mr. Hahn's beneficial interest as of September 30, 2000 in the Company's Employee Stock Ownership Plan (114,348 shares).</w:t>
      </w:r>
    </w:p>
    <w:p>
      <w:pPr>
        <w:spacing w:after="0" w:line="177"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60,000 shares held by Mr. Shipp's wife as to which he may be deemed to share voting and investment power, but as to which he disclaims beneficial ownership. Does not include shares representing Mr. Shipp's beneficial interest as of September 30, 2000 in the Company's Employee Stock Ownership Plan (189,176 shares).</w:t>
      </w:r>
    </w:p>
    <w:p>
      <w:pPr>
        <w:spacing w:after="0" w:line="177"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44,535 shares held by Mr. Hawkins as custodian for his child as to which he has sole voting and investment power, but as to which he disclaims beneficial ownership, as well as 38,019 shares held by Mr. Hawkins jointly with his wife as to which he shares voting and investment power. Does not include shares representing the beneficial interest of Mr. Hawkins as of September 30, 2000 in the Company's Employee Stock Ownership Plan (127,728 shares).</w:t>
      </w:r>
    </w:p>
    <w:p>
      <w:pPr>
        <w:spacing w:after="0" w:line="179" w:lineRule="exact"/>
        <w:rPr>
          <w:rFonts w:ascii="Courier New" w:cs="Courier New" w:eastAsia="Courier New" w:hAnsi="Courier New"/>
          <w:sz w:val="15"/>
          <w:szCs w:val="15"/>
          <w:color w:val="auto"/>
        </w:rPr>
      </w:pPr>
    </w:p>
    <w:p>
      <w:pPr>
        <w:ind w:left="367" w:right="3139" w:hanging="367"/>
        <w:spacing w:after="0" w:line="247"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782 shares held by Mr. McKeon as custodian for his children as to which Mr. McKeon has sole voting and investment power, but as to which he disclaims beneficial ownership.</w:t>
      </w:r>
    </w:p>
    <w:p>
      <w:pPr>
        <w:spacing w:after="0" w:line="174" w:lineRule="exact"/>
        <w:rPr>
          <w:rFonts w:ascii="Courier New" w:cs="Courier New" w:eastAsia="Courier New" w:hAnsi="Courier New"/>
          <w:sz w:val="15"/>
          <w:szCs w:val="15"/>
          <w:color w:val="auto"/>
        </w:rPr>
      </w:pPr>
    </w:p>
    <w:p>
      <w:pPr>
        <w:ind w:left="367" w:right="3139" w:hanging="367"/>
        <w:spacing w:after="0" w:line="247"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1,491 shares held by Mr. Norman's wife as custodian for their children, as to which he disclaims beneficial ownership. Does not include shares representing the beneficial interest of Mr. Norman as of September 30, 2000, in the Company's Employee Stock Ownership Plan (28,910 shares).</w:t>
      </w:r>
    </w:p>
    <w:p>
      <w:pPr>
        <w:spacing w:after="0" w:line="349" w:lineRule="exact"/>
        <w:rPr>
          <w:rFonts w:ascii="Courier New" w:cs="Courier New" w:eastAsia="Courier New" w:hAnsi="Courier New"/>
          <w:sz w:val="15"/>
          <w:szCs w:val="15"/>
          <w:color w:val="auto"/>
        </w:rPr>
      </w:pPr>
    </w:p>
    <w:p>
      <w:pPr>
        <w:ind w:left="367" w:right="3039" w:hanging="367"/>
        <w:spacing w:after="0" w:line="247"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share representing the beneficial interest of Mr. Sevenich in the Company's Employee Stock Ownership Plan (18,501 shares as of September 30, 2000).</w:t>
      </w:r>
    </w:p>
    <w:p>
      <w:pPr>
        <w:spacing w:after="0" w:line="174"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Soderlund holds these shares jointly with his spouse and shares voting and investment power. Does not include shares representing the beneficial interest of Mr. Soderlund in the Company's Employee Stock Ownership Plan (9,834 shares as of September 30, 2000).</w:t>
      </w:r>
    </w:p>
    <w:p>
      <w:pPr>
        <w:spacing w:after="0" w:line="177" w:lineRule="exact"/>
        <w:rPr>
          <w:rFonts w:ascii="Courier New" w:cs="Courier New" w:eastAsia="Courier New" w:hAnsi="Courier New"/>
          <w:sz w:val="15"/>
          <w:szCs w:val="15"/>
          <w:color w:val="auto"/>
        </w:rPr>
      </w:pPr>
    </w:p>
    <w:p>
      <w:pPr>
        <w:ind w:left="367" w:right="3599" w:hanging="367"/>
        <w:spacing w:after="0" w:line="247"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shares representing the beneficial interest of the directors and officers in the Company's Employee Stock Ownership Plan (661,264 shares as of September 30, 2000).</w:t>
      </w:r>
    </w:p>
    <w:p>
      <w:pPr>
        <w:spacing w:after="0" w:line="174"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trustees of the Hawkins Chemical, Inc. Employee Stock Ownership Plan and Trust are John R. Hawkins, Kurt R. Norman, and Marvin E. Dee. Although these individuals could be deemed to "beneficially own" all of the shares held by this Plan because of their shared voting and investment power with respect to those shares, they have not been included in the share ownership figures listed above for these individuals or for all current directors and officers as a group. Voting rights as to shares of the Company's stock are passed through to participants under the Employee Stock Ownership Plan.</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PROPOSALS TO BE ACTED UPON AT THE ANNUAL MEETING</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ELECTION OF DIRECTORS</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(PROPOSAL 1)</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At the forthcoming annual meeting, nine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Abstentions and broker non-votes have the effect of a vote against the nominees. Proxies will be voted for the election of all nominees unless you direct otherwise. Should any nominee decline or be unable to accept such nomination or to serve as a director (an event which management does not now expect to occur), proxies will be voted for a substitute nominee or nominees in accordance with the best judgment of the person or persons acting under them.</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46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INFORMATION ABOUT NOMINEES</w:t>
      </w:r>
    </w:p>
    <w:p>
      <w:pPr>
        <w:spacing w:after="0" w:line="180" w:lineRule="exact"/>
        <w:rPr>
          <w:sz w:val="20"/>
          <w:szCs w:val="20"/>
          <w:color w:val="auto"/>
        </w:rPr>
      </w:pPr>
    </w:p>
    <w:p>
      <w:pPr>
        <w:ind w:right="540" w:firstLine="364"/>
        <w:spacing w:after="0" w:line="246" w:lineRule="auto"/>
        <w:rPr>
          <w:sz w:val="20"/>
          <w:szCs w:val="20"/>
          <w:color w:val="auto"/>
        </w:rPr>
      </w:pPr>
      <w:r>
        <w:rPr>
          <w:rFonts w:ascii="Courier New" w:cs="Courier New" w:eastAsia="Courier New" w:hAnsi="Courier New"/>
          <w:sz w:val="15"/>
          <w:szCs w:val="15"/>
          <w:color w:val="auto"/>
        </w:rPr>
        <w:t>All nominees who are now directors of the Company have served continuously since the year indicated below. The following information, including the principal occupation or employment of each nominee, has been furnished to the Company by the respective nominees, as of December 6, 2000; all occupations are with the Company unless otherwise noted.</w:t>
      </w:r>
    </w:p>
    <w:p>
      <w:pPr>
        <w:spacing w:after="0" w:line="200" w:lineRule="exact"/>
        <w:rPr>
          <w:sz w:val="20"/>
          <w:szCs w:val="20"/>
          <w:color w:val="auto"/>
        </w:rPr>
      </w:pPr>
    </w:p>
    <w:p>
      <w:pPr>
        <w:spacing w:after="0" w:line="327"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PRINCIPAL OCCUPATION</w:t>
      </w:r>
    </w:p>
    <w:p>
      <w:pPr>
        <w:spacing w:after="0" w:line="5"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5"/>
          <w:szCs w:val="15"/>
          <w:color w:val="auto"/>
        </w:rPr>
        <w:t>NOMINEE</w:t>
      </w:r>
      <w:r>
        <w:rPr>
          <w:sz w:val="20"/>
          <w:szCs w:val="20"/>
          <w:color w:val="auto"/>
        </w:rPr>
        <w:tab/>
      </w:r>
      <w:r>
        <w:rPr>
          <w:rFonts w:ascii="Courier New" w:cs="Courier New" w:eastAsia="Courier New" w:hAnsi="Courier New"/>
          <w:sz w:val="15"/>
          <w:szCs w:val="15"/>
          <w:color w:val="auto"/>
        </w:rPr>
        <w:t>AND EMPLOYMENT</w:t>
      </w:r>
    </w:p>
    <w:p>
      <w:pPr>
        <w:spacing w:after="0" w:line="5" w:lineRule="exact"/>
        <w:rPr>
          <w:sz w:val="20"/>
          <w:szCs w:val="20"/>
          <w:color w:val="auto"/>
        </w:rPr>
      </w:pPr>
    </w:p>
    <w:p>
      <w:pPr>
        <w:spacing w:after="0"/>
        <w:tabs>
          <w:tab w:leader="none" w:pos="48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John R. Hawkins......................</w:t>
        <w:tab/>
        <w:t>Chairman of the Board and Chief Executive</w:t>
      </w:r>
    </w:p>
    <w:p>
      <w:pPr>
        <w:spacing w:after="0" w:line="5" w:lineRule="exact"/>
        <w:rPr>
          <w:sz w:val="20"/>
          <w:szCs w:val="20"/>
          <w:color w:val="auto"/>
        </w:rPr>
      </w:pPr>
    </w:p>
    <w:p>
      <w:pPr>
        <w:ind w:left="3540"/>
        <w:spacing w:after="0" w:line="246" w:lineRule="auto"/>
        <w:rPr>
          <w:sz w:val="20"/>
          <w:szCs w:val="20"/>
          <w:color w:val="auto"/>
        </w:rPr>
      </w:pPr>
      <w:r>
        <w:rPr>
          <w:rFonts w:ascii="Courier New" w:cs="Courier New" w:eastAsia="Courier New" w:hAnsi="Courier New"/>
          <w:sz w:val="15"/>
          <w:szCs w:val="15"/>
          <w:color w:val="auto"/>
        </w:rPr>
        <w:t>Officer since February 2000; President from December 1998 to February 2000; Executive Vice President from 1997 to December 1998; Vice President of Sales from 1987 to 1997; Secretary from 1991 to 1999.</w:t>
      </w:r>
    </w:p>
    <w:p>
      <w:pPr>
        <w:spacing w:after="0" w:line="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Kurt R. Norman.......................</w:t>
        <w:tab/>
        <w:t>President and Chief Operating Officer since</w:t>
      </w:r>
    </w:p>
    <w:p>
      <w:pPr>
        <w:spacing w:after="0" w:line="5" w:lineRule="exact"/>
        <w:rPr>
          <w:sz w:val="20"/>
          <w:szCs w:val="20"/>
          <w:color w:val="auto"/>
        </w:rPr>
      </w:pPr>
    </w:p>
    <w:p>
      <w:pPr>
        <w:ind w:left="3540"/>
        <w:spacing w:after="0" w:line="246" w:lineRule="auto"/>
        <w:rPr>
          <w:sz w:val="20"/>
          <w:szCs w:val="20"/>
          <w:color w:val="auto"/>
        </w:rPr>
      </w:pPr>
      <w:r>
        <w:rPr>
          <w:rFonts w:ascii="Courier New" w:cs="Courier New" w:eastAsia="Courier New" w:hAnsi="Courier New"/>
          <w:sz w:val="15"/>
          <w:szCs w:val="15"/>
          <w:color w:val="auto"/>
        </w:rPr>
        <w:t>February 2000; Vice President from February 1999 to February 2000; Vice President, Hawkins Water Treatment Group from 1996 to February 1999; General Manager of Hawkins Water Treatment Group from 1988 to 1996.</w:t>
      </w:r>
    </w:p>
    <w:p>
      <w:pPr>
        <w:spacing w:after="0" w:line="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Dean L. Hahn.........................</w:t>
        <w:tab/>
        <w:t>Retired; Chairman of the Board and Chief</w:t>
      </w:r>
    </w:p>
    <w:p>
      <w:pPr>
        <w:spacing w:after="0" w:line="5" w:lineRule="exact"/>
        <w:rPr>
          <w:sz w:val="20"/>
          <w:szCs w:val="20"/>
          <w:color w:val="auto"/>
        </w:rPr>
      </w:pPr>
    </w:p>
    <w:p>
      <w:pPr>
        <w:ind w:left="3540"/>
        <w:spacing w:after="0" w:line="246" w:lineRule="auto"/>
        <w:rPr>
          <w:sz w:val="20"/>
          <w:szCs w:val="20"/>
          <w:color w:val="auto"/>
        </w:rPr>
      </w:pPr>
      <w:r>
        <w:rPr>
          <w:rFonts w:ascii="Courier New" w:cs="Courier New" w:eastAsia="Courier New" w:hAnsi="Courier New"/>
          <w:sz w:val="15"/>
          <w:szCs w:val="15"/>
          <w:color w:val="auto"/>
        </w:rPr>
        <w:t>Executive Officer from 1996 to 2000; President from 1983 to 1996.</w:t>
      </w:r>
    </w:p>
    <w:p>
      <w:pPr>
        <w:spacing w:after="0" w:line="1"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Donald L. Shipp......................</w:t>
        <w:tab/>
        <w:t>Retired; Vice Chairman from December 1998 to</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September 2000; President from 1996 to</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December 1998; Executive Vice President from</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1983 to 1996; President of Feed-Rite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Controls, Inc., then a subsidiary of the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Company, from 1967 to 1996.</w:t>
      </w:r>
    </w:p>
    <w:p>
      <w:pPr>
        <w:spacing w:after="0" w:line="5"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Howard M. Hawkins....................</w:t>
        <w:tab/>
        <w:t>Retired; Treasurer from 1973 to 1999; Vice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President from 1996 to 1999.</w:t>
      </w:r>
    </w:p>
    <w:p>
      <w:pPr>
        <w:spacing w:after="0" w:line="5"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John S. McKeon.......................</w:t>
        <w:tab/>
        <w:t>President of Golden Valley Microwave Foods,</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Inc. since August 1993; President of McKeon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Associates, Inc. 1991 to 1993 (corporate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finance consulting); Vice President of</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Northstar Industries, Inc. 1976 to 1990.</w:t>
      </w:r>
    </w:p>
    <w:p>
      <w:pPr>
        <w:spacing w:after="0" w:line="5"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Duane M. Jergenson...................</w:t>
        <w:tab/>
        <w:t>Retired; Vice President, Operations of Taylor</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Corporation from 1985 to 1999.</w:t>
      </w:r>
    </w:p>
    <w:p>
      <w:pPr>
        <w:spacing w:after="0" w:line="5"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G. Robert Gey........................</w:t>
        <w:tab/>
        <w:t>President, Pentair Service Equipment Business</w:t>
      </w:r>
    </w:p>
    <w:p>
      <w:pPr>
        <w:spacing w:after="0" w:line="5" w:lineRule="exact"/>
        <w:rPr>
          <w:sz w:val="20"/>
          <w:szCs w:val="20"/>
          <w:color w:val="auto"/>
        </w:rPr>
      </w:pPr>
    </w:p>
    <w:p>
      <w:pPr>
        <w:ind w:left="3540"/>
        <w:spacing w:after="0" w:line="246" w:lineRule="auto"/>
        <w:rPr>
          <w:sz w:val="20"/>
          <w:szCs w:val="20"/>
          <w:color w:val="auto"/>
        </w:rPr>
      </w:pPr>
      <w:r>
        <w:rPr>
          <w:rFonts w:ascii="Courier New" w:cs="Courier New" w:eastAsia="Courier New" w:hAnsi="Courier New"/>
          <w:sz w:val="15"/>
          <w:szCs w:val="15"/>
          <w:color w:val="auto"/>
        </w:rPr>
        <w:t>since 1996; Vice President, Pentair Corporate Development from 1995 to 1996; President, Niagara Paper Corp. from 1992 to 1995; various positions with Pentair, Inc. from 1983 to 1992.</w:t>
      </w:r>
    </w:p>
    <w:p>
      <w:pPr>
        <w:spacing w:after="0" w:line="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Daryl I. Skaar.......................</w:t>
        <w:tab/>
        <w:t>Retired; Vice President, Chief Procurement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Officer of Lucent Technologies from 1997 to</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2000; various positions at 3M from 1965 to</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1997, most recently as Vice President of</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Purchasing and Packaging Engineering.</w:t>
      </w:r>
    </w:p>
    <w:p>
      <w:pPr>
        <w:spacing w:after="0" w:line="354" w:lineRule="exact"/>
        <w:rPr>
          <w:sz w:val="20"/>
          <w:szCs w:val="20"/>
          <w:color w:val="auto"/>
        </w:rPr>
      </w:pPr>
    </w:p>
    <w:p>
      <w:pPr>
        <w:ind w:right="460" w:firstLine="364"/>
        <w:spacing w:after="0" w:line="247" w:lineRule="auto"/>
        <w:rPr>
          <w:sz w:val="20"/>
          <w:szCs w:val="20"/>
          <w:color w:val="auto"/>
        </w:rPr>
      </w:pPr>
      <w:r>
        <w:rPr>
          <w:rFonts w:ascii="Courier New" w:cs="Courier New" w:eastAsia="Courier New" w:hAnsi="Courier New"/>
          <w:sz w:val="15"/>
          <w:szCs w:val="15"/>
          <w:color w:val="auto"/>
        </w:rPr>
        <w:t>Howard M. Hawkins and John R. Hawkins are brothers. Donald L. Shipp is the father-in-law of Kurt R. Norman. There are no other family relationships between officers or directors of the Company.</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SINCE</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91" w:lineRule="exact"/>
        <w:rPr>
          <w:sz w:val="20"/>
          <w:szCs w:val="20"/>
          <w:color w:val="auto"/>
        </w:rPr>
      </w:pPr>
    </w:p>
    <w:p>
      <w:pPr>
        <w:ind w:left="100"/>
        <w:spacing w:after="0"/>
        <w:tabs>
          <w:tab w:leader="none" w:pos="108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10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108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1974</w:t>
      </w:r>
    </w:p>
    <w:p>
      <w:pPr>
        <w:spacing w:after="0" w:line="354" w:lineRule="exact"/>
        <w:rPr>
          <w:sz w:val="20"/>
          <w:szCs w:val="20"/>
          <w:color w:val="auto"/>
        </w:rPr>
      </w:pPr>
    </w:p>
    <w:p>
      <w:pPr>
        <w:ind w:left="100"/>
        <w:spacing w:after="0"/>
        <w:tabs>
          <w:tab w:leader="none" w:pos="108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1977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58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88"/>
              </w:rPr>
              <w:t>56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1976</w:t>
            </w:r>
          </w:p>
        </w:tc>
      </w:tr>
      <w:tr>
        <w:trPr>
          <w:trHeight w:val="350"/>
        </w:trPr>
        <w:tc>
          <w:tcPr>
            <w:tcW w:w="58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88"/>
              </w:rPr>
              <w:t>56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1984</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00" w:hanging="1008"/>
        <w:spacing w:after="0"/>
        <w:tabs>
          <w:tab w:leader="none" w:pos="11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w:t>
      </w:r>
    </w:p>
    <w:p>
      <w:pPr>
        <w:spacing w:after="0" w:line="179" w:lineRule="exact"/>
        <w:rPr>
          <w:rFonts w:ascii="Courier New" w:cs="Courier New" w:eastAsia="Courier New" w:hAnsi="Courier New"/>
          <w:sz w:val="15"/>
          <w:szCs w:val="15"/>
          <w:color w:val="auto"/>
        </w:rPr>
      </w:pPr>
    </w:p>
    <w:p>
      <w:pPr>
        <w:ind w:left="1100" w:hanging="1008"/>
        <w:spacing w:after="0"/>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80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5"/>
          <w:szCs w:val="15"/>
          <w:color w:val="auto"/>
        </w:rPr>
        <w:t>nominee</w:t>
      </w:r>
    </w:p>
    <w:p>
      <w:pPr>
        <w:sectPr>
          <w:pgSz w:w="11900" w:h="16838" w:orient="portrait"/>
          <w:cols w:equalWidth="0" w:num="2">
            <w:col w:w="7720" w:space="360"/>
            <w:col w:w="2139"/>
          </w:cols>
          <w:pgMar w:left="240" w:top="468" w:right="1440" w:bottom="1440" w:gutter="0" w:footer="0" w:header="0"/>
        </w:sectPr>
      </w:pPr>
    </w:p>
    <w:bookmarkStart w:id="6" w:name="page7"/>
    <w:bookmarkEnd w:id="6"/>
    <w:p>
      <w:pPr>
        <w:ind w:left="7"/>
        <w:spacing w:after="0"/>
        <w:rPr>
          <w:sz w:val="20"/>
          <w:szCs w:val="20"/>
          <w:color w:val="auto"/>
        </w:rPr>
      </w:pPr>
      <w:r>
        <w:rPr>
          <w:rFonts w:ascii="Courier New" w:cs="Courier New" w:eastAsia="Courier New" w:hAnsi="Courier New"/>
          <w:sz w:val="15"/>
          <w:szCs w:val="15"/>
          <w:color w:val="auto"/>
        </w:rPr>
        <w:t>ADDITIONAL INFORMATION ABOUT THE BOARD OF DIRECTORS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Board of Directors held four meetings in fiscal 2000. All directors attended at least 75% of the total number of meetings of the Board and the committees on which they served. The Audit Committee, which presently consists of John S. McKeon, Duane M. Jergenson and G. Robert Gey, is responsible for selecting auditors, ensuring the fiscal integrity of the Company, and establishing and reviewing internal controls. The Audit Committee held four meetings during fiscal 2000. The Compensation Committee, which consists of John S. McKeon, Duane M. Jergenson and G. Robert Gey, is responsible for establishing compensation policies for the Company and for reviewing and setting compensation for senior executives of the Company. The Compensation Committee held three meetings during fiscal 2000.</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NOMINATION</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Sections 8 through 11 of Article II of the Company's Second Amended and Superseding By-Laws, as currently in effect (the "Bylaws"), provide that a candidate may not be nominated for election as a director at the annual meeting of shareholders unless the nomination was previously submitted to the Board or its nominating committee. A shareholder wishing to nominate a candidate for director must do so no later than sixty days following the end of the Company's fiscal year. Nominations are deemed made when the Secretary of the Company receives all of the following: (1) all information about the nominee that may be required to be provided in any proxy statement pursuant to the Securities Exchange Act of 1934 and regulations promulgated thereunder; (2) an executed directors' questionnaire provided by the Company and completed by the nominee;</w:t>
      </w:r>
    </w:p>
    <w:p>
      <w:pPr>
        <w:spacing w:after="0" w:line="7" w:lineRule="exact"/>
        <w:rPr>
          <w:sz w:val="20"/>
          <w:szCs w:val="20"/>
          <w:color w:val="auto"/>
        </w:rPr>
      </w:pPr>
    </w:p>
    <w:p>
      <w:pPr>
        <w:ind w:left="7" w:right="2959" w:hanging="7"/>
        <w:spacing w:after="0" w:line="246" w:lineRule="auto"/>
        <w:tabs>
          <w:tab w:leader="none" w:pos="3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nominee's statement consenting to his nomination and agreeing to serve, if elected; and (4) evidence that the person making the nomination is a shareholder. After reviewing the submission, the Board or the appointed nominating committee may, but need not, designate one or more of the nominees to appear as an alternate candidate on any proxy solicited by management or any proxy statement furnished by management. The number of such alternate candidates may not exceed the number of directors to be elected at that annual meeting. Exclusion of any eligible candidate from a proxy solicited by management does not affect the right of shareholders to nominate, vote for, or elect such candidate at any shareholders' meeting held within twelve months after submission of the nomination material described above.</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DIRECTOR COMPENSATION</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During fiscal 2000, each director who is not an employee of the Company was paid $12,000 as an annual retainer plus $1,000 for each meeting attended.</w:t>
      </w:r>
    </w:p>
    <w:p>
      <w:pPr>
        <w:spacing w:after="0" w:line="175"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THE BOARD OF DIRECTORS RECOMMENDS A VOTE "FOR" THE ELECTION OF ALL NOMINEES FOR DIRECTOR.</w:t>
      </w:r>
    </w:p>
    <w:p>
      <w:pPr>
        <w:spacing w:after="0" w:line="17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AMENDMENT OF ARTICLES OF INCORPORATION</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TO CHANGE CORPORATE NAME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(PROPOSAL 2)</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Board of Directors of the Company has recommended to the shareholders that the Company's corporate name be changed to "Hawkins, Inc." Currently, the Company's legal name is "Hawkins Chemical, Inc." The Board believes that the change of name will benefit the Company by reflecting the fact that the Company has expanded its original business from the distribution of chemicals to include the formulation of products, including food and pharmaceutical products as well as distribution of equipment, including water treatment equipment. The Board also would like to avoid any negative perceptions because of environmental or other risks associated with the use of the word "chemicals" that are not applicable to the Company's business.</w:t>
      </w:r>
    </w:p>
    <w:p>
      <w:pPr>
        <w:spacing w:after="0" w:line="1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468" w:right="1440" w:bottom="1440" w:gutter="0" w:footer="0" w:header="0"/>
        </w:sectPr>
      </w:pPr>
    </w:p>
    <w:bookmarkStart w:id="7" w:name="page8"/>
    <w:bookmarkEnd w:id="7"/>
    <w:p>
      <w:pPr>
        <w:ind w:right="3039" w:firstLine="364"/>
        <w:spacing w:after="0" w:line="246" w:lineRule="auto"/>
        <w:rPr>
          <w:sz w:val="20"/>
          <w:szCs w:val="20"/>
          <w:color w:val="auto"/>
        </w:rPr>
      </w:pPr>
      <w:r>
        <w:rPr>
          <w:rFonts w:ascii="Courier New" w:cs="Courier New" w:eastAsia="Courier New" w:hAnsi="Courier New"/>
          <w:sz w:val="15"/>
          <w:szCs w:val="15"/>
          <w:color w:val="auto"/>
        </w:rPr>
        <w:t>The change of name requires an amendment of Article I of the Company's Amended and Second Restated Articles of Incorporation. If approved, the amendment will be filed with the Minnesota Secretary of State and will be effective upon filing. If approved, shareholders will not have to surrender their stock certificates for replacements. As transfers occur, new certificates reflecting the name Hawkins, Inc. will be issued after the name change becomes effective. The Nasdaq trading symbol "HWKN" will not be changed.</w:t>
      </w:r>
    </w:p>
    <w:p>
      <w:pPr>
        <w:spacing w:after="0" w:line="179"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The resolution proposed to be adopted to amend the Amended and Second Restated Articles of Incorporation is set forth below:</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RESOLVED, that Article I of the Amended and Second Restated Articles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the Company shall be amended to read as follows: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NAME OF THE CORPORATION IS HAWKINS, INC."</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Adoption of this amendment only requires the affirmative vote of the holders of a majority of the outstanding shares of the Company's common stock. Accordingly, abstentions and broker non-votes will have the effect of a vote against this amendment. Since management owns approximately 5% of the outstanding shares entitled to vote on this matter, their vote will not have a significant impact on the outcome.</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BOARD OF DIRECTORS RECOMMENDS A VOTE "FOR" THIS AMENDMENT.</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OTHER MATTERS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Management does not know of any other business which will be presented for consideration at the annual meeting. If, however, any other business does properly come before the meeting, proxies will be voted in accordance with the judgment of the person or persons acting under them as to what is in the best interests of the Company.</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INDEPENDENT PUBLIC ACCOUNTANTS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Deloitte &amp; Touche LLP, independent certified public accountants, have been the auditors of the Company since 1971. They have been retained by the Board of Directors as the Company's auditors for the current fiscal year.</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Audit services performed by Deloitte &amp; Touche LLP for the year ended October 1, 2000 consisted of the examination of the financial statements of the Company and services related to filings with the Securities and Exchange Commission. All services rendered by Deloitte &amp; Touche LLP are reviewed and approved by the Board of Directors. The Board of Directors has not specifically considered the independence of the auditors in relation to the services rendered, but the auditors have informed the Company that neither the firm nor any of its partners holds any financial interest in the securities of the Company.</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Representatives of Deloitte &amp; Touche LLP are expected to attend this annual meeting with the opportunity to make a statement if they desire. They will be available to respond to appropriate questions.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8" w:right="1440" w:bottom="1440" w:gutter="0" w:footer="0" w:header="0"/>
        </w:sectPr>
      </w:pPr>
    </w:p>
    <w:bookmarkStart w:id="8" w:name="page9"/>
    <w:bookmarkEnd w:id="8"/>
    <w:p>
      <w:pPr>
        <w:ind w:left="1080"/>
        <w:spacing w:after="0"/>
        <w:rPr>
          <w:sz w:val="20"/>
          <w:szCs w:val="20"/>
          <w:color w:val="auto"/>
        </w:rPr>
      </w:pPr>
      <w:r>
        <w:rPr>
          <w:rFonts w:ascii="Courier New" w:cs="Courier New" w:eastAsia="Courier New" w:hAnsi="Courier New"/>
          <w:sz w:val="15"/>
          <w:szCs w:val="15"/>
          <w:color w:val="auto"/>
        </w:rPr>
        <w:t>REPORT OF THE AUDIT COMMITTEE OF THE BOARD OF DIRECTORS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Audit Committee of the Board of Directors is responsible for selecting auditors, ensuring the fiscal integrity of the Company and establishing and reviewing internal controls. The Audit Committee was comprised of the following directors during fiscal 2000:</w:t>
      </w:r>
    </w:p>
    <w:p>
      <w:pPr>
        <w:spacing w:after="0" w:line="200" w:lineRule="exact"/>
        <w:rPr>
          <w:sz w:val="20"/>
          <w:szCs w:val="20"/>
          <w:color w:val="auto"/>
        </w:rPr>
      </w:pPr>
    </w:p>
    <w:p>
      <w:pPr>
        <w:spacing w:after="0" w:line="327"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5"/>
          <w:szCs w:val="15"/>
          <w:color w:val="auto"/>
        </w:rPr>
        <w:t>NAME OF DIRECTOR</w:t>
      </w:r>
      <w:r>
        <w:rPr>
          <w:sz w:val="20"/>
          <w:szCs w:val="20"/>
          <w:color w:val="auto"/>
        </w:rPr>
        <w:tab/>
      </w:r>
      <w:r>
        <w:rPr>
          <w:rFonts w:ascii="Courier New" w:cs="Courier New" w:eastAsia="Courier New" w:hAnsi="Courier New"/>
          <w:sz w:val="15"/>
          <w:szCs w:val="15"/>
          <w:color w:val="auto"/>
        </w:rPr>
        <w:t>DIRECTOR SINCE</w:t>
      </w:r>
    </w:p>
    <w:p>
      <w:pPr>
        <w:spacing w:after="0" w:line="5"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dot" w:pos="6060" w:val="left"/>
        </w:tabs>
        <w:rPr>
          <w:sz w:val="20"/>
          <w:szCs w:val="20"/>
          <w:color w:val="auto"/>
        </w:rPr>
      </w:pPr>
      <w:r>
        <w:rPr>
          <w:rFonts w:ascii="Courier New" w:cs="Courier New" w:eastAsia="Courier New" w:hAnsi="Courier New"/>
          <w:sz w:val="15"/>
          <w:szCs w:val="15"/>
          <w:color w:val="auto"/>
        </w:rPr>
        <w:t>John S. McKeon, Chair</w:t>
      </w:r>
      <w:r>
        <w:rPr>
          <w:sz w:val="20"/>
          <w:szCs w:val="20"/>
          <w:color w:val="auto"/>
        </w:rPr>
        <w:tab/>
      </w:r>
      <w:r>
        <w:rPr>
          <w:rFonts w:ascii="Courier New" w:cs="Courier New" w:eastAsia="Courier New" w:hAnsi="Courier New"/>
          <w:sz w:val="15"/>
          <w:szCs w:val="15"/>
          <w:color w:val="auto"/>
        </w:rPr>
        <w:t>1984</w:t>
      </w:r>
    </w:p>
    <w:p>
      <w:pPr>
        <w:spacing w:after="0" w:line="5" w:lineRule="exact"/>
        <w:rPr>
          <w:sz w:val="20"/>
          <w:szCs w:val="20"/>
          <w:color w:val="auto"/>
        </w:rPr>
      </w:pPr>
    </w:p>
    <w:p>
      <w:pPr>
        <w:spacing w:after="0"/>
        <w:tabs>
          <w:tab w:leader="dot" w:pos="6060" w:val="left"/>
        </w:tabs>
        <w:rPr>
          <w:sz w:val="20"/>
          <w:szCs w:val="20"/>
          <w:color w:val="auto"/>
        </w:rPr>
      </w:pPr>
      <w:r>
        <w:rPr>
          <w:rFonts w:ascii="Courier New" w:cs="Courier New" w:eastAsia="Courier New" w:hAnsi="Courier New"/>
          <w:sz w:val="15"/>
          <w:szCs w:val="15"/>
          <w:color w:val="auto"/>
        </w:rPr>
        <w:t>Duane M. Jergenson</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tabs>
          <w:tab w:leader="dot" w:pos="6060" w:val="left"/>
        </w:tabs>
        <w:rPr>
          <w:sz w:val="20"/>
          <w:szCs w:val="20"/>
          <w:color w:val="auto"/>
        </w:rPr>
      </w:pPr>
      <w:r>
        <w:rPr>
          <w:rFonts w:ascii="Courier New" w:cs="Courier New" w:eastAsia="Courier New" w:hAnsi="Courier New"/>
          <w:sz w:val="15"/>
          <w:szCs w:val="15"/>
          <w:color w:val="auto"/>
        </w:rPr>
        <w:t>G. Robert Gey</w:t>
      </w:r>
      <w:r>
        <w:rPr>
          <w:sz w:val="20"/>
          <w:szCs w:val="20"/>
          <w:color w:val="auto"/>
        </w:rPr>
        <w:tab/>
      </w:r>
      <w:r>
        <w:rPr>
          <w:rFonts w:ascii="Courier New" w:cs="Courier New" w:eastAsia="Courier New" w:hAnsi="Courier New"/>
          <w:sz w:val="15"/>
          <w:szCs w:val="15"/>
          <w:color w:val="auto"/>
        </w:rPr>
        <w:t>1999</w:t>
      </w:r>
    </w:p>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fiscal 2000, the Committee considered the revised requirements for members of audit committees adopted by the Securities and Exchange Commission ("SEC"). All of the members of the Committee have been determined to be independent. None of the members of the Committee were officers or employees of the Company during fiscal 2000 or had a relationship with the Company that would, in the opinion of the Board of Directors, interfere with the exercise of his independence from management and the Company. All of the members of the Audit Committee have substantial experience in financial matters and business operations.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Audit Committee has (i) reviewed and discussed the Company's audited financial statements with management; (ii) discussed with the Company's independent auditors, Deloitte &amp; Touche, LLP, the matters required to be discussed by Statement on Auditing Standards No. 61; and (iii) received from the auditors disclosures regarding the auditors' independence required by Independence Standards Board Standard No. 1 and discussed with the auditors the auditors' independence. Based on the review and discussions described above, the Audit Committee recommended to the Board of Directors that the Company's audited financial statements for the year ended October 1, 2000 be included in the Company's Annual Report on Form 10-K for filing with the SEC.</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Audit Committee also reviewed its charter in light of the "Blue Ribbon Committee Report" concerning audit committees and the rules adopted by the SEC. The revised charter has been adopted by the Board of Directors and is attached as Appendix I to this Proxy Statement.</w:t>
      </w:r>
    </w:p>
    <w:p>
      <w:pPr>
        <w:spacing w:after="0" w:line="177" w:lineRule="exact"/>
        <w:rPr>
          <w:sz w:val="20"/>
          <w:szCs w:val="20"/>
          <w:color w:val="auto"/>
        </w:rPr>
      </w:pPr>
    </w:p>
    <w:p>
      <w:pPr>
        <w:ind w:left="620"/>
        <w:spacing w:after="0"/>
        <w:tabs>
          <w:tab w:leader="none" w:pos="3160" w:val="left"/>
          <w:tab w:leader="none" w:pos="5420" w:val="left"/>
        </w:tabs>
        <w:rPr>
          <w:sz w:val="20"/>
          <w:szCs w:val="20"/>
          <w:color w:val="auto"/>
        </w:rPr>
      </w:pPr>
      <w:r>
        <w:rPr>
          <w:rFonts w:ascii="Courier New" w:cs="Courier New" w:eastAsia="Courier New" w:hAnsi="Courier New"/>
          <w:sz w:val="15"/>
          <w:szCs w:val="15"/>
          <w:color w:val="auto"/>
        </w:rPr>
        <w:t>JOHN S. MCKEON, CHAIR</w:t>
      </w:r>
      <w:r>
        <w:rPr>
          <w:sz w:val="20"/>
          <w:szCs w:val="20"/>
          <w:color w:val="auto"/>
        </w:rPr>
        <w:tab/>
      </w:r>
      <w:r>
        <w:rPr>
          <w:rFonts w:ascii="Courier New" w:cs="Courier New" w:eastAsia="Courier New" w:hAnsi="Courier New"/>
          <w:sz w:val="15"/>
          <w:szCs w:val="15"/>
          <w:color w:val="auto"/>
        </w:rPr>
        <w:t>DUANE M. JERGENSON</w:t>
      </w:r>
      <w:r>
        <w:rPr>
          <w:sz w:val="20"/>
          <w:szCs w:val="20"/>
          <w:color w:val="auto"/>
        </w:rPr>
        <w:tab/>
      </w:r>
      <w:r>
        <w:rPr>
          <w:rFonts w:ascii="Courier New" w:cs="Courier New" w:eastAsia="Courier New" w:hAnsi="Courier New"/>
          <w:sz w:val="15"/>
          <w:szCs w:val="15"/>
          <w:color w:val="auto"/>
        </w:rPr>
        <w:t>G. ROBERT GEY</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AUDIT COMMITTEE OF THE BOARD OF DIRECTORS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8" w:right="1440" w:bottom="1440" w:gutter="0" w:footer="0" w:header="0"/>
        </w:sectPr>
      </w:pPr>
    </w:p>
    <w:bookmarkStart w:id="9" w:name="page10"/>
    <w:bookmarkEnd w:id="9"/>
    <w:p>
      <w:pPr>
        <w:jc w:val="center"/>
        <w:ind w:right="3032"/>
        <w:spacing w:after="0"/>
        <w:rPr>
          <w:sz w:val="20"/>
          <w:szCs w:val="20"/>
          <w:color w:val="auto"/>
        </w:rPr>
      </w:pPr>
      <w:r>
        <w:rPr>
          <w:rFonts w:ascii="Courier New" w:cs="Courier New" w:eastAsia="Courier New" w:hAnsi="Courier New"/>
          <w:sz w:val="15"/>
          <w:szCs w:val="15"/>
          <w:color w:val="auto"/>
        </w:rPr>
        <w:t>COMPENSATION AND OTHER BENEFITS</w:t>
      </w:r>
    </w:p>
    <w:p>
      <w:pPr>
        <w:spacing w:after="0" w:line="180" w:lineRule="exact"/>
        <w:rPr>
          <w:sz w:val="20"/>
          <w:szCs w:val="20"/>
          <w:color w:val="auto"/>
        </w:rPr>
      </w:pPr>
    </w:p>
    <w:p>
      <w:pPr>
        <w:jc w:val="both"/>
        <w:ind w:left="7" w:right="3419" w:firstLine="364"/>
        <w:spacing w:after="0" w:line="246" w:lineRule="auto"/>
        <w:rPr>
          <w:sz w:val="20"/>
          <w:szCs w:val="20"/>
          <w:color w:val="auto"/>
        </w:rPr>
      </w:pPr>
      <w:r>
        <w:rPr>
          <w:rFonts w:ascii="Courier New" w:cs="Courier New" w:eastAsia="Courier New" w:hAnsi="Courier New"/>
          <w:sz w:val="15"/>
          <w:szCs w:val="15"/>
          <w:color w:val="auto"/>
        </w:rPr>
        <w:t>The following table sets forth the compensation of the Chief Executive Officer and the four highest paid executive officers whose aggregate annual salary and bonus exceeded $100,000 for the Company's last fiscal year ended October 1, 2000 (collectively, the "Named Executive Officers"):</w:t>
      </w:r>
    </w:p>
    <w:p>
      <w:pPr>
        <w:spacing w:after="0" w:line="17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368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SUMMARY COMPENSATION TABLE</w:t>
            </w: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99"/>
        </w:trPr>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 COMPENSATION</w:t>
            </w:r>
          </w:p>
        </w:tc>
        <w:tc>
          <w:tcPr>
            <w:tcW w:w="15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5"/>
        </w:trPr>
        <w:tc>
          <w:tcPr>
            <w:tcW w:w="1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680" w:type="dxa"/>
            <w:vAlign w:val="bottom"/>
            <w:gridSpan w:val="4"/>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spacing w:after="0"/>
              <w:rPr>
                <w:sz w:val="15"/>
                <w:szCs w:val="15"/>
                <w:color w:val="auto"/>
              </w:rPr>
            </w:pPr>
          </w:p>
        </w:tc>
      </w:tr>
      <w:tr>
        <w:trPr>
          <w:trHeight w:val="175"/>
        </w:trPr>
        <w:tc>
          <w:tcPr>
            <w:tcW w:w="1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FISCAL</w:t>
            </w: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OTHER ANNUAL</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ALL OTHER</w:t>
            </w:r>
          </w:p>
        </w:tc>
      </w:tr>
      <w:tr>
        <w:trPr>
          <w:trHeight w:val="175"/>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NAME AND PRINCIPAL POSITION</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SALARY</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BONUS</w:t>
            </w:r>
          </w:p>
        </w:tc>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COMPENSATION(a)</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COMPENSATION(b)(c)</w:t>
            </w:r>
          </w:p>
        </w:tc>
      </w:tr>
      <w:tr>
        <w:trPr>
          <w:trHeight w:val="175"/>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John R. Hawkins (1)................</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$155,988</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$160,000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Chairman of the Board and</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146,560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173,400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Chief Executive Officer</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138,440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131,000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35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Donald L. Shipp (2)................</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$161,500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$147,000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Former Vice Chairman of the</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156,773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196,600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Board and President</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151,333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157,000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35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Kurt R. Norman (3)</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$130,915</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and Chief Operating</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111,788</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64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101,173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91,500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35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John R. Sevenich...................</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$110,683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$ 74,000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w w:val="98"/>
              </w:rPr>
              <w:t>Vice President--</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Manufacturing</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102,817</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and Specialty</w:t>
            </w:r>
          </w:p>
        </w:tc>
        <w:tc>
          <w:tcPr>
            <w:tcW w:w="164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96,000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35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Daniel E. Soderlund................</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$109,497</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$ 69,000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w w:val="98"/>
              </w:rPr>
              <w:t>Vice President--</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Pharmaceuticals</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96,433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90,700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31,350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hanging="367"/>
        <w:spacing w:after="0"/>
        <w:tabs>
          <w:tab w:leader="none" w:pos="36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Hawkins was elected Chairman and CEO effective February 16, 2000.</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Shipp retired as Vice Chairman effective September 30, 2000.</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Norman was elected President and COO effective February 16, 2000.</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EMPLOYEE STOCK PURCHASE PLAN</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All employees of the Company who have attained the age of 18 years and who have been employed by the Company for 90 days are eligible to participate in the Company's Employee Stock Purchase Plan. Under the Plan, each participant authorizes the Company to deduct a specified amount, not to exceed $500, from his paycheck each month, to which the Company adds a bonus of 75% of such amount, to be used by a depository agent to purchase common shares of the Company's stock for the participant's individual account under the Plan. Shares purchased with the Company's bonus vest over a five-year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 MONEY PURCHASE PENSION PLAN</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Non-bargaining employees of the Company who have attained the age of 21 years and completed one year of service are eligible to participate in this defined contribution pension plan. For each year, the Company contributes an amount equal to ten percent of an eligible participant's compensation, and this amount is credited to an account maintained for the participant under the Plan. The maximum annual compensation that may be used to determine Plan benefits is capped at $160,000 for the current plan year; this limit will be adjusted in future years under federal tax law for cost-of-living increases.</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468" w:right="1440" w:bottom="1440" w:gutter="0" w:footer="0" w:header="0"/>
        </w:sectPr>
      </w:pPr>
    </w:p>
    <w:bookmarkStart w:id="10" w:name="page11"/>
    <w:bookmarkEnd w:id="10"/>
    <w:p>
      <w:pPr>
        <w:ind w:right="3039" w:firstLine="364"/>
        <w:spacing w:after="0" w:line="246" w:lineRule="auto"/>
        <w:rPr>
          <w:sz w:val="20"/>
          <w:szCs w:val="20"/>
          <w:color w:val="auto"/>
        </w:rPr>
      </w:pPr>
      <w:r>
        <w:rPr>
          <w:rFonts w:ascii="Courier New" w:cs="Courier New" w:eastAsia="Courier New" w:hAnsi="Courier New"/>
          <w:sz w:val="15"/>
          <w:szCs w:val="15"/>
          <w:color w:val="auto"/>
        </w:rPr>
        <w:t>Participant accounts are credited with the appropriate gains or losses resulting from employee-directed investments made by the Plan. A participant is fully vested after completing seven years of service. At retirement, the participant receives the amount credited to his or her account either as a lump sum, in installments, or in the form of an annuity contract.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EMPLOYEE STOCK OWNERSHIP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Non-bargaining employees of the Company who have attained the age of 21 years and completed one year of service are eligible to participate in the Company's Employee Stock Ownership Plan. Contributions to this Plan are made at the discretion of the Board of Directors and credited to individual accounts maintained for participants under the Plan.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amount of each contribution credited to a participant's account is proportionate to that participant's compensation compared to the total compensation paid to all participants in the Plan. The maximum annual compensation that may be used to determine benefits in the current plan year is $160,000, which amount will be adjusted in future years for cost-of-living increases. In addition, the aggregate amount contributed in any one plan year for a participant under the Money Purchase Pension Plan and Employee Stock Ownership Plan may not exceed the lesser of 25% of compensation or $30,000.</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Participant accounts in the Employee Stock Ownership Plan are also credited with the appropriate gains or losses resulting from Plan investments. A participant is fully vested after completing seven years of service. At retirement, the participant receives the amount credited to his or her account either as a lump sum or in installments.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AND EXERCISES IN FISCAL 2000</w:t>
      </w:r>
    </w:p>
    <w:p>
      <w:pPr>
        <w:spacing w:after="0" w:line="180" w:lineRule="exact"/>
        <w:rPr>
          <w:sz w:val="20"/>
          <w:szCs w:val="20"/>
          <w:color w:val="auto"/>
        </w:rPr>
      </w:pPr>
    </w:p>
    <w:p>
      <w:pPr>
        <w:ind w:right="3679" w:firstLine="364"/>
        <w:spacing w:after="0" w:line="247" w:lineRule="auto"/>
        <w:rPr>
          <w:sz w:val="20"/>
          <w:szCs w:val="20"/>
          <w:color w:val="auto"/>
        </w:rPr>
      </w:pPr>
      <w:r>
        <w:rPr>
          <w:rFonts w:ascii="Courier New" w:cs="Courier New" w:eastAsia="Courier New" w:hAnsi="Courier New"/>
          <w:sz w:val="15"/>
          <w:szCs w:val="15"/>
          <w:color w:val="auto"/>
        </w:rPr>
        <w:t>There were no options granted to or exercised by the Named Executive Officers in fiscal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REPRICING OF OPTIONS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All decisions regarding compensation of executive officers of the Company in fiscal 2000 were made by the Compensation Committee of the Board of Directors. During fiscal 2000, the Compensation Committee was made up of the following directors: John S. McKeon, Duane M. Jergenson and G. Robert Gey. None of the current officers of the Company participates in any board vote setting his annual salary or bonus.</w:t>
      </w:r>
    </w:p>
    <w:p>
      <w:pPr>
        <w:spacing w:after="0" w:line="178"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COMPENSATION COMMITTEE REPORT ON ANNUAL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annual compensation programs of the Company are highly leveraged on the basis of performance. The Company's annual compensation mix generally has lower base salaries than comparable companies, coupled with a highly leveraged incentive system which will pay more with good performance and less with below par performance.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SALARIES</w:t>
      </w:r>
    </w:p>
    <w:p>
      <w:pPr>
        <w:spacing w:after="0" w:line="180" w:lineRule="exact"/>
        <w:rPr>
          <w:sz w:val="20"/>
          <w:szCs w:val="20"/>
          <w:color w:val="auto"/>
        </w:rPr>
      </w:pPr>
    </w:p>
    <w:p>
      <w:pPr>
        <w:ind w:right="3779" w:firstLine="364"/>
        <w:spacing w:after="0" w:line="247" w:lineRule="auto"/>
        <w:rPr>
          <w:sz w:val="20"/>
          <w:szCs w:val="20"/>
          <w:color w:val="auto"/>
        </w:rPr>
      </w:pPr>
      <w:r>
        <w:rPr>
          <w:rFonts w:ascii="Courier New" w:cs="Courier New" w:eastAsia="Courier New" w:hAnsi="Courier New"/>
          <w:sz w:val="15"/>
          <w:szCs w:val="15"/>
          <w:color w:val="auto"/>
        </w:rPr>
        <w:t>The salary increase of the Company's executive officers are tied to inflation, performance and increase in corporate profits.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EXECUTIVE BONUS PLAN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bonus plan for executive officers is based on the following factors: corporate performance, business unit performance and personal performance. The corporate performance rating is based on the Company's percentage growth in earnings per share over the prior year and its return on equity. These two factors are the primary determinants of share price over time. Business unit ratings are based primarily on profit performance (market share performance, new product development, workplace diversity and other factors are also considered). Personal ratings can include such qualitative factors as quality of the strategic plan, organizational and management development progress and industry, public affairs, and civic involvement.</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Corporate business unit ratings can range from .5 to 1.8 with top annual performance represented by a 1.5 or higher rating. Personal ratings can range from 0.0 to 1.5. These ratings are then combined with the participant's target incentive participation rate (a percentage of base salary which increases for higher positions within the Company). Both business unit and personal ratings are heavily dependent on achievement of financial objectives. The weights for executive officers are 50% corporate and 50% personal, while business unit officers are generally 38% unit, 12% corporate and 50% personal. The total corporate bonus package is approximately 11% of the Company's income from operations.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compensation of John R. Hawkins, Chief Executive Officer, is determined in the same manner as set forth above for all other executive officers.</w:t>
      </w:r>
    </w:p>
    <w:p>
      <w:pPr>
        <w:spacing w:after="0" w:line="175" w:lineRule="exact"/>
        <w:rPr>
          <w:sz w:val="20"/>
          <w:szCs w:val="20"/>
          <w:color w:val="auto"/>
        </w:rPr>
      </w:pPr>
    </w:p>
    <w:p>
      <w:pPr>
        <w:ind w:left="820"/>
        <w:spacing w:after="0"/>
        <w:tabs>
          <w:tab w:leader="none" w:pos="2880" w:val="left"/>
          <w:tab w:leader="none" w:pos="5340" w:val="left"/>
        </w:tabs>
        <w:rPr>
          <w:sz w:val="20"/>
          <w:szCs w:val="20"/>
          <w:color w:val="auto"/>
        </w:rPr>
      </w:pPr>
      <w:r>
        <w:rPr>
          <w:rFonts w:ascii="Courier New" w:cs="Courier New" w:eastAsia="Courier New" w:hAnsi="Courier New"/>
          <w:sz w:val="15"/>
          <w:szCs w:val="15"/>
          <w:color w:val="auto"/>
        </w:rPr>
        <w:t>JOHN S. MCKEON</w:t>
      </w:r>
      <w:r>
        <w:rPr>
          <w:sz w:val="20"/>
          <w:szCs w:val="20"/>
          <w:color w:val="auto"/>
        </w:rPr>
        <w:tab/>
      </w:r>
      <w:r>
        <w:rPr>
          <w:rFonts w:ascii="Courier New" w:cs="Courier New" w:eastAsia="Courier New" w:hAnsi="Courier New"/>
          <w:sz w:val="15"/>
          <w:szCs w:val="15"/>
          <w:color w:val="auto"/>
        </w:rPr>
        <w:t>DUANE M. JERGENSON</w:t>
      </w:r>
      <w:r>
        <w:rPr>
          <w:sz w:val="20"/>
          <w:szCs w:val="20"/>
          <w:color w:val="auto"/>
        </w:rPr>
        <w:tab/>
      </w:r>
      <w:r>
        <w:rPr>
          <w:rFonts w:ascii="Courier New" w:cs="Courier New" w:eastAsia="Courier New" w:hAnsi="Courier New"/>
          <w:sz w:val="15"/>
          <w:szCs w:val="15"/>
          <w:color w:val="auto"/>
        </w:rPr>
        <w:t>G. ROBERT GEY</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COMPENSATION COMMITTEE OF THE BOARD OF DIRECTORS</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RELATED PARTY TRANSACTIONS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8" w:right="1440" w:bottom="1440" w:gutter="0" w:footer="0" w:header="0"/>
        </w:sectPr>
      </w:pPr>
    </w:p>
    <w:bookmarkStart w:id="12" w:name="page13"/>
    <w:bookmarkEnd w:id="12"/>
    <w:p>
      <w:pPr>
        <w:jc w:val="center"/>
        <w:ind w:right="3039"/>
        <w:spacing w:after="0"/>
        <w:rPr>
          <w:sz w:val="20"/>
          <w:szCs w:val="20"/>
          <w:color w:val="auto"/>
        </w:rPr>
      </w:pPr>
      <w:r>
        <w:rPr>
          <w:rFonts w:ascii="Courier New" w:cs="Courier New" w:eastAsia="Courier New" w:hAnsi="Courier New"/>
          <w:sz w:val="15"/>
          <w:szCs w:val="15"/>
          <w:color w:val="auto"/>
        </w:rPr>
        <w:t>COMPARATIVE STOCK PERFORMANCE GRAPH</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following is a graph comparing the annual percentage change in the cumulative total shareholder return on the Company's Common Stock with the cumulative total returns of the NASDAQ Composite Index and the NASDAQ Industrial Index for the Company's last five fiscal years. The graph assumes the investment of $100 in the Company's Common Stock, the NASDAQ Composite Index and the NASDAQ Industrial Index on October 1, 1995, and reinvestment of all dividends.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20"/>
                <w:szCs w:val="20"/>
                <w:color w:val="auto"/>
              </w:rPr>
            </w:pPr>
            <w:r>
              <w:rPr>
                <w:rFonts w:ascii="Courier New" w:cs="Courier New" w:eastAsia="Courier New" w:hAnsi="Courier New"/>
                <w:sz w:val="15"/>
                <w:szCs w:val="15"/>
                <w:color w:val="auto"/>
              </w:rPr>
              <w:t>DOLLARS</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NASDAQ INDUSTRIAL INDEX</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NASDAQ COMPOSITE INDEX</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HAWKINS CHEMICAL, INC.</w:t>
            </w:r>
          </w:p>
        </w:tc>
      </w:tr>
      <w:tr>
        <w:trPr>
          <w:trHeight w:val="350"/>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112.83</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117.87</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103.49</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139.62</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162.43</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139.82</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107.82</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166.67</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147.49</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165.07</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267.93</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113.98</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208.49</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351.96</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121.91</w:t>
            </w:r>
          </w:p>
        </w:tc>
      </w:tr>
    </w:tbl>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PROPOSALS BY SHAREHOLDERS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order for a shareholder proposal to be considered for inclusion in the Company's proxy statement for next year's annual meeting, the written proposal must be received by the Company at its principal executive office no later than September 17, 2001. Any such proposals also must comply with the rules and regulations of the Securities and Exchange Commission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the Company no later than December 1, 2001. The persons named as proxies by the Company for that meeting will have discretionary authority to vote on any shareholder proposal for which such notice is not properly received by the Company and as otherwise permitted pursuant to the Commission's rules and regulations regarding the voting of proxies. Any director nominations made by shareholders also must comply with the relevant provisions set forth in Article I of the Company's Bylaws, as described under the caption "Election of Directors--Nominations" elsewhere in this proxy statement. A copy of the Bylaws have been filed with the Commission and are available on the Commission's website (www.sec.gov) or they may be obtained by sending a written request to the Corporate Secretary at the Company's headquarters.</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8" w:right="1440" w:bottom="1440" w:gutter="0" w:footer="0" w:header="0"/>
        </w:sectPr>
      </w:pPr>
    </w:p>
    <w:bookmarkStart w:id="13" w:name="page14"/>
    <w:bookmarkEnd w:id="13"/>
    <w:p>
      <w:pPr>
        <w:ind w:left="3180"/>
        <w:spacing w:after="0"/>
        <w:rPr>
          <w:sz w:val="20"/>
          <w:szCs w:val="20"/>
          <w:color w:val="auto"/>
        </w:rPr>
      </w:pPr>
      <w:r>
        <w:rPr>
          <w:rFonts w:ascii="Courier New" w:cs="Courier New" w:eastAsia="Courier New" w:hAnsi="Courier New"/>
          <w:sz w:val="15"/>
          <w:szCs w:val="15"/>
          <w:color w:val="auto"/>
        </w:rPr>
        <w:t>FORM 10-K</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will provide each person whose proxy is solicited, upon receipt of a written request from such person, a copy of its annual report on Form 10-K as filed with the Securities and Exchange Commission, including the financial statements and financial statement schedules required to be filed with the Commission. Such written request should be directed to, Hawkins Chemical, Inc., 3100 East Hennepin Avenue, Minneapolis, Minnesota 55413, Attention: Corporate Secretary. The annual report on Form 10-K, as well as other Company reports, are also available on the Commission's website (www.sec.gov).</w:t>
      </w:r>
    </w:p>
    <w:p>
      <w:pPr>
        <w:spacing w:after="0" w:line="200" w:lineRule="exact"/>
        <w:rPr>
          <w:sz w:val="20"/>
          <w:szCs w:val="20"/>
          <w:color w:val="auto"/>
        </w:rPr>
      </w:pPr>
    </w:p>
    <w:p>
      <w:pPr>
        <w:spacing w:after="0" w:line="329"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5"/>
          <w:szCs w:val="15"/>
          <w:color w:val="auto"/>
        </w:rPr>
        <w:t>Dated: January 15, 2001.</w:t>
        <w:tab/>
        <w:t>BY ORDER OF THE BOARD OF DIRECTORS</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MARVIN E. DEE, SECRETARY</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8" w:right="1440" w:bottom="1440" w:gutter="0" w:footer="0" w:header="0"/>
        </w:sectPr>
      </w:pPr>
    </w:p>
    <w:bookmarkStart w:id="14" w:name="page15"/>
    <w:bookmarkEnd w:id="14"/>
    <w:p>
      <w:pPr>
        <w:jc w:val="right"/>
        <w:ind w:right="2959"/>
        <w:spacing w:after="0"/>
        <w:rPr>
          <w:sz w:val="20"/>
          <w:szCs w:val="20"/>
          <w:color w:val="auto"/>
        </w:rPr>
      </w:pPr>
      <w:r>
        <w:rPr>
          <w:rFonts w:ascii="Courier New" w:cs="Courier New" w:eastAsia="Courier New" w:hAnsi="Courier New"/>
          <w:sz w:val="15"/>
          <w:szCs w:val="15"/>
          <w:color w:val="auto"/>
        </w:rPr>
        <w:t>APPENDIX I</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AUDIT COMMITTEE CHARTER</w:t>
      </w:r>
    </w:p>
    <w:p>
      <w:pPr>
        <w:spacing w:after="0" w:line="180" w:lineRule="exact"/>
        <w:rPr>
          <w:sz w:val="20"/>
          <w:szCs w:val="20"/>
          <w:color w:val="auto"/>
        </w:rPr>
      </w:pPr>
    </w:p>
    <w:p>
      <w:pPr>
        <w:ind w:left="367" w:hanging="367"/>
        <w:spacing w:after="0"/>
        <w:tabs>
          <w:tab w:leader="none" w:pos="36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primary function of the Audit Committee is to assist the Board of Directors of Hawkins Chemical, Inc. in fulfilling its oversight responsibilities related to corporate accounting, financial reporting practices, quality and integrity of financial reports as well as legal compliance and business ethics. The Audit Committee's primary duties and responsibilities are to:</w:t>
      </w:r>
    </w:p>
    <w:p>
      <w:pPr>
        <w:spacing w:after="0" w:line="178" w:lineRule="exact"/>
        <w:rPr>
          <w:sz w:val="20"/>
          <w:szCs w:val="20"/>
          <w:color w:val="auto"/>
        </w:rPr>
      </w:pPr>
    </w:p>
    <w:p>
      <w:pPr>
        <w:ind w:left="547" w:right="2959" w:hanging="183"/>
        <w:spacing w:after="0" w:line="247" w:lineRule="auto"/>
        <w:tabs>
          <w:tab w:leader="none" w:pos="54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an open avenue of communication among the independent accountants, financial and senior management and the Board of Directors.</w:t>
      </w:r>
    </w:p>
    <w:p>
      <w:pPr>
        <w:spacing w:after="0" w:line="174" w:lineRule="exact"/>
        <w:rPr>
          <w:rFonts w:ascii="Courier New" w:cs="Courier New" w:eastAsia="Courier New" w:hAnsi="Courier New"/>
          <w:sz w:val="15"/>
          <w:szCs w:val="15"/>
          <w:color w:val="auto"/>
        </w:rPr>
      </w:pPr>
    </w:p>
    <w:p>
      <w:pPr>
        <w:ind w:left="547" w:right="3139" w:hanging="183"/>
        <w:spacing w:after="0" w:line="247" w:lineRule="auto"/>
        <w:tabs>
          <w:tab w:leader="none" w:pos="54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Serve as an independent and objective party to monitor the corporation's financial reporting process and internal control system.</w:t>
      </w:r>
    </w:p>
    <w:p>
      <w:pPr>
        <w:spacing w:after="0" w:line="174" w:lineRule="exact"/>
        <w:rPr>
          <w:rFonts w:ascii="Courier New" w:cs="Courier New" w:eastAsia="Courier New" w:hAnsi="Courier New"/>
          <w:sz w:val="15"/>
          <w:szCs w:val="15"/>
          <w:color w:val="auto"/>
        </w:rPr>
      </w:pPr>
    </w:p>
    <w:p>
      <w:pPr>
        <w:ind w:left="547" w:right="3319" w:hanging="183"/>
        <w:spacing w:after="0" w:line="247" w:lineRule="auto"/>
        <w:tabs>
          <w:tab w:leader="none" w:pos="54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appraise the audit efforts of the corporation's independent accountants.</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MEMBERSHIP</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Audit Committee shall be comprised of three or more directors as determined by the Board of Directors, each of whom shall be independent directors as defined in Rule 4200 of the National Association of Securities Dealers, Inc. The members will be free from any financial, family or other material personal relationships that, in the opinion of the Board or Audit Committee members, would interfere with the exercise of his or her independence from management and the corporation. All members of the Audit Committee will have a working familiarity with basic finance and accounting practices, and at least one member of the Audit Committee must have accounting or related financial management experience.</w:t>
      </w:r>
    </w:p>
    <w:p>
      <w:pPr>
        <w:spacing w:after="0" w:line="181"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members of the Audit Committee shall be elected by the Board of Directors at the annual organizational meeting of the Board of Directors. Unless the Board of Directors elects a Chair, the members of the Audit Committee may designate a Chair by majority vote of the Committee.</w:t>
      </w:r>
    </w:p>
    <w:p>
      <w:pPr>
        <w:spacing w:after="0" w:line="177" w:lineRule="exact"/>
        <w:rPr>
          <w:sz w:val="20"/>
          <w:szCs w:val="20"/>
          <w:color w:val="auto"/>
        </w:rPr>
      </w:pPr>
    </w:p>
    <w:p>
      <w:pPr>
        <w:ind w:left="547" w:hanging="547"/>
        <w:spacing w:after="0"/>
        <w:tabs>
          <w:tab w:leader="none" w:pos="5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Audit Committee will meet at least four times annually, either in person or by conference calls. A majority shall constitute a quorum of the Audit Committee. A majority of the members in attendance shall decide any questions brought before any meeting of the Committee.</w:t>
      </w:r>
    </w:p>
    <w:p>
      <w:pPr>
        <w:spacing w:after="0" w:line="177"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As part of its job to foster open communication, the Audit Committee has access to management and the independent accountants to discuss any matters that the Committee or any one of these groups feels need to be discussed privately. In addition, the Audit Committee or at least the Chair should meet with management quarterly to review the corporation's quarterly financial results prior to release.</w:t>
      </w:r>
    </w:p>
    <w:p>
      <w:pPr>
        <w:spacing w:after="0" w:line="178"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IV.</w:t>
        <w:tab/>
        <w:t>RESPONSIBILITIES AND DUTIES</w:t>
      </w:r>
    </w:p>
    <w:p>
      <w:pPr>
        <w:spacing w:after="0" w:line="180" w:lineRule="exact"/>
        <w:rPr>
          <w:sz w:val="20"/>
          <w:szCs w:val="20"/>
          <w:color w:val="auto"/>
        </w:rPr>
      </w:pPr>
    </w:p>
    <w:p>
      <w:pPr>
        <w:ind w:left="7" w:right="3599" w:firstLine="364"/>
        <w:spacing w:after="0" w:line="247" w:lineRule="auto"/>
        <w:rPr>
          <w:sz w:val="20"/>
          <w:szCs w:val="20"/>
          <w:color w:val="auto"/>
        </w:rPr>
      </w:pPr>
      <w:r>
        <w:rPr>
          <w:rFonts w:ascii="Courier New" w:cs="Courier New" w:eastAsia="Courier New" w:hAnsi="Courier New"/>
          <w:sz w:val="15"/>
          <w:szCs w:val="15"/>
          <w:color w:val="auto"/>
        </w:rPr>
        <w:t>The Audit Committee will fulfill their duties and responsibilities as follows:</w:t>
      </w:r>
    </w:p>
    <w:p>
      <w:pPr>
        <w:spacing w:after="0" w:line="175" w:lineRule="exact"/>
        <w:rPr>
          <w:sz w:val="20"/>
          <w:szCs w:val="20"/>
          <w:color w:val="auto"/>
        </w:rPr>
      </w:pPr>
    </w:p>
    <w:p>
      <w:pPr>
        <w:ind w:left="727" w:hanging="363"/>
        <w:spacing w:after="0"/>
        <w:tabs>
          <w:tab w:leader="none" w:pos="72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jc w:val="both"/>
        <w:ind w:left="547" w:right="3319" w:hanging="183"/>
        <w:spacing w:after="0" w:line="247" w:lineRule="auto"/>
        <w:tabs>
          <w:tab w:leader="none" w:pos="5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annually the formal written charter that is adopted by the full Board of Directors that specifies scope of responsibility, membership, etc.</w:t>
      </w:r>
    </w:p>
    <w:p>
      <w:pPr>
        <w:spacing w:after="0" w:line="174" w:lineRule="exact"/>
        <w:rPr>
          <w:rFonts w:ascii="Courier New" w:cs="Courier New" w:eastAsia="Courier New" w:hAnsi="Courier New"/>
          <w:sz w:val="15"/>
          <w:szCs w:val="15"/>
          <w:color w:val="auto"/>
        </w:rPr>
      </w:pPr>
    </w:p>
    <w:p>
      <w:pPr>
        <w:ind w:left="547" w:hanging="183"/>
        <w:spacing w:after="0"/>
        <w:tabs>
          <w:tab w:leader="none" w:pos="5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minutes or other records of meetings and activities.</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26"/>
          </w:cols>
          <w:pgMar w:left="233" w:top="468" w:right="1440" w:bottom="1440" w:gutter="0" w:footer="0" w:header="0"/>
        </w:sectPr>
      </w:pPr>
    </w:p>
    <w:bookmarkStart w:id="15" w:name="page16"/>
    <w:bookmarkEnd w:id="15"/>
    <w:p>
      <w:pPr>
        <w:ind w:left="540" w:right="3219" w:hanging="183"/>
        <w:spacing w:after="0" w:line="247"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Committee actions to the Board of Directors with recommendations the Committee may deem appropriate.</w:t>
      </w:r>
    </w:p>
    <w:p>
      <w:pPr>
        <w:spacing w:after="0" w:line="175" w:lineRule="exact"/>
        <w:rPr>
          <w:sz w:val="20"/>
          <w:szCs w:val="20"/>
          <w:color w:val="auto"/>
        </w:rPr>
      </w:pPr>
    </w:p>
    <w:p>
      <w:pPr>
        <w:ind w:left="720" w:hanging="363"/>
        <w:spacing w:after="0"/>
        <w:tabs>
          <w:tab w:leader="none" w:pos="7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ACCOUNTANTS</w:t>
      </w:r>
    </w:p>
    <w:p>
      <w:pPr>
        <w:spacing w:after="0" w:line="180" w:lineRule="exact"/>
        <w:rPr>
          <w:sz w:val="20"/>
          <w:szCs w:val="20"/>
          <w:color w:val="auto"/>
        </w:rPr>
      </w:pPr>
    </w:p>
    <w:p>
      <w:pPr>
        <w:ind w:left="540" w:right="3139" w:hanging="183"/>
        <w:spacing w:after="0" w:line="246"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to the Board of Directors the selection of independent accountants for the annual financial audit, considering independence and effectiveness. Review and approve the discharge of the independent accountants.</w:t>
      </w:r>
    </w:p>
    <w:p>
      <w:pPr>
        <w:spacing w:after="0" w:line="177" w:lineRule="exact"/>
        <w:rPr>
          <w:rFonts w:ascii="Courier New" w:cs="Courier New" w:eastAsia="Courier New" w:hAnsi="Courier New"/>
          <w:sz w:val="15"/>
          <w:szCs w:val="15"/>
          <w:color w:val="auto"/>
        </w:rPr>
      </w:pPr>
    </w:p>
    <w:p>
      <w:pPr>
        <w:ind w:left="540" w:right="2959" w:hanging="183"/>
        <w:spacing w:after="0" w:line="246"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 with independent accountants, with and without (at least once per year without) management's presence about internal controls, disagreements between the independent accountants and management, and the completeness/accuracy of financial statements.</w:t>
      </w:r>
    </w:p>
    <w:p>
      <w:pPr>
        <w:spacing w:after="0" w:line="177" w:lineRule="exact"/>
        <w:rPr>
          <w:rFonts w:ascii="Courier New" w:cs="Courier New" w:eastAsia="Courier New" w:hAnsi="Courier New"/>
          <w:sz w:val="15"/>
          <w:szCs w:val="15"/>
          <w:color w:val="auto"/>
        </w:rPr>
      </w:pPr>
    </w:p>
    <w:p>
      <w:pPr>
        <w:ind w:left="540" w:right="3219" w:hanging="183"/>
        <w:spacing w:after="0" w:line="247"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prior to the annual audit, the scope and general extent of the independent accountants' audit examinations, including their engagement letter.</w:t>
      </w:r>
    </w:p>
    <w:p>
      <w:pPr>
        <w:spacing w:after="0" w:line="174" w:lineRule="exact"/>
        <w:rPr>
          <w:rFonts w:ascii="Courier New" w:cs="Courier New" w:eastAsia="Courier New" w:hAnsi="Courier New"/>
          <w:sz w:val="15"/>
          <w:szCs w:val="15"/>
          <w:color w:val="auto"/>
        </w:rPr>
      </w:pPr>
    </w:p>
    <w:p>
      <w:pPr>
        <w:ind w:left="540" w:right="3319" w:hanging="183"/>
        <w:spacing w:after="0" w:line="247"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apprised on audit work performed by other accounting firms that the independent accountants rely upon.</w:t>
      </w:r>
    </w:p>
    <w:p>
      <w:pPr>
        <w:spacing w:after="0" w:line="174" w:lineRule="exact"/>
        <w:rPr>
          <w:rFonts w:ascii="Courier New" w:cs="Courier New" w:eastAsia="Courier New" w:hAnsi="Courier New"/>
          <w:sz w:val="15"/>
          <w:szCs w:val="15"/>
          <w:color w:val="auto"/>
        </w:rPr>
      </w:pPr>
    </w:p>
    <w:p>
      <w:pPr>
        <w:ind w:left="540" w:right="3139" w:hanging="183"/>
        <w:spacing w:after="0" w:line="246"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 annual basis, review and discuss with the accountants all significant relationships the accountants have with the corporation to determine the accountants' independence. This should include a review of management consulting services.</w:t>
      </w:r>
    </w:p>
    <w:p>
      <w:pPr>
        <w:spacing w:after="0" w:line="177" w:lineRule="exact"/>
        <w:rPr>
          <w:rFonts w:ascii="Courier New" w:cs="Courier New" w:eastAsia="Courier New" w:hAnsi="Courier New"/>
          <w:sz w:val="15"/>
          <w:szCs w:val="15"/>
          <w:color w:val="auto"/>
        </w:rPr>
      </w:pPr>
    </w:p>
    <w:p>
      <w:pPr>
        <w:ind w:left="540" w:right="3679" w:hanging="183"/>
        <w:spacing w:after="0" w:line="247"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results of the independent accountants' last peer review, litigation status and disciplinary actions, if any.</w:t>
      </w:r>
    </w:p>
    <w:p>
      <w:pPr>
        <w:spacing w:after="0" w:line="175" w:lineRule="exact"/>
        <w:rPr>
          <w:sz w:val="20"/>
          <w:szCs w:val="20"/>
          <w:color w:val="auto"/>
        </w:rPr>
      </w:pPr>
    </w:p>
    <w:p>
      <w:pPr>
        <w:ind w:left="720" w:hanging="363"/>
        <w:spacing w:after="0"/>
        <w:tabs>
          <w:tab w:leader="none" w:pos="7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STATEMENTS/INTERNAL CONTROLS</w:t>
      </w:r>
    </w:p>
    <w:p>
      <w:pPr>
        <w:spacing w:after="0" w:line="180" w:lineRule="exact"/>
        <w:rPr>
          <w:sz w:val="20"/>
          <w:szCs w:val="20"/>
          <w:color w:val="auto"/>
        </w:rPr>
      </w:pPr>
    </w:p>
    <w:p>
      <w:pPr>
        <w:ind w:left="540" w:right="3039" w:hanging="183"/>
        <w:spacing w:after="0" w:line="246"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annual financial statements with management and the independent accountants to determine that the independent auditors are satisfied with the disclosure and content of the financial statements, and approve such financial statements prior to release of the annual earnings.</w:t>
      </w:r>
    </w:p>
    <w:p>
      <w:pPr>
        <w:spacing w:after="0" w:line="177" w:lineRule="exact"/>
        <w:rPr>
          <w:rFonts w:ascii="Courier New" w:cs="Courier New" w:eastAsia="Courier New" w:hAnsi="Courier New"/>
          <w:sz w:val="15"/>
          <w:szCs w:val="15"/>
          <w:color w:val="auto"/>
        </w:rPr>
      </w:pPr>
    </w:p>
    <w:p>
      <w:pPr>
        <w:ind w:left="540" w:hanging="183"/>
        <w:spacing w:after="0"/>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SEC Form 10-K prior to its filing.</w:t>
      </w:r>
    </w:p>
    <w:p>
      <w:pPr>
        <w:spacing w:after="0" w:line="179" w:lineRule="exact"/>
        <w:rPr>
          <w:rFonts w:ascii="Courier New" w:cs="Courier New" w:eastAsia="Courier New" w:hAnsi="Courier New"/>
          <w:sz w:val="15"/>
          <w:szCs w:val="15"/>
          <w:color w:val="auto"/>
        </w:rPr>
      </w:pPr>
    </w:p>
    <w:p>
      <w:pPr>
        <w:ind w:left="540" w:right="3419" w:hanging="183"/>
        <w:spacing w:after="0" w:line="247"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independent accountants' judgments regarding the quality and appropriateness of financial statements.</w:t>
      </w:r>
    </w:p>
    <w:p>
      <w:pPr>
        <w:spacing w:after="0" w:line="174" w:lineRule="exact"/>
        <w:rPr>
          <w:rFonts w:ascii="Courier New" w:cs="Courier New" w:eastAsia="Courier New" w:hAnsi="Courier New"/>
          <w:sz w:val="15"/>
          <w:szCs w:val="15"/>
          <w:color w:val="auto"/>
        </w:rPr>
      </w:pPr>
    </w:p>
    <w:p>
      <w:pPr>
        <w:ind w:left="540" w:right="3139" w:hanging="183"/>
        <w:spacing w:after="0" w:line="247"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inquiries of management and independent accountants' concerning the adequacy of the corporation's system of internal controls.</w:t>
      </w:r>
    </w:p>
    <w:p>
      <w:pPr>
        <w:spacing w:after="0" w:line="174" w:lineRule="exact"/>
        <w:rPr>
          <w:rFonts w:ascii="Courier New" w:cs="Courier New" w:eastAsia="Courier New" w:hAnsi="Courier New"/>
          <w:sz w:val="15"/>
          <w:szCs w:val="15"/>
          <w:color w:val="auto"/>
        </w:rPr>
      </w:pPr>
    </w:p>
    <w:p>
      <w:pPr>
        <w:ind w:left="540" w:right="3219" w:hanging="183"/>
        <w:spacing w:after="0" w:line="247"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Inquire of management and the independent accountants about significant risks or exposures, including legal matters, that exist and assess the steps management has taken to minimize such risks and exposures.</w:t>
      </w:r>
    </w:p>
    <w:p>
      <w:pPr>
        <w:spacing w:after="0" w:line="174" w:lineRule="exact"/>
        <w:rPr>
          <w:rFonts w:ascii="Courier New" w:cs="Courier New" w:eastAsia="Courier New" w:hAnsi="Courier New"/>
          <w:sz w:val="15"/>
          <w:szCs w:val="15"/>
          <w:color w:val="auto"/>
        </w:rPr>
      </w:pPr>
    </w:p>
    <w:p>
      <w:pPr>
        <w:ind w:left="540" w:right="3139" w:hanging="183"/>
        <w:spacing w:after="0" w:line="247"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completion of the annual audit, be apprised of any significant difficulties encountered during the course of the audit, including any restrictions on the scope of work or access to required information.</w:t>
      </w:r>
    </w:p>
    <w:p>
      <w:pPr>
        <w:spacing w:after="0" w:line="174" w:lineRule="exact"/>
        <w:rPr>
          <w:sz w:val="20"/>
          <w:szCs w:val="20"/>
          <w:color w:val="auto"/>
        </w:rPr>
      </w:pPr>
    </w:p>
    <w:p>
      <w:pPr>
        <w:ind w:left="720" w:hanging="363"/>
        <w:spacing w:after="0"/>
        <w:tabs>
          <w:tab w:leader="none" w:pos="7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ETHICS AND BUSINESS CONDUCT</w:t>
      </w:r>
    </w:p>
    <w:p>
      <w:pPr>
        <w:spacing w:after="0" w:line="180" w:lineRule="exact"/>
        <w:rPr>
          <w:sz w:val="20"/>
          <w:szCs w:val="20"/>
          <w:color w:val="auto"/>
        </w:rPr>
      </w:pPr>
    </w:p>
    <w:p>
      <w:pPr>
        <w:ind w:left="540" w:right="3139" w:hanging="183"/>
        <w:spacing w:after="0" w:line="247"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corporation's codes of conduct annually and direct management to establish a system reasonably designed to assure compliance with the code.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above list represents examples of actions the Audit Committee may take in fulfilling their responsibilities. The list shall not be construed as mandatory functions of the committee. The Audit Committee has the power to conduct or authorize investigations into any matters within the committee's scope of responsibilities. The duties and responsibilities of a member of the Audit Committee are in addition to those duties set out for a member of the Board of Directors.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468" w:right="1440" w:bottom="1440" w:gutter="0" w:footer="0" w:header="0"/>
        </w:sectPr>
      </w:pPr>
    </w:p>
    <w:bookmarkStart w:id="16" w:name="page17"/>
    <w:bookmarkEnd w:id="16"/>
    <w:p>
      <w:pPr>
        <w:jc w:val="center"/>
        <w:ind w:right="-1400"/>
        <w:spacing w:after="0"/>
        <w:rPr>
          <w:sz w:val="20"/>
          <w:szCs w:val="20"/>
          <w:color w:val="auto"/>
        </w:rPr>
      </w:pPr>
      <w:r>
        <w:rPr>
          <w:rFonts w:ascii="Courier New" w:cs="Courier New" w:eastAsia="Courier New" w:hAnsi="Courier New"/>
          <w:sz w:val="15"/>
          <w:szCs w:val="15"/>
          <w:color w:val="auto"/>
        </w:rPr>
        <w:t>HAWKINS CHEMICAL, INC.</w:t>
      </w:r>
    </w:p>
    <w:p>
      <w:pPr>
        <w:spacing w:after="0" w:line="180"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ANNUAL MEETING OF SHAREHOLDERS</w:t>
      </w:r>
    </w:p>
    <w:p>
      <w:pPr>
        <w:spacing w:after="0" w:line="5"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WEDNESDAY, FEBRUARY 14, 2001</w:t>
      </w:r>
    </w:p>
    <w:p>
      <w:pPr>
        <w:spacing w:after="0" w:line="5"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3:30 P.M., CENTRAL STANDARD TIME</w:t>
      </w:r>
    </w:p>
    <w:p>
      <w:pPr>
        <w:spacing w:after="0" w:line="5" w:lineRule="exact"/>
        <w:rPr>
          <w:sz w:val="20"/>
          <w:szCs w:val="20"/>
          <w:color w:val="auto"/>
        </w:rPr>
      </w:pPr>
    </w:p>
    <w:p>
      <w:pPr>
        <w:jc w:val="center"/>
        <w:ind w:right="-1220"/>
        <w:spacing w:after="0"/>
        <w:rPr>
          <w:sz w:val="20"/>
          <w:szCs w:val="20"/>
          <w:color w:val="auto"/>
        </w:rPr>
      </w:pPr>
      <w:r>
        <w:rPr>
          <w:rFonts w:ascii="Courier New" w:cs="Courier New" w:eastAsia="Courier New" w:hAnsi="Courier New"/>
          <w:sz w:val="15"/>
          <w:szCs w:val="15"/>
          <w:color w:val="auto"/>
        </w:rPr>
        <w:t>FOUR POINTS SHERATON HOTEL</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1330 INDUSTRIAL BOULEVARD</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MINNEAPOLIS,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[HAWKINS LOGO]</w:t>
        <w:tab/>
        <w:t>HAWKINS CHEMICAL, INC.</w:t>
      </w:r>
    </w:p>
    <w:p>
      <w:pPr>
        <w:spacing w:after="0" w:line="5" w:lineRule="exact"/>
        <w:rPr>
          <w:sz w:val="20"/>
          <w:szCs w:val="20"/>
          <w:color w:val="auto"/>
        </w:rPr>
      </w:pPr>
    </w:p>
    <w:p>
      <w:pPr>
        <w:ind w:left="1440"/>
        <w:spacing w:after="0"/>
        <w:tabs>
          <w:tab w:leader="none" w:pos="6700" w:val="left"/>
        </w:tabs>
        <w:rPr>
          <w:sz w:val="20"/>
          <w:szCs w:val="20"/>
          <w:color w:val="auto"/>
        </w:rPr>
      </w:pPr>
      <w:r>
        <w:rPr>
          <w:rFonts w:ascii="Courier New" w:cs="Courier New" w:eastAsia="Courier New" w:hAnsi="Courier New"/>
          <w:sz w:val="15"/>
          <w:szCs w:val="15"/>
          <w:color w:val="auto"/>
        </w:rPr>
        <w:t>3100 EAST HENNEPIN AVENUE, MINNEAPOLIS, MINNESOTA 55413</w:t>
      </w:r>
      <w:r>
        <w:rPr>
          <w:sz w:val="20"/>
          <w:szCs w:val="20"/>
          <w:color w:val="auto"/>
        </w:rPr>
        <w:tab/>
      </w:r>
      <w:r>
        <w:rPr>
          <w:rFonts w:ascii="Courier New" w:cs="Courier New" w:eastAsia="Courier New" w:hAnsi="Courier New"/>
          <w:sz w:val="15"/>
          <w:szCs w:val="15"/>
          <w:color w:val="auto"/>
        </w:rPr>
        <w:t>PROXY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THIS PROXY IS SOLICITED BY THE BOARD OF DIRECTORS FOR USE AT THE ANNUAL MEETING ON FEBRUARY 14, 2001.</w:t>
      </w:r>
    </w:p>
    <w:p>
      <w:pPr>
        <w:spacing w:after="0" w:line="17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The shares of stock you hold in your account or in a dividend reinvestment account will be voted as you specify on the reverse side.</w:t>
      </w:r>
    </w:p>
    <w:p>
      <w:pPr>
        <w:spacing w:after="0" w:line="17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IF NO CHOICE IS SPECIFIED, THE PROXY WILL BE VOTED "FOR" ALL NOMINEES IN ITEM 1 AND "FOR" ITEM 2.</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By signing the proxy, you revoke all prior proxies and appoint John R. Hawkins, Kurt R. Norman and Marvin E. Dee, and each of them, with full power of substitution, to vote your shares on the matters shown on the reverse side and any other matters that may come before the Annual Meeting and all adjournments.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SEE REVERSE FOR VOTING INSTRUCTIONS.</w:t>
      </w:r>
    </w:p>
    <w:p>
      <w:pPr>
        <w:sectPr>
          <w:pgSz w:w="11900" w:h="16838" w:orient="portrait"/>
          <w:cols w:equalWidth="0" w:num="1">
            <w:col w:w="10219"/>
          </w:cols>
          <w:pgMar w:left="240" w:top="643" w:right="1440" w:bottom="1440" w:gutter="0" w:footer="0" w:header="0"/>
        </w:sectPr>
      </w:pPr>
    </w:p>
    <w:bookmarkStart w:id="17" w:name="page18"/>
    <w:bookmarkEnd w:id="17"/>
    <w:p>
      <w:pPr>
        <w:ind w:left="2187"/>
        <w:spacing w:after="0"/>
        <w:tabs>
          <w:tab w:leader="none" w:pos="2526" w:val="left"/>
          <w:tab w:leader="none" w:pos="4426" w:val="left"/>
        </w:tabs>
        <w:rPr>
          <w:sz w:val="20"/>
          <w:szCs w:val="20"/>
          <w:color w:val="auto"/>
        </w:rPr>
      </w:pPr>
      <w:r>
        <w:rPr>
          <w:rFonts w:ascii="Courier New" w:cs="Courier New" w:eastAsia="Courier New" w:hAnsi="Courier New"/>
          <w:sz w:val="15"/>
          <w:szCs w:val="15"/>
          <w:color w:val="auto"/>
        </w:rPr>
        <w:t>V</w:t>
      </w:r>
      <w:r>
        <w:rPr>
          <w:sz w:val="20"/>
          <w:szCs w:val="20"/>
          <w:color w:val="auto"/>
        </w:rPr>
        <w:tab/>
      </w:r>
      <w:r>
        <w:rPr>
          <w:rFonts w:ascii="Courier New" w:cs="Courier New" w:eastAsia="Courier New" w:hAnsi="Courier New"/>
          <w:sz w:val="15"/>
          <w:szCs w:val="15"/>
          <w:color w:val="auto"/>
        </w:rPr>
        <w:t>PLEASE DETACH HERE</w:t>
        <w:tab/>
        <w:t>V</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THE BOARD OF DIRECTORS RECOMMENDS A VOTE FOR ALL NOMINEES IN ITEM 1.</w:t>
      </w:r>
    </w:p>
    <w:p>
      <w:pPr>
        <w:sectPr>
          <w:pgSz w:w="11900" w:h="16838" w:orient="portrait"/>
          <w:cols w:equalWidth="0" w:num="1">
            <w:col w:w="11527"/>
          </w:cols>
          <w:pgMar w:left="233" w:top="1167" w:right="139" w:bottom="1440" w:gutter="0" w:footer="0" w:header="0"/>
        </w:sectPr>
      </w:pP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Election of directors: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 John R. Hawkins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 Kurt R. Norman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03 Dean L. Hahn</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06 John S. McKeon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07 Duane M. Jergenson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08 G. Robert Gey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Vote FOR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all Nominees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(except as marked)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Vote WITHHELD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ALL nominees</w:t>
      </w:r>
    </w:p>
    <w:p>
      <w:pPr>
        <w:spacing w:after="0" w:line="179" w:lineRule="exact"/>
        <w:rPr>
          <w:sz w:val="20"/>
          <w:szCs w:val="20"/>
          <w:color w:val="auto"/>
        </w:rPr>
      </w:pPr>
    </w:p>
    <w:p>
      <w:pPr>
        <w:sectPr>
          <w:pgSz w:w="11900" w:h="16838" w:orient="portrait"/>
          <w:cols w:equalWidth="0" w:num="5">
            <w:col w:w="2267" w:space="460"/>
            <w:col w:w="1640" w:space="260"/>
            <w:col w:w="1920" w:space="540"/>
            <w:col w:w="2000" w:space="360"/>
            <w:col w:w="2080"/>
          </w:cols>
          <w:pgMar w:left="233" w:top="1167" w:right="139" w:bottom="1440" w:gutter="0" w:footer="0" w:header="0"/>
          <w:type w:val="continuous"/>
        </w:sectPr>
      </w:pPr>
    </w:p>
    <w:p>
      <w:pPr>
        <w:ind w:left="2727"/>
        <w:spacing w:after="0"/>
        <w:rPr>
          <w:sz w:val="20"/>
          <w:szCs w:val="20"/>
          <w:color w:val="auto"/>
        </w:rPr>
      </w:pPr>
      <w:r>
        <w:rPr>
          <w:rFonts w:ascii="Courier New" w:cs="Courier New" w:eastAsia="Courier New" w:hAnsi="Courier New"/>
          <w:sz w:val="15"/>
          <w:szCs w:val="15"/>
          <w:color w:val="auto"/>
        </w:rPr>
        <w:t>04 Donald L. Shipp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09 Daryl I. Skaar</w:t>
      </w:r>
    </w:p>
    <w:p>
      <w:pPr>
        <w:spacing w:after="0" w:line="5" w:lineRule="exact"/>
        <w:rPr>
          <w:sz w:val="20"/>
          <w:szCs w:val="20"/>
          <w:color w:val="auto"/>
        </w:rPr>
      </w:pPr>
    </w:p>
    <w:p>
      <w:pPr>
        <w:sectPr>
          <w:pgSz w:w="11900" w:h="16838" w:orient="portrait"/>
          <w:cols w:equalWidth="0" w:num="2">
            <w:col w:w="4367" w:space="260"/>
            <w:col w:w="6900"/>
          </w:cols>
          <w:pgMar w:left="233" w:top="1167" w:right="139" w:bottom="1440" w:gutter="0" w:footer="0" w:header="0"/>
          <w:type w:val="continuous"/>
        </w:sectPr>
      </w:pPr>
    </w:p>
    <w:p>
      <w:pPr>
        <w:ind w:left="2727"/>
        <w:spacing w:after="0"/>
        <w:rPr>
          <w:sz w:val="20"/>
          <w:szCs w:val="20"/>
          <w:color w:val="auto"/>
        </w:rPr>
      </w:pPr>
      <w:r>
        <w:rPr>
          <w:rFonts w:ascii="Courier New" w:cs="Courier New" w:eastAsia="Courier New" w:hAnsi="Courier New"/>
          <w:sz w:val="15"/>
          <w:szCs w:val="15"/>
          <w:color w:val="auto"/>
        </w:rPr>
        <w:t>05 Howard M. Hawkins</w:t>
      </w:r>
    </w:p>
    <w:p>
      <w:pPr>
        <w:sectPr>
          <w:pgSz w:w="11900" w:h="16838" w:orient="portrait"/>
          <w:cols w:equalWidth="0" w:num="1">
            <w:col w:w="11527"/>
          </w:cols>
          <w:pgMar w:left="233" w:top="1167" w:right="139" w:bottom="1440" w:gutter="0" w:footer="0" w:header="0"/>
          <w:type w:val="continuous"/>
        </w:sectPr>
      </w:pPr>
    </w:p>
    <w:p>
      <w:pPr>
        <w:spacing w:after="0" w:line="180" w:lineRule="exact"/>
        <w:rPr>
          <w:sz w:val="20"/>
          <w:szCs w:val="20"/>
          <w:color w:val="auto"/>
        </w:rPr>
      </w:pPr>
    </w:p>
    <w:p>
      <w:pPr>
        <w:jc w:val="both"/>
        <w:ind w:left="7"/>
        <w:spacing w:after="0" w:line="246" w:lineRule="auto"/>
        <w:rPr>
          <w:sz w:val="20"/>
          <w:szCs w:val="20"/>
          <w:color w:val="auto"/>
        </w:rPr>
      </w:pPr>
      <w:r>
        <w:rPr>
          <w:rFonts w:ascii="Courier New" w:cs="Courier New" w:eastAsia="Courier New" w:hAnsi="Courier New"/>
          <w:sz w:val="15"/>
          <w:szCs w:val="15"/>
          <w:color w:val="auto"/>
        </w:rPr>
        <w:t>(INSTRUCTIONS: TO WITHHOLD AUTHORITY TO VOTE FOR ANY INDICATED NOMINEE, WRITE THE NUMBER(S) OF THE NOMINEE(S) IN THE BOX PROVIDED TO THE RIGHT.)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6547" w:space="540"/>
            <w:col w:w="4440"/>
          </w:cols>
          <w:pgMar w:left="233" w:top="1167" w:right="139" w:bottom="1440" w:gutter="0" w:footer="0" w:header="0"/>
          <w:type w:val="continuous"/>
        </w:sectPr>
      </w:pPr>
    </w:p>
    <w:p>
      <w:pPr>
        <w:ind w:left="7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THE BOARD OF DIRECTORS RECOMMENDS A VOTE FOR ITEM 2.</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 Amendment of Articles of Incorporation to change corporate name</w:t>
      </w:r>
    </w:p>
    <w:p>
      <w:pPr>
        <w:sectPr>
          <w:pgSz w:w="11900" w:h="16838" w:orient="portrait"/>
          <w:cols w:equalWidth="0" w:num="1">
            <w:col w:w="11527"/>
          </w:cols>
          <w:pgMar w:left="233" w:top="1167" w:right="139" w:bottom="1440" w:gutter="0" w:footer="0" w:header="0"/>
          <w:type w:val="continuous"/>
        </w:sectPr>
      </w:pP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to "Hawkins,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ABSTAIN</w:t>
      </w:r>
    </w:p>
    <w:p>
      <w:pPr>
        <w:spacing w:after="0" w:line="180" w:lineRule="exact"/>
        <w:rPr>
          <w:sz w:val="20"/>
          <w:szCs w:val="20"/>
          <w:color w:val="auto"/>
        </w:rPr>
      </w:pPr>
    </w:p>
    <w:p>
      <w:pPr>
        <w:sectPr>
          <w:pgSz w:w="11900" w:h="16838" w:orient="portrait"/>
          <w:cols w:equalWidth="0" w:num="4">
            <w:col w:w="5827" w:space="720"/>
            <w:col w:w="1180" w:space="720"/>
            <w:col w:w="1200" w:space="720"/>
            <w:col w:w="1160"/>
          </w:cols>
          <w:pgMar w:left="233" w:top="1167" w:right="139" w:bottom="1440" w:gutter="0" w:footer="0" w:header="0"/>
          <w:type w:val="continuous"/>
        </w:sectPr>
      </w:pPr>
    </w:p>
    <w:p>
      <w:pPr>
        <w:ind w:left="267" w:hanging="267"/>
        <w:spacing w:after="0"/>
        <w:tabs>
          <w:tab w:leader="none" w:pos="26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PROXY WHEN PROPERLY EXECUTED WILL BE VOTED AS DIRECTED OR, IF NO DIRECTION IS GIVEN, WILL BE VOTED FOR EACH PROPOSAL.</w:t>
      </w:r>
    </w:p>
    <w:p>
      <w:pPr>
        <w:spacing w:after="0" w:line="180" w:lineRule="exact"/>
        <w:rPr>
          <w:sz w:val="20"/>
          <w:szCs w:val="20"/>
          <w:color w:val="auto"/>
        </w:rPr>
      </w:pPr>
    </w:p>
    <w:p>
      <w:pPr>
        <w:ind w:left="7"/>
        <w:spacing w:after="0"/>
        <w:tabs>
          <w:tab w:leader="none" w:pos="1526" w:val="left"/>
          <w:tab w:leader="none" w:pos="2426" w:val="left"/>
        </w:tabs>
        <w:rPr>
          <w:sz w:val="20"/>
          <w:szCs w:val="20"/>
          <w:color w:val="auto"/>
        </w:rPr>
      </w:pPr>
      <w:r>
        <w:rPr>
          <w:rFonts w:ascii="Courier New" w:cs="Courier New" w:eastAsia="Courier New" w:hAnsi="Courier New"/>
          <w:sz w:val="15"/>
          <w:szCs w:val="15"/>
          <w:color w:val="auto"/>
        </w:rPr>
        <w:t>Address Change?</w:t>
        <w:tab/>
        <w:t>Mark Box</w:t>
        <w:tab/>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Indicate changes below:</w:t>
      </w:r>
    </w:p>
    <w:p>
      <w:pPr>
        <w:spacing w:after="0" w:line="180" w:lineRule="exact"/>
        <w:rPr>
          <w:sz w:val="20"/>
          <w:szCs w:val="20"/>
          <w:color w:val="auto"/>
        </w:rPr>
      </w:pPr>
    </w:p>
    <w:p>
      <w:pPr>
        <w:ind w:left="8547"/>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900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Signature(s) In Box</w:t>
      </w:r>
    </w:p>
    <w:p>
      <w:pPr>
        <w:spacing w:after="0" w:line="180"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(Please sign exactly as your name</w:t>
      </w:r>
    </w:p>
    <w:p>
      <w:pPr>
        <w:spacing w:after="0" w:line="5" w:lineRule="exact"/>
        <w:rPr>
          <w:sz w:val="20"/>
          <w:szCs w:val="20"/>
          <w:color w:val="auto"/>
        </w:rPr>
      </w:pPr>
    </w:p>
    <w:p>
      <w:pPr>
        <w:ind w:left="8087"/>
        <w:spacing w:after="0"/>
        <w:tabs>
          <w:tab w:leader="none" w:pos="10066" w:val="left"/>
        </w:tabs>
        <w:rPr>
          <w:sz w:val="20"/>
          <w:szCs w:val="20"/>
          <w:color w:val="auto"/>
        </w:rPr>
      </w:pPr>
      <w:r>
        <w:rPr>
          <w:rFonts w:ascii="Courier New" w:cs="Courier New" w:eastAsia="Courier New" w:hAnsi="Courier New"/>
          <w:sz w:val="15"/>
          <w:szCs w:val="15"/>
          <w:color w:val="auto"/>
        </w:rPr>
        <w:t>appears to the left.</w:t>
        <w:tab/>
        <w:t>When shares are</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held by joint tenants, both should</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sign. When signing as executor,</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administrator, attorney, trustee or</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guardian, please give full title as</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such. If a corporation, please sign in</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full corporate name by president or</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other authorized officer. If a</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partnership, please sign in</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partnership name by an authorized</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person.)</w:t>
      </w:r>
    </w:p>
    <w:sectPr>
      <w:pgSz w:w="11900" w:h="16838" w:orient="portrait"/>
      <w:cols w:equalWidth="0" w:num="1">
        <w:col w:w="11527"/>
      </w:cols>
      <w:pgMar w:left="233" w:top="116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bullet"/>
      <w:start w:val="1"/>
    </w:lvl>
  </w:abstractNum>
  <w:abstractNum w:abstractNumId="5">
    <w:nsid w:val="431BD7B7"/>
    <w:multiLevelType w:val="hybridMultilevel"/>
    <w:lvl w:ilvl="0">
      <w:lvlJc w:val="left"/>
      <w:lvlText w:val="2"/>
      <w:numFmt w:val="bullet"/>
      <w:start w:val="1"/>
    </w:lvl>
  </w:abstractNum>
  <w:abstractNum w:abstractNumId="6">
    <w:nsid w:val="3F2DBA31"/>
    <w:multiLevelType w:val="hybridMultilevel"/>
    <w:lvl w:ilvl="0">
      <w:lvlJc w:val="left"/>
      <w:lvlText w:val="3"/>
      <w:numFmt w:val="bullet"/>
      <w:start w:val="1"/>
    </w:lvl>
  </w:abstractNum>
  <w:abstractNum w:abstractNumId="7">
    <w:nsid w:val="7C83E458"/>
    <w:multiLevelType w:val="hybridMultilevel"/>
    <w:lvl w:ilvl="0">
      <w:lvlJc w:val="left"/>
      <w:lvlText w:val="4"/>
      <w:numFmt w:val="bullet"/>
      <w:start w:val="1"/>
    </w:lvl>
  </w:abstractNum>
  <w:abstractNum w:abstractNumId="8">
    <w:nsid w:val="257130A3"/>
    <w:multiLevelType w:val="hybridMultilevel"/>
    <w:lvl w:ilvl="0">
      <w:lvlJc w:val="left"/>
      <w:lvlText w:val="/"/>
      <w:numFmt w:val="bullet"/>
      <w:start w:val="1"/>
    </w:lvl>
    <w:lvl w:ilvl="1">
      <w:lvlJc w:val="left"/>
      <w:lvlText w:val="5"/>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3"/>
    </w:lvl>
  </w:abstractNum>
  <w:abstractNum w:abstractNumId="13">
    <w:nsid w:val="721DA317"/>
    <w:multiLevelType w:val="hybridMultilevel"/>
    <w:lvl w:ilvl="0">
      <w:lvlJc w:val="left"/>
      <w:lvlText w:val="%1"/>
      <w:numFmt w:val="decimal"/>
      <w:start w:val="54"/>
    </w:lvl>
  </w:abstractNum>
  <w:abstractNum w:abstractNumId="14">
    <w:nsid w:val="2443A858"/>
    <w:multiLevelType w:val="hybridMultilevel"/>
    <w:lvl w:ilvl="0">
      <w:lvlJc w:val="left"/>
      <w:lvlText w:val="%1"/>
      <w:numFmt w:val="decimal"/>
      <w:start w:val="56"/>
    </w:lvl>
  </w:abstractNum>
  <w:abstractNum w:abstractNumId="15">
    <w:nsid w:val="2D1D5AE9"/>
    <w:multiLevelType w:val="hybridMultilevel"/>
    <w:lvl w:ilvl="0">
      <w:lvlJc w:val="left"/>
      <w:lvlText w:val="(%1)"/>
      <w:numFmt w:val="decimal"/>
      <w:start w:val="3"/>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upperLetter"/>
      <w:start w:val="9"/>
    </w:lvl>
  </w:abstractNum>
  <w:abstractNum w:abstractNumId="18">
    <w:nsid w:val="8EDBDAB"/>
    <w:multiLevelType w:val="hybridMultilevel"/>
    <w:lvl w:ilvl="0">
      <w:lvlJc w:val="left"/>
      <w:lvlText w:val="%1."/>
      <w:numFmt w:val="upperLetter"/>
      <w:start w:val="34"/>
    </w:lvl>
    <w:lvl w:ilvl="1">
      <w:lvlJc w:val="left"/>
      <w:lvlText w:val="-"/>
      <w:numFmt w:val="bullet"/>
      <w:start w:val="1"/>
    </w:lvl>
  </w:abstractNum>
  <w:abstractNum w:abstractNumId="19">
    <w:nsid w:val="79838CB2"/>
    <w:multiLevelType w:val="hybridMultilevel"/>
    <w:lvl w:ilvl="0">
      <w:lvlJc w:val="left"/>
      <w:lvlText w:val="%1."/>
      <w:numFmt w:val="upperLetter"/>
      <w:start w:val="61"/>
    </w:lvl>
  </w:abstractNum>
  <w:abstractNum w:abstractNumId="20">
    <w:nsid w:val="4353D0CD"/>
    <w:multiLevelType w:val="hybridMultilevel"/>
    <w:lvl w:ilvl="0">
      <w:lvlJc w:val="left"/>
      <w:lvlText w:val="%1."/>
      <w:numFmt w:val="upperLetter"/>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upperLetter"/>
      <w:start w:val="2"/>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upperLetter"/>
      <w:start w:val="3"/>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upperLetter"/>
      <w:start w:val="4"/>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2019-12-13T01:39:27Z</dcterms:created>
  <dcterms:modified xsi:type="dcterms:W3CDTF">2019-12-13T01:39:27Z</dcterms:modified>
</cp:coreProperties>
</file>