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517525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431800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-180975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2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5"/>
          <w:szCs w:val="25"/>
          <w:b w:val="1"/>
          <w:bCs w:val="1"/>
          <w:color w:val="auto"/>
        </w:rPr>
        <w:t>ANNUAL REPORT PURSUANT TO SECTION 13 OR 15(d) OF THE</w:t>
      </w:r>
    </w:p>
    <w:p>
      <w:pPr>
        <w:spacing w:after="0" w:line="6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11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5"/>
          <w:szCs w:val="25"/>
          <w:b w:val="1"/>
          <w:bCs w:val="1"/>
          <w:color w:val="auto"/>
        </w:rPr>
        <w:t>For the Fiscal Year Ended March 29, 2015</w:t>
      </w:r>
    </w:p>
    <w:p>
      <w:pPr>
        <w:spacing w:after="0" w:line="115" w:lineRule="exact"/>
        <w:rPr>
          <w:sz w:val="24"/>
          <w:szCs w:val="24"/>
          <w:color w:val="auto"/>
        </w:rPr>
      </w:pPr>
    </w:p>
    <w:tbl>
      <w:tblPr>
        <w:tblLayout w:type="fixed"/>
        <w:tblInd w:w="1420" w:type="dxa"/>
        <w:tblCellMar>
          <w:top w:w="0" w:type="dxa"/>
          <w:left w:w="0" w:type="dxa"/>
          <w:bottom w:w="0" w:type="dxa"/>
          <w:right w:w="0" w:type="dxa"/>
        </w:tblCellMar>
      </w:tblPr>
      <w:tr>
        <w:trPr>
          <w:trHeight w:val="287"/>
        </w:trPr>
        <w:tc>
          <w:tcPr>
            <w:tcW w:w="6420" w:type="dxa"/>
            <w:vAlign w:val="bottom"/>
            <w:gridSpan w:val="3"/>
          </w:tcPr>
          <w:p>
            <w:pPr>
              <w:jc w:val="center"/>
              <w:ind w:left="2080"/>
              <w:spacing w:after="0"/>
              <w:rPr>
                <w:sz w:val="20"/>
                <w:szCs w:val="20"/>
                <w:color w:val="auto"/>
              </w:rPr>
            </w:pPr>
            <w:r>
              <w:rPr>
                <w:rFonts w:ascii="Times New Roman" w:cs="Times New Roman" w:eastAsia="Times New Roman" w:hAnsi="Times New Roman"/>
                <w:sz w:val="22"/>
                <w:szCs w:val="22"/>
                <w:b w:val="1"/>
                <w:bCs w:val="1"/>
                <w:color w:val="auto"/>
                <w:w w:val="98"/>
              </w:rPr>
              <w:t>Commission File No. 0-7647</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60" w:type="dxa"/>
            <w:vAlign w:val="bottom"/>
            <w:vMerge w:val="restart"/>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3160" w:type="dxa"/>
            <w:vAlign w:val="bottom"/>
            <w:vMerge w:val="continue"/>
          </w:tcPr>
          <w:p>
            <w:pPr>
              <w:spacing w:after="0"/>
              <w:rPr>
                <w:sz w:val="24"/>
                <w:szCs w:val="24"/>
                <w:color w:val="auto"/>
              </w:rPr>
            </w:pPr>
          </w:p>
        </w:tc>
        <w:tc>
          <w:tcPr>
            <w:tcW w:w="3260" w:type="dxa"/>
            <w:vAlign w:val="bottom"/>
            <w:gridSpan w:val="2"/>
          </w:tcPr>
          <w:p>
            <w:pPr>
              <w:spacing w:after="0" w:line="402" w:lineRule="exact"/>
              <w:rPr>
                <w:sz w:val="20"/>
                <w:szCs w:val="20"/>
                <w:color w:val="auto"/>
              </w:rPr>
            </w:pPr>
            <w:r>
              <w:rPr>
                <w:rFonts w:ascii="Times New Roman" w:cs="Times New Roman" w:eastAsia="Times New Roman" w:hAnsi="Times New Roman"/>
                <w:sz w:val="36"/>
                <w:szCs w:val="36"/>
                <w:b w:val="1"/>
                <w:bCs w:val="1"/>
                <w:color w:val="auto"/>
              </w:rPr>
              <w:t>HAWKINS, INC.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20" w:type="dxa"/>
            <w:vAlign w:val="bottom"/>
            <w:gridSpan w:val="3"/>
          </w:tcPr>
          <w:p>
            <w:pPr>
              <w:jc w:val="center"/>
              <w:ind w:left="20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7"/>
        </w:trPr>
        <w:tc>
          <w:tcPr>
            <w:tcW w:w="6420" w:type="dxa"/>
            <w:vAlign w:val="bottom"/>
            <w:gridSpan w:val="3"/>
          </w:tcPr>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MINNESOTA</w:t>
            </w: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41-0771293</w:t>
            </w:r>
          </w:p>
        </w:tc>
        <w:tc>
          <w:tcPr>
            <w:tcW w:w="0" w:type="dxa"/>
            <w:vAlign w:val="bottom"/>
          </w:tcPr>
          <w:p>
            <w:pPr>
              <w:spacing w:after="0"/>
              <w:rPr>
                <w:sz w:val="1"/>
                <w:szCs w:val="1"/>
                <w:color w:val="auto"/>
              </w:rPr>
            </w:pPr>
          </w:p>
        </w:tc>
      </w:tr>
      <w:tr>
        <w:trPr>
          <w:trHeight w:val="161"/>
        </w:trPr>
        <w:tc>
          <w:tcPr>
            <w:tcW w:w="64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2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61"/>
        </w:trPr>
        <w:tc>
          <w:tcPr>
            <w:tcW w:w="64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2381 Rosegate, Roseville,</w:t>
            </w:r>
          </w:p>
        </w:tc>
        <w:tc>
          <w:tcPr>
            <w:tcW w:w="12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55113</w:t>
            </w:r>
          </w:p>
        </w:tc>
        <w:tc>
          <w:tcPr>
            <w:tcW w:w="0" w:type="dxa"/>
            <w:vAlign w:val="bottom"/>
          </w:tcPr>
          <w:p>
            <w:pPr>
              <w:spacing w:after="0"/>
              <w:rPr>
                <w:sz w:val="1"/>
                <w:szCs w:val="1"/>
                <w:color w:val="auto"/>
              </w:rPr>
            </w:pPr>
          </w:p>
        </w:tc>
      </w:tr>
      <w:tr>
        <w:trPr>
          <w:trHeight w:val="190"/>
        </w:trPr>
        <w:tc>
          <w:tcPr>
            <w:tcW w:w="64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Minnesota</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20" w:type="dxa"/>
            <w:vAlign w:val="bottom"/>
            <w:gridSpan w:val="3"/>
          </w:tcPr>
          <w:p>
            <w:pPr>
              <w:jc w:val="center"/>
              <w:ind w:right="3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5320" w:type="dxa"/>
            <w:vAlign w:val="bottom"/>
            <w:gridSpan w:val="2"/>
          </w:tcPr>
          <w:p>
            <w:pPr>
              <w:jc w:val="center"/>
              <w:ind w:left="3200"/>
              <w:spacing w:after="0"/>
              <w:rPr>
                <w:sz w:val="20"/>
                <w:szCs w:val="20"/>
                <w:color w:val="auto"/>
              </w:rPr>
            </w:pPr>
            <w:r>
              <w:rPr>
                <w:rFonts w:ascii="Times New Roman" w:cs="Times New Roman" w:eastAsia="Times New Roman" w:hAnsi="Times New Roman"/>
                <w:sz w:val="18"/>
                <w:szCs w:val="18"/>
                <w:b w:val="1"/>
                <w:bCs w:val="1"/>
                <w:color w:val="auto"/>
                <w:w w:val="99"/>
              </w:rPr>
              <w:t>(612) 331-6910</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420" w:type="dxa"/>
            <w:vAlign w:val="bottom"/>
            <w:gridSpan w:val="3"/>
          </w:tcPr>
          <w:p>
            <w:pPr>
              <w:jc w:val="center"/>
              <w:ind w:left="2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00"/>
          </w:cols>
          <w:pgMar w:left="240" w:top="853" w:right="259" w:bottom="1440" w:gutter="0" w:footer="0" w:header="0"/>
        </w:sectPr>
      </w:pPr>
    </w:p>
    <w:p>
      <w:pPr>
        <w:spacing w:after="0" w:line="123"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2"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p>
      <w:pPr>
        <w:spacing w:after="0" w:line="42"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PAR VALUE $.05 PER SHARE</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NASDAQ Global Market</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102235</wp:posOffset>
            </wp:positionV>
            <wp:extent cx="3001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280" w:space="720"/>
            <w:col w:w="5400"/>
          </w:cols>
          <w:pgMar w:left="240" w:top="853" w:right="259" w:bottom="1440" w:gutter="0" w:footer="0" w:header="0"/>
          <w:type w:val="continuous"/>
        </w:sectPr>
      </w:pPr>
    </w:p>
    <w:p>
      <w:pPr>
        <w:spacing w:after="0" w:line="232" w:lineRule="exact"/>
        <w:rPr>
          <w:sz w:val="24"/>
          <w:szCs w:val="24"/>
          <w:color w:val="auto"/>
        </w:rPr>
      </w:pPr>
    </w:p>
    <w:p>
      <w:pPr>
        <w:ind w:left="340" w:right="210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jc w:val="both"/>
        <w:ind w:right="46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22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44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2" w:lineRule="exact"/>
        <w:rPr>
          <w:sz w:val="24"/>
          <w:szCs w:val="24"/>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6" w:lineRule="exact"/>
        <w:rPr>
          <w:sz w:val="24"/>
          <w:szCs w:val="24"/>
          <w:color w:val="auto"/>
        </w:rPr>
      </w:pPr>
    </w:p>
    <w:p>
      <w:pPr>
        <w:ind w:left="380"/>
        <w:spacing w:after="0" w:line="181" w:lineRule="exact"/>
        <w:tabs>
          <w:tab w:leader="none" w:pos="1780" w:val="left"/>
          <w:tab w:leader="none" w:pos="3500" w:val="left"/>
          <w:tab w:leader="none" w:pos="6500" w:val="left"/>
          <w:tab w:leader="none" w:pos="91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 o</w:t>
      </w:r>
    </w:p>
    <w:p>
      <w:pPr>
        <w:spacing w:after="0" w:line="151" w:lineRule="exact"/>
        <w:rPr>
          <w:sz w:val="24"/>
          <w:szCs w:val="24"/>
          <w:color w:val="auto"/>
        </w:rPr>
      </w:pPr>
    </w:p>
    <w:p>
      <w:pPr>
        <w:ind w:left="340"/>
        <w:spacing w:after="0" w:line="184" w:lineRule="exact"/>
        <w:tabs>
          <w:tab w:leader="none" w:pos="784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ind w:right="380" w:firstLine="324"/>
        <w:spacing w:after="0" w:line="258"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on September 28, 2014 (the last business day of the Registrant’s most recently completed second fiscal quarter) was approximately $335.8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4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May 22, 2015, the Registrant had 10,615,623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226695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Portions of our Proxy Statement for the annual meeting of shareholders to be held July 30, 2015,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223520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137795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853" w:right="2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this Annual Report on Form 10-K, except where otherwise stated or indicated by the context, “Hawkins,” “we,” “us,” “the Company,” “our,” or “the Registrant” means Hawkins, Inc. References to “fiscal 2016” mean our fiscal year ending April 3, 2016, “fiscal 2015” means our fiscal year ended March 29, 2015, “fiscal 2014” means our fiscal year ending March 30, 2014 and “fiscal 2013” means our fiscal year ended March 31, 2013.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3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8"/>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5"/>
        </w:trPr>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0" w:type="dxa"/>
            <w:vAlign w:val="bottom"/>
            <w:gridSpan w:val="8"/>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8"/>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80" w:type="dxa"/>
            <w:vAlign w:val="bottom"/>
            <w:gridSpan w:val="10"/>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March 29, 2015</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gridSpan w:val="6"/>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112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40" w:type="dxa"/>
            <w:vAlign w:val="bottom"/>
          </w:tcPr>
          <w:p>
            <w:pPr>
              <w:spacing w:after="0"/>
              <w:rPr>
                <w:sz w:val="17"/>
                <w:szCs w:val="17"/>
                <w:color w:val="auto"/>
              </w:rPr>
            </w:pPr>
          </w:p>
        </w:tc>
        <w:tc>
          <w:tcPr>
            <w:tcW w:w="9140" w:type="dxa"/>
            <w:vAlign w:val="bottom"/>
            <w:gridSpan w:val="20"/>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Risk Factors</w:t>
              </w:r>
            </w:hyperlink>
          </w:p>
        </w:tc>
        <w:tc>
          <w:tcPr>
            <w:tcW w:w="112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140" w:type="dxa"/>
            <w:vAlign w:val="bottom"/>
            <w:shd w:val="clear" w:color="auto" w:fill="CCEEFF"/>
          </w:tcPr>
          <w:p>
            <w:pPr>
              <w:spacing w:after="0"/>
              <w:rPr>
                <w:sz w:val="21"/>
                <w:szCs w:val="21"/>
                <w:color w:val="auto"/>
              </w:rPr>
            </w:pPr>
          </w:p>
        </w:tc>
        <w:tc>
          <w:tcPr>
            <w:tcW w:w="914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Unresolved Staff Comments</w:t>
              </w:r>
            </w:hyperlink>
          </w:p>
        </w:tc>
        <w:tc>
          <w:tcPr>
            <w:tcW w:w="112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6</w:t>
              </w:r>
            </w:hyperlink>
          </w:p>
        </w:tc>
      </w:tr>
      <w:tr>
        <w:trPr>
          <w:trHeight w:val="203"/>
        </w:trPr>
        <w:tc>
          <w:tcPr>
            <w:tcW w:w="920" w:type="dxa"/>
            <w:vAlign w:val="bottom"/>
            <w:tcBorders>
              <w:top w:val="single" w:sz="8" w:color="CCEEFF"/>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4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9"/>
          </w:tcPr>
          <w:p>
            <w:pPr>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Properties</w:t>
              </w:r>
            </w:hyperlink>
          </w:p>
        </w:tc>
        <w:tc>
          <w:tcPr>
            <w:tcW w:w="7100" w:type="dxa"/>
            <w:vAlign w:val="bottom"/>
            <w:tcBorders>
              <w:top w:val="single" w:sz="8" w:color="CCEEFF"/>
            </w:tcBorders>
            <w:gridSpan w:val="11"/>
          </w:tcPr>
          <w:p>
            <w:pPr>
              <w:spacing w:after="0"/>
              <w:rPr>
                <w:sz w:val="17"/>
                <w:szCs w:val="17"/>
                <w:color w:val="auto"/>
              </w:rPr>
            </w:pPr>
          </w:p>
        </w:tc>
        <w:tc>
          <w:tcPr>
            <w:tcW w:w="10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7</w:t>
              </w:r>
            </w:hyperlink>
          </w:p>
        </w:tc>
        <w:tc>
          <w:tcPr>
            <w:tcW w:w="20" w:type="dxa"/>
            <w:vAlign w:val="bottom"/>
            <w:tcBorders>
              <w:top w:val="single" w:sz="8" w:color="CCEEFF"/>
            </w:tcBorders>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8"/>
              </w:rPr>
            </w:pPr>
            <w:hyperlink w:anchor="page11">
              <w:r>
                <w:rPr>
                  <w:rFonts w:ascii="Times New Roman" w:cs="Times New Roman" w:eastAsia="Times New Roman" w:hAnsi="Times New Roman"/>
                  <w:sz w:val="18"/>
                  <w:szCs w:val="18"/>
                  <w:color w:val="0000EE"/>
                  <w:w w:val="98"/>
                </w:rPr>
                <w:t>Legal Proceedings</w:t>
              </w:r>
            </w:hyperlink>
          </w:p>
        </w:tc>
        <w:tc>
          <w:tcPr>
            <w:tcW w:w="7800" w:type="dxa"/>
            <w:vAlign w:val="bottom"/>
            <w:tcBorders>
              <w:bottom w:val="single" w:sz="8" w:color="CCEEFF"/>
            </w:tcBorders>
            <w:gridSpan w:val="15"/>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tcPr>
          <w:p>
            <w:pPr>
              <w:ind w:left="14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Mine Safety Disclosures</w:t>
              </w:r>
            </w:hyperlink>
          </w:p>
        </w:tc>
        <w:tc>
          <w:tcPr>
            <w:tcW w:w="112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8</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7"/>
            <w:shd w:val="clear" w:color="auto" w:fill="CCEEFF"/>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1"/>
          </w:tcPr>
          <w:p>
            <w:pPr>
              <w:ind w:left="14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Market for the Company’s Common Equity, Related Shareholder Matters, and Issuer Purchases of Equity Securities</w:t>
              </w:r>
            </w:hyperlink>
          </w:p>
        </w:tc>
        <w:tc>
          <w:tcPr>
            <w:tcW w:w="112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9</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0000EE"/>
            </w:tcBorders>
            <w:gridSpan w:val="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Selected Financial Data</w:t>
              </w:r>
            </w:hyperlink>
          </w:p>
        </w:tc>
        <w:tc>
          <w:tcPr>
            <w:tcW w:w="7420" w:type="dxa"/>
            <w:vAlign w:val="bottom"/>
            <w:tcBorders>
              <w:bottom w:val="single" w:sz="8" w:color="CCEEFF"/>
            </w:tcBorders>
            <w:gridSpan w:val="14"/>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1"/>
          </w:tcPr>
          <w:p>
            <w:pPr>
              <w:ind w:left="140"/>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00" w:type="dxa"/>
            <w:vAlign w:val="bottom"/>
            <w:gridSpan w:val="3"/>
          </w:tcPr>
          <w:p>
            <w:pPr>
              <w:jc w:val="right"/>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11</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140" w:type="dxa"/>
            <w:vAlign w:val="bottom"/>
            <w:shd w:val="clear" w:color="auto" w:fill="CCEEFF"/>
          </w:tcPr>
          <w:p>
            <w:pPr>
              <w:spacing w:after="0"/>
              <w:rPr>
                <w:sz w:val="17"/>
                <w:szCs w:val="17"/>
                <w:color w:val="auto"/>
              </w:rPr>
            </w:pPr>
          </w:p>
        </w:tc>
        <w:tc>
          <w:tcPr>
            <w:tcW w:w="432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Quantitative and Qualitative Disclosures about Market Risk</w:t>
              </w:r>
            </w:hyperlink>
          </w:p>
        </w:tc>
        <w:tc>
          <w:tcPr>
            <w:tcW w:w="4820" w:type="dxa"/>
            <w:vAlign w:val="bottom"/>
            <w:gridSpan w:val="6"/>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17</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140" w:type="dxa"/>
            <w:vAlign w:val="bottom"/>
          </w:tcPr>
          <w:p>
            <w:pPr>
              <w:spacing w:after="0"/>
              <w:rPr>
                <w:sz w:val="17"/>
                <w:szCs w:val="17"/>
                <w:color w:val="auto"/>
              </w:rPr>
            </w:pPr>
          </w:p>
        </w:tc>
        <w:tc>
          <w:tcPr>
            <w:tcW w:w="4320" w:type="dxa"/>
            <w:vAlign w:val="bottom"/>
            <w:gridSpan w:val="14"/>
          </w:tcPr>
          <w:p>
            <w:pPr>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Financial Statements and Supplementary Data</w:t>
              </w:r>
            </w:hyperlink>
          </w:p>
        </w:tc>
        <w:tc>
          <w:tcPr>
            <w:tcW w:w="4820" w:type="dxa"/>
            <w:vAlign w:val="bottom"/>
            <w:gridSpan w:val="6"/>
          </w:tcPr>
          <w:p>
            <w:pPr>
              <w:spacing w:after="0"/>
              <w:rPr>
                <w:sz w:val="17"/>
                <w:szCs w:val="17"/>
                <w:color w:val="auto"/>
              </w:rPr>
            </w:pPr>
          </w:p>
        </w:tc>
        <w:tc>
          <w:tcPr>
            <w:tcW w:w="1100" w:type="dxa"/>
            <w:vAlign w:val="bottom"/>
            <w:gridSpan w:val="3"/>
          </w:tcPr>
          <w:p>
            <w:pPr>
              <w:jc w:val="right"/>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18</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140" w:type="dxa"/>
            <w:vAlign w:val="bottom"/>
            <w:shd w:val="clear" w:color="auto" w:fill="CCEEFF"/>
          </w:tcPr>
          <w:p>
            <w:pPr>
              <w:spacing w:after="0"/>
              <w:rPr>
                <w:sz w:val="17"/>
                <w:szCs w:val="17"/>
                <w:color w:val="auto"/>
              </w:rPr>
            </w:pPr>
          </w:p>
        </w:tc>
        <w:tc>
          <w:tcPr>
            <w:tcW w:w="648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660" w:type="dxa"/>
            <w:vAlign w:val="bottom"/>
            <w:gridSpan w:val="3"/>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140" w:type="dxa"/>
            <w:vAlign w:val="bottom"/>
          </w:tcPr>
          <w:p>
            <w:pPr>
              <w:spacing w:after="0"/>
              <w:rPr>
                <w:sz w:val="17"/>
                <w:szCs w:val="17"/>
                <w:color w:val="auto"/>
              </w:rPr>
            </w:pPr>
          </w:p>
        </w:tc>
        <w:tc>
          <w:tcPr>
            <w:tcW w:w="6480" w:type="dxa"/>
            <w:vAlign w:val="bottom"/>
            <w:gridSpan w:val="17"/>
          </w:tcPr>
          <w:p>
            <w:pPr>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Controls and Procedures</w:t>
              </w:r>
            </w:hyperlink>
          </w:p>
        </w:tc>
        <w:tc>
          <w:tcPr>
            <w:tcW w:w="2660" w:type="dxa"/>
            <w:vAlign w:val="bottom"/>
            <w:gridSpan w:val="3"/>
          </w:tcPr>
          <w:p>
            <w:pPr>
              <w:spacing w:after="0"/>
              <w:rPr>
                <w:sz w:val="17"/>
                <w:szCs w:val="17"/>
                <w:color w:val="auto"/>
              </w:rPr>
            </w:pPr>
          </w:p>
        </w:tc>
        <w:tc>
          <w:tcPr>
            <w:tcW w:w="1100" w:type="dxa"/>
            <w:vAlign w:val="bottom"/>
            <w:gridSpan w:val="3"/>
          </w:tcPr>
          <w:p>
            <w:pPr>
              <w:jc w:val="right"/>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36</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1"/>
            <w:shd w:val="clear" w:color="auto" w:fill="CCEEFF"/>
          </w:tcPr>
          <w:p>
            <w:pPr>
              <w:ind w:left="140"/>
              <w:spacing w:after="0" w:line="202"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Other Information</w:t>
              </w:r>
            </w:hyperlink>
          </w:p>
        </w:tc>
        <w:tc>
          <w:tcPr>
            <w:tcW w:w="1100" w:type="dxa"/>
            <w:vAlign w:val="bottom"/>
            <w:gridSpan w:val="3"/>
            <w:shd w:val="clear" w:color="auto" w:fill="CCEEFF"/>
          </w:tcPr>
          <w:p>
            <w:pPr>
              <w:jc w:val="right"/>
              <w:spacing w:after="0" w:line="202"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37</w:t>
              </w:r>
            </w:hyperlink>
          </w:p>
        </w:tc>
        <w:tc>
          <w:tcPr>
            <w:tcW w:w="20" w:type="dxa"/>
            <w:vAlign w:val="bottom"/>
            <w:shd w:val="clear" w:color="auto" w:fill="CCEEFF"/>
          </w:tcPr>
          <w:p>
            <w:pPr>
              <w:spacing w:after="0"/>
              <w:rPr>
                <w:sz w:val="21"/>
                <w:szCs w:val="21"/>
                <w:color w:val="auto"/>
              </w:rPr>
            </w:pPr>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Directors, Executive Officers, and Corporate Governance</w:t>
              </w:r>
            </w:hyperlink>
          </w:p>
        </w:tc>
        <w:tc>
          <w:tcPr>
            <w:tcW w:w="1100" w:type="dxa"/>
            <w:vAlign w:val="bottom"/>
            <w:gridSpan w:val="3"/>
            <w:shd w:val="clear" w:color="auto" w:fill="CCEEFF"/>
          </w:tcPr>
          <w:p>
            <w:pPr>
              <w:jc w:val="right"/>
              <w:spacing w:after="0" w:line="202"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38</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140" w:type="dxa"/>
            <w:vAlign w:val="bottom"/>
          </w:tcPr>
          <w:p>
            <w:pPr>
              <w:spacing w:after="0"/>
              <w:rPr>
                <w:sz w:val="17"/>
                <w:szCs w:val="17"/>
                <w:color w:val="auto"/>
              </w:rPr>
            </w:pPr>
          </w:p>
        </w:tc>
        <w:tc>
          <w:tcPr>
            <w:tcW w:w="4140" w:type="dxa"/>
            <w:vAlign w:val="bottom"/>
            <w:gridSpan w:val="13"/>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Executive Compensation</w:t>
              </w:r>
            </w:hyperlink>
          </w:p>
        </w:tc>
        <w:tc>
          <w:tcPr>
            <w:tcW w:w="5000" w:type="dxa"/>
            <w:vAlign w:val="bottom"/>
            <w:gridSpan w:val="7"/>
          </w:tcPr>
          <w:p>
            <w:pPr>
              <w:spacing w:after="0"/>
              <w:rPr>
                <w:sz w:val="17"/>
                <w:szCs w:val="17"/>
                <w:color w:val="auto"/>
              </w:rPr>
            </w:pPr>
          </w:p>
        </w:tc>
        <w:tc>
          <w:tcPr>
            <w:tcW w:w="1100" w:type="dxa"/>
            <w:vAlign w:val="bottom"/>
            <w:gridSpan w:val="3"/>
          </w:tcPr>
          <w:p>
            <w:pPr>
              <w:jc w:val="right"/>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100" w:type="dxa"/>
            <w:vAlign w:val="bottom"/>
            <w:gridSpan w:val="3"/>
            <w:shd w:val="clear" w:color="auto" w:fill="CCEEFF"/>
          </w:tcPr>
          <w:p>
            <w:pPr>
              <w:jc w:val="right"/>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140" w:type="dxa"/>
            <w:vAlign w:val="bottom"/>
          </w:tcPr>
          <w:p>
            <w:pPr>
              <w:spacing w:after="0"/>
              <w:rPr>
                <w:sz w:val="17"/>
                <w:szCs w:val="17"/>
                <w:color w:val="auto"/>
              </w:rPr>
            </w:pPr>
          </w:p>
        </w:tc>
        <w:tc>
          <w:tcPr>
            <w:tcW w:w="7340" w:type="dxa"/>
            <w:vAlign w:val="bottom"/>
            <w:gridSpan w:val="18"/>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100" w:type="dxa"/>
            <w:vAlign w:val="bottom"/>
            <w:gridSpan w:val="3"/>
          </w:tcPr>
          <w:p>
            <w:pPr>
              <w:jc w:val="right"/>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1"/>
            <w:shd w:val="clear" w:color="auto" w:fill="CCEEFF"/>
          </w:tcPr>
          <w:p>
            <w:pPr>
              <w:ind w:left="140"/>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Principal Accountant Fees and Services</w:t>
              </w:r>
            </w:hyperlink>
          </w:p>
        </w:tc>
        <w:tc>
          <w:tcPr>
            <w:tcW w:w="1100" w:type="dxa"/>
            <w:vAlign w:val="bottom"/>
            <w:gridSpan w:val="3"/>
            <w:shd w:val="clear" w:color="auto" w:fill="CCEEFF"/>
          </w:tcPr>
          <w:p>
            <w:pPr>
              <w:jc w:val="right"/>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c>
          <w:tcPr>
            <w:tcW w:w="20" w:type="dxa"/>
            <w:vAlign w:val="bottom"/>
            <w:shd w:val="clear" w:color="auto" w:fill="CCEEFF"/>
          </w:tcPr>
          <w:p>
            <w:pPr>
              <w:spacing w:after="0"/>
              <w:rPr>
                <w:sz w:val="21"/>
                <w:szCs w:val="21"/>
                <w:color w:val="auto"/>
              </w:rPr>
            </w:pPr>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1"/>
            <w:shd w:val="clear" w:color="auto" w:fill="CCEEFF"/>
          </w:tcPr>
          <w:p>
            <w:pPr>
              <w:ind w:left="140"/>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Exhibits and Financial Statement Schedules</w:t>
              </w:r>
            </w:hyperlink>
          </w:p>
        </w:tc>
        <w:tc>
          <w:tcPr>
            <w:tcW w:w="1100" w:type="dxa"/>
            <w:vAlign w:val="bottom"/>
            <w:gridSpan w:val="3"/>
            <w:shd w:val="clear" w:color="auto" w:fill="CCEEFF"/>
          </w:tcPr>
          <w:p>
            <w:pPr>
              <w:jc w:val="right"/>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320"/>
          </w:cols>
          <w:pgMar w:left="240" w:top="3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Hawkins, Inc. distributes, blends and manufactures chemicals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including manufacturing, blending and repackaging certain products. We believe that we create value for our customers through superb service and support, quality products, personalized applications and trustworthy, creative employees.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conduct our business in two segments: Industrial and Water Treatment. Financial information regarding these segments is reported in Items 7 and 8 of this Annual Report on Form 10-K.</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Our Industrial Group operates this segment of our business, which specializes in providing industrial chemicals, products and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such as agriculture, chemical processing, electronics, energy, food, pharmaceutical, plating and power generation. The group’s principal products are acids, alkalis and industrial and food-grade salts.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Industrial Group:</w:t>
      </w:r>
    </w:p>
    <w:p>
      <w:pPr>
        <w:spacing w:after="0" w:line="225" w:lineRule="exact"/>
        <w:rPr>
          <w:sz w:val="20"/>
          <w:szCs w:val="20"/>
          <w:color w:val="auto"/>
        </w:rPr>
      </w:pPr>
    </w:p>
    <w:p>
      <w:pPr>
        <w:ind w:left="400" w:hanging="162"/>
        <w:spacing w:after="0" w:line="282"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stores and distributes various chemicals in bulk quantities, including liquid caustic soda, sulfuric acid, hydrochloric acid, phosphoric acid, potassium hydroxide and aqua ammonia;</w:t>
      </w:r>
    </w:p>
    <w:p>
      <w:pPr>
        <w:spacing w:after="0" w:line="161" w:lineRule="exact"/>
        <w:rPr>
          <w:rFonts w:ascii="Times New Roman" w:cs="Times New Roman" w:eastAsia="Times New Roman" w:hAnsi="Times New Roman"/>
          <w:sz w:val="18"/>
          <w:szCs w:val="18"/>
          <w:color w:val="auto"/>
        </w:rPr>
      </w:pPr>
    </w:p>
    <w:p>
      <w:pPr>
        <w:ind w:left="400" w:hanging="162"/>
        <w:spacing w:after="0" w:line="282"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sodium hypochlorite (bleach), agricultural products and certain food-grade products, including liquid phosphates, lactates and other blended products;</w:t>
      </w:r>
    </w:p>
    <w:p>
      <w:pPr>
        <w:spacing w:after="0" w:line="161" w:lineRule="exact"/>
        <w:rPr>
          <w:rFonts w:ascii="Times New Roman" w:cs="Times New Roman" w:eastAsia="Times New Roman" w:hAnsi="Times New Roman"/>
          <w:sz w:val="18"/>
          <w:szCs w:val="18"/>
          <w:color w:val="auto"/>
        </w:rPr>
      </w:pPr>
    </w:p>
    <w:p>
      <w:pPr>
        <w:ind w:left="400" w:hanging="16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Repackages water treatment chemicals for our Water Treatment Group and bulk industrial chemicals to sell in smaller quantities to our customers;</w:t>
      </w:r>
    </w:p>
    <w:p>
      <w:pPr>
        <w:spacing w:after="0" w:line="225" w:lineRule="exact"/>
        <w:rPr>
          <w:rFonts w:ascii="Times New Roman" w:cs="Times New Roman" w:eastAsia="Times New Roman" w:hAnsi="Times New Roman"/>
          <w:sz w:val="18"/>
          <w:szCs w:val="18"/>
          <w:color w:val="auto"/>
        </w:rPr>
      </w:pPr>
    </w:p>
    <w:p>
      <w:pPr>
        <w:ind w:left="400" w:hanging="16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custom blending of certain chemicals for customers according to customer formulas; and</w:t>
      </w:r>
    </w:p>
    <w:p>
      <w:pPr>
        <w:spacing w:after="0" w:line="225" w:lineRule="exact"/>
        <w:rPr>
          <w:rFonts w:ascii="Times New Roman" w:cs="Times New Roman" w:eastAsia="Times New Roman" w:hAnsi="Times New Roman"/>
          <w:sz w:val="18"/>
          <w:szCs w:val="18"/>
          <w:color w:val="auto"/>
        </w:rPr>
      </w:pPr>
    </w:p>
    <w:p>
      <w:pPr>
        <w:ind w:left="420" w:hanging="169"/>
        <w:spacing w:after="0"/>
        <w:tabs>
          <w:tab w:leader="none" w:pos="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contract and private label bleach packaging.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sales are concentrated primarily in Illinois, Iowa, Minnesota, Missouri, North Dakota, South Dakota, Tennessee and Wisconsin while the group’s food-grade products are sold nationally. The Industrial Group relies on a specially trained sales staff that works directly with customers on their specific needs. The group conducts its business primarily through distribution centers and terminal operations.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Our Water Treatment Group operates this segment of our business, which specializes in providing chemicals,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we are able to obtain a competitive cost position on many of the chemicals sold by the Water Treatment Group due to the volumes of these chemicals purchased by our Industrial Group.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operates out of warehouses in 28 cities supplying products and services to customers primarily in Florida, Illinois, Indiana, Iowa, Kansas, Kentucky, Minnesota, Missouri, Montana, Nebraska, North Dakota, Ohio, Oklahoma, South Dakota, Wisconsin and Wyoming. We entered the Florida market in fiscal 2015 through our acquisition of substantially all the assets of The Dumont Company, Inc. (“Dumont”), with seven operating locations. We added one new branch in each of fiscal 2013 and fiscal 2014 and will be adding one in early fiscal 2016. We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Raw Materials. </w:t>
      </w:r>
      <w:r>
        <w:rPr>
          <w:rFonts w:ascii="Times New Roman" w:cs="Times New Roman" w:eastAsia="Times New Roman" w:hAnsi="Times New Roman"/>
          <w:sz w:val="18"/>
          <w:szCs w:val="18"/>
          <w:color w:val="auto"/>
        </w:rPr>
        <w:t>We have numerous suppliers, including many of the major chemical producers in the United States. We typically have written distributorship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supply contracts with our suppliers that are periodically renewed. We believe that most of the products we purchase can be obtained from alternative sources should existing relationships be terminated. We are dependent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Our intellectual property portfolio is of economic importance to our business. When appropriate, we have pursued, and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pursue, patents covering our products. We also have obtained certain trademarks for our products to distinguish them from our competitors’ products. We regard much of the formulae, information and processes that we generate and use in the conduct of our business as proprietary and protectable under applicable copyright, patent, trademark, trade secret and unfair competition laws.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Customer Concentration. </w:t>
      </w:r>
      <w:r>
        <w:rPr>
          <w:rFonts w:ascii="Times New Roman" w:cs="Times New Roman" w:eastAsia="Times New Roman" w:hAnsi="Times New Roman"/>
          <w:sz w:val="18"/>
          <w:szCs w:val="18"/>
          <w:color w:val="auto"/>
        </w:rPr>
        <w:t>In fiscal 2015, none of our customers accounted for 10.0% or more of our total sales. Sales to our largest customer represented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 of our total sales in fiscal 2015, 6.9% of our total sales in fiscal 2014 and 7.4% of our total sales in fiscal 2013. Aggregate sales to our five largest customers, all of which are in our Industrial segment, represented 18.0% of our total sales in fiscal 2015, 20.8% of our total sales in fiscal 2014 and 21.8% of our total sales in fiscal 2013. No other customer represented more than 2.0% of our total sales in fiscal 2015. The loss of any of our largest customers, or a substantial portion of their business, could have a material adverse effect on our results of operations.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We operate in a competitive industry and compete with many producers, distributors and sales agents offering chemicals equivalent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products we offer. Many of our competitors are larger than we are and may have greater financial resources, although no one competitor is dominant in our industry. We compete by offering quality products at competitive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Geographic Information. </w:t>
      </w:r>
      <w:r>
        <w:rPr>
          <w:rFonts w:ascii="Times New Roman" w:cs="Times New Roman" w:eastAsia="Times New Roman" w:hAnsi="Times New Roman"/>
          <w:sz w:val="18"/>
          <w:szCs w:val="18"/>
          <w:color w:val="auto"/>
        </w:rPr>
        <w:t>Substantially all of our revenues are generated by sales to customers within, and long-lived assets are located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0.7% of our total revenues were from sales to customers outside of the U.S. in fiscal 2015 and 0.5% of our revenues were from sales to customers outside of the U.S. in both fiscal 2014 and fiscal 2013.</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Working Capital. </w:t>
      </w:r>
      <w:r>
        <w:rPr>
          <w:rFonts w:ascii="Times New Roman" w:cs="Times New Roman" w:eastAsia="Times New Roman" w:hAnsi="Times New Roman"/>
          <w:sz w:val="18"/>
          <w:szCs w:val="18"/>
          <w:color w:val="auto"/>
        </w:rPr>
        <w:t>Due to the nature of our operations, which includes purchases of large quantities of bulk chemicals, the timing of purchases can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 Additionally, due to seasonality of the Water Treatment business, our accounts receivable balance is generally higher during the period of April through September.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Employees. </w:t>
      </w:r>
      <w:r>
        <w:rPr>
          <w:rFonts w:ascii="Times New Roman" w:cs="Times New Roman" w:eastAsia="Times New Roman" w:hAnsi="Times New Roman"/>
          <w:sz w:val="18"/>
          <w:szCs w:val="18"/>
          <w:color w:val="auto"/>
        </w:rPr>
        <w:t>We had 419 employees as of March 29, 2015, including 51 covered by collective bargaining agreements.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About Us. </w:t>
      </w:r>
      <w:r>
        <w:rPr>
          <w:rFonts w:ascii="Times New Roman" w:cs="Times New Roman" w:eastAsia="Times New Roman" w:hAnsi="Times New Roman"/>
          <w:sz w:val="18"/>
          <w:szCs w:val="18"/>
          <w:color w:val="auto"/>
        </w:rPr>
        <w:t>Hawkins, Inc. was founded in 1938 and incorporated in Minnesota in 1955. We became a publicly-traded company in 1972.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offices are located at 2381 Rosegate, Roseville, Minnesota.</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Available Information. </w:t>
      </w:r>
      <w:r>
        <w:rPr>
          <w:rFonts w:ascii="Times New Roman" w:cs="Times New Roman" w:eastAsia="Times New Roman" w:hAnsi="Times New Roman"/>
          <w:sz w:val="18"/>
          <w:szCs w:val="18"/>
          <w:color w:val="auto"/>
        </w:rPr>
        <w:t>We have made available, free of charge, through our Internet website (http://www.hawkinsinc.com), our Annual Reports on 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risks when reading the information, including the financial information, contained in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environment and face significant competition and price pressure.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industry and compete with producers, manufacturers, distributors and sales agents offering chemicals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greater geographic reach. As a result, these competitors may be able to offer a broader array of products to a larger geographic area and may be better able than us to withstand changes in conditions within our industry, changes in the prices and availability of raw materials, changes in general economic conditions and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investing in infrastructure to reduce freight costs, identifying and selling higher margin chemical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prices and availability of our chemical raw materials, which may be cyclical in nature, could have a material adverse effect on our operations and the margins we receive on sales of our products.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 regular and recurring fluctuations in the pricing of our raw materials. Those fluctuations can be significant and occur rapidly. The cyclicality of commodity chemical markets, such as caustic soda, primarily results from changes in the balance between supply and demand and the level of general economic activity. We cannot predict whether the markets for our chemical raw materials will favorably impact or negatively impact the margins we can realize.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raw materials are generally purchased under supply contracts. The prices we pay under these contracts generally lag the market prices of the underlying raw material and the cost of inventory we have on hand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In periods of rapidly increasing market prices, our inventory cost position will tend to be favorable, possibly by material amounts, which may positively impact our margins. Conversely, in periods of rapidly decreasing market prices, our inventory cost position will tend to be unfavorable,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products is affected by general economic conditions. A decline in general economic or business conditions in the industries served by our customers could have a material adverse effect on our business. Although we sell to areas traditionally considered non-cyclical, such as water treatment and food products, many of our customers are in businesses that are cyclical in nature, such as the industrial manufacturing, surface finishing and energy industries which include the ethanol and agriculture industries. Downturns in these industries could adversely affect our sales and our financial results by affecting demand for and pricing of our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customers’ needs or failure of our products to meet customers’ specifications could adversely affect our sales and profitability.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chemicals are used for a broad range of applications by our customers. Changes in our customers’ product needs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provide important performance attributes to our customers’ products. If our products fail to meet the customers’ specifications, perform in a manner consistent with quality specifications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hazards common to chemical manufacturing,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maintain a number of owned trucks and trailers, we rely heavily upon transportation provided by third parties (including common carriers, barge companies and rail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increasingly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and when waterways are frozen. Truck transportation has been negatively impacted by a number of factors, including limited availability of qualified drivers and equipment, and limitations on drivers’ hours of service, and we expect these conditions will continue into the future. Our failure to ship or receive products in a timely and efficient manner could have a material adverse effect on our financial condition and results of operations.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 perceptions, impact the commercial viability of the products we sell and increase the costs to comply with increasingly complex regulations, which could have a negative impact on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operate a fleet of more than 100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exposes us to potential product liability claims and recalls, which could adversely affect our financial condition and performance.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repackaging, blending, mixing and distribution of chemical products by us, including products used in food or food ingredients or with medical, pharmaceutical or nutritional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particularly that of our Water Treatment Group and our agricultural product sales, is subject to seasonality and weather conditions, which could adversely affect our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Water Treatment Group has historically experienced higher sales during April to September, primarily due to a seasonal increase in chemicals used by municipal water treatment facilities. Our agricultural product sales are also seasonal, primarily corresponding with the planting and harvesting seasons.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insurance that we maintain may not fully cover all potential exposures.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personnel or attract new skilled personnel, it could have an adverse impact on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stemming from natural disasters or other extraordinary events outside of our control, which could interrupt our production and adversely affect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seven times, including three times since the spring of 2010. We can give no assurance that flooding or other natural disasters will not recur or that there will not be material damage or interruption to our operations in the future from such disasters.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renew our leases of land where four of our operations facilities reside.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the land where our three main terminals are located and where another significant manufacturing plant is located. We do not have guaranteed lease renewal options and may not be able to renew our leases in the future. Our current lease renewal periods extend out to 2018 (2 leases), 2023 (one lease) and 2029 (one lease). We are currently in negotiations to extend the two leases expiring in 2018 for a period of 15-20 years. The failure to secure extended lease terms on any one of these facilities may have a material adverse impact on our business, as they are where a significant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corporate office is located in Roseville, Minnesota, where we lease approximately 40,000 square feet under a lease with an initial term through December 31, 2021. We own our principal manufacturing, warehousing, and distribution location in Minneapolis, Minnesota, which consists of approximately 11 acres of land, with six buildings containing a total of 177,000 square feet of office and warehouse space primarily used by our Industrial Group. We have installed sprinkler systems in substantially all of our warehouse facilities for fire protection. We believe that we carry customary levels of insurance covering the replacement of damaged property.</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120" w:type="dxa"/>
            <w:vAlign w:val="bottom"/>
            <w:shd w:val="clear" w:color="auto" w:fill="CCEEFF"/>
          </w:tcPr>
          <w:p>
            <w:pPr>
              <w:spacing w:after="0"/>
              <w:rPr>
                <w:sz w:val="13"/>
                <w:szCs w:val="13"/>
                <w:color w:val="auto"/>
              </w:rPr>
            </w:pPr>
          </w:p>
        </w:tc>
        <w:tc>
          <w:tcPr>
            <w:tcW w:w="2580" w:type="dxa"/>
            <w:vAlign w:val="bottom"/>
            <w:vMerge w:val="restart"/>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Approx.</w:t>
            </w:r>
          </w:p>
        </w:tc>
        <w:tc>
          <w:tcPr>
            <w:tcW w:w="0" w:type="dxa"/>
            <w:vAlign w:val="bottom"/>
          </w:tcPr>
          <w:p>
            <w:pPr>
              <w:spacing w:after="0"/>
              <w:rPr>
                <w:sz w:val="1"/>
                <w:szCs w:val="1"/>
                <w:color w:val="auto"/>
              </w:rPr>
            </w:pPr>
          </w:p>
        </w:tc>
      </w:tr>
      <w:tr>
        <w:trPr>
          <w:trHeight w:val="200"/>
        </w:trPr>
        <w:tc>
          <w:tcPr>
            <w:tcW w:w="4320" w:type="dxa"/>
            <w:vAlign w:val="bottom"/>
            <w:vMerge w:val="continue"/>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580" w:type="dxa"/>
            <w:vAlign w:val="bottom"/>
            <w:tcBorders>
              <w:bottom w:val="single" w:sz="8" w:color="auto"/>
            </w:tcBorders>
            <w:vMerge w:val="continue"/>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0" w:type="dxa"/>
            <w:vAlign w:val="bottom"/>
          </w:tcPr>
          <w:p>
            <w:pPr>
              <w:spacing w:after="0"/>
              <w:rPr>
                <w:sz w:val="1"/>
                <w:szCs w:val="1"/>
                <w:color w:val="auto"/>
              </w:rPr>
            </w:pPr>
          </w:p>
        </w:tc>
      </w:tr>
      <w:tr>
        <w:trPr>
          <w:trHeight w:val="237"/>
        </w:trPr>
        <w:tc>
          <w:tcPr>
            <w:tcW w:w="4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Industrial</w:t>
            </w:r>
          </w:p>
        </w:tc>
        <w:tc>
          <w:tcPr>
            <w:tcW w:w="2120" w:type="dxa"/>
            <w:vAlign w:val="bottom"/>
          </w:tcPr>
          <w:p>
            <w:pPr>
              <w:spacing w:after="0"/>
              <w:rPr>
                <w:sz w:val="20"/>
                <w:szCs w:val="20"/>
                <w:color w:val="auto"/>
              </w:rPr>
            </w:pPr>
          </w:p>
        </w:tc>
        <w:tc>
          <w:tcPr>
            <w:tcW w:w="2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Camanche, IA</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Centralia, IL(1)</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Dupo, IL(2)</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Minneapolis, MN(3)</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St. Paul, MN(4)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Rosemount, MN(5)</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St Louis, MO</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Water Treatment</w:t>
            </w: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Ft. Smith, AR(6)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Apopka, FL(6)</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Big Pine Key, FL(6)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Hollywood, FL(6)</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LaBelle, FL(6)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Monticello, FL(6)</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Starke, FL(6)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Webster, FL(6)</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Eldridge, IA</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Slater, IA</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Centralia, IL</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Havana, IL</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Peotone, IL(6)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Muncie, IN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Garnett, KS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Frankfort, KY(7)</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Columbia, MO(6)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Billings, MT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Fargo, ND</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Washburn, ND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Lincoln, NE(6)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Tulsa, OK</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Sioux Falls, SD</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Rapid City, SD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Fond du Lac, WI</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Superior, WI</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Industrial and Water Treatment</w:t>
            </w:r>
          </w:p>
        </w:tc>
        <w:tc>
          <w:tcPr>
            <w:tcW w:w="2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St. Paul, MN(8)</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Memphis, TN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486"/>
        </w:trPr>
        <w:tc>
          <w:tcPr>
            <w:tcW w:w="4320" w:type="dxa"/>
            <w:vAlign w:val="bottom"/>
          </w:tcPr>
          <w:p>
            <w:pPr>
              <w:spacing w:after="0"/>
              <w:rPr>
                <w:sz w:val="24"/>
                <w:szCs w:val="24"/>
                <w:color w:val="auto"/>
              </w:rPr>
            </w:pPr>
          </w:p>
        </w:tc>
        <w:tc>
          <w:tcPr>
            <w:tcW w:w="2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w:t>
            </w:r>
          </w:p>
        </w:tc>
        <w:tc>
          <w:tcPr>
            <w:tcW w:w="2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0" w:name="page11"/>
    <w:bookmarkEnd w:id="10"/>
    <w:p>
      <w:pPr>
        <w:ind w:left="540" w:hanging="316"/>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includes 10 acres of land located in Centralia, Illinois owned by the Company. The facility includes manufacturing capacity and primarily serves our food-grade products and agriculture businesses.</w:t>
      </w:r>
    </w:p>
    <w:p>
      <w:pPr>
        <w:spacing w:after="0" w:line="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for this manufacturing and packaging facility is leased from a third party, with the lease expiring in May 2023.</w:t>
      </w:r>
    </w:p>
    <w:p>
      <w:pPr>
        <w:spacing w:after="0" w:line="9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leased from a third party and is warehouse space.</w:t>
      </w:r>
    </w:p>
    <w:p>
      <w:pPr>
        <w:spacing w:after="0" w:line="90" w:lineRule="exact"/>
        <w:rPr>
          <w:rFonts w:ascii="Times New Roman" w:cs="Times New Roman" w:eastAsia="Times New Roman" w:hAnsi="Times New Roman"/>
          <w:sz w:val="18"/>
          <w:szCs w:val="18"/>
          <w:color w:val="auto"/>
        </w:rPr>
      </w:pPr>
    </w:p>
    <w:p>
      <w:pPr>
        <w:jc w:val="both"/>
        <w:ind w:left="540" w:hanging="316"/>
        <w:spacing w:after="0" w:line="26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The applicable leases run through 2018. We are in negotiations to extend these leases for a period of 15-20 years.</w:t>
      </w:r>
    </w:p>
    <w:p>
      <w:pPr>
        <w:spacing w:after="0" w:line="44"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includes 28 acres of land owned by the Company. This manufacturing facility was constructed by us and has outside storage tanks for the storage of bulk chemicals, as well as numerous smaller tanks for storing and mixing chemicals.</w:t>
      </w:r>
    </w:p>
    <w:p>
      <w:pPr>
        <w:spacing w:after="0" w:line="26"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leased from a third party and is warehouse space.</w:t>
      </w:r>
    </w:p>
    <w:p>
      <w:pPr>
        <w:spacing w:after="0" w:line="9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was purchased in fiscal 2015 and will begin operations in early fiscal 2016.</w:t>
      </w:r>
    </w:p>
    <w:p>
      <w:pPr>
        <w:spacing w:after="0" w:line="90" w:lineRule="exact"/>
        <w:rPr>
          <w:rFonts w:ascii="Times New Roman" w:cs="Times New Roman" w:eastAsia="Times New Roman" w:hAnsi="Times New Roman"/>
          <w:sz w:val="18"/>
          <w:szCs w:val="18"/>
          <w:color w:val="auto"/>
        </w:rPr>
      </w:pPr>
    </w:p>
    <w:p>
      <w:pPr>
        <w:jc w:val="both"/>
        <w:ind w:left="540" w:hanging="316"/>
        <w:spacing w:after="0" w:line="266"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45"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1300" w:right="20" w:hanging="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THE COMPANY’S COMMON EQUITY, RELATED SHAREHOLDER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Quarterly Stock Data</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Fiscal 2015</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36.93</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33.22</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34.00</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32.98</w:t>
            </w:r>
          </w:p>
        </w:tc>
      </w:tr>
      <w:tr>
        <w:trPr>
          <w:trHeight w:val="250"/>
        </w:trPr>
        <w:tc>
          <w:tcPr>
            <w:tcW w:w="8320" w:type="dxa"/>
            <w:vAlign w:val="bottom"/>
            <w:tcBorders>
              <w:bottom w:val="single" w:sz="8" w:color="CCEEFF"/>
            </w:tcBorders>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Fiscal 2014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33.25</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35.29</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36.50</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35.92</w:t>
            </w:r>
          </w:p>
        </w:tc>
      </w:tr>
      <w:tr>
        <w:trPr>
          <w:trHeight w:val="324"/>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83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83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Fiscal 2016</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
        </w:trPr>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1st Quarter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0.38</w:t>
            </w:r>
          </w:p>
        </w:tc>
      </w:tr>
      <w:tr>
        <w:trPr>
          <w:trHeight w:val="243"/>
        </w:trPr>
        <w:tc>
          <w:tcPr>
            <w:tcW w:w="83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Fiscal 2015</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0.38</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r>
      <w:tr>
        <w:trPr>
          <w:trHeight w:val="250"/>
        </w:trPr>
        <w:tc>
          <w:tcPr>
            <w:tcW w:w="8320" w:type="dxa"/>
            <w:vAlign w:val="bottom"/>
            <w:tcBorders>
              <w:bottom w:val="single" w:sz="8" w:color="CCEEFF"/>
            </w:tcBorders>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Fiscal 2014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r>
      <w:tr>
        <w:trPr>
          <w:trHeight w:val="270"/>
        </w:trPr>
        <w:tc>
          <w:tcPr>
            <w:tcW w:w="840" w:type="dxa"/>
            <w:vAlign w:val="bottom"/>
          </w:tcPr>
          <w:p>
            <w:pPr>
              <w:spacing w:after="0"/>
              <w:rPr>
                <w:sz w:val="23"/>
                <w:szCs w:val="23"/>
                <w:color w:val="auto"/>
              </w:rPr>
            </w:pPr>
          </w:p>
        </w:tc>
        <w:tc>
          <w:tcPr>
            <w:tcW w:w="74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0" w:type="dxa"/>
            <w:vAlign w:val="bottom"/>
            <w:shd w:val="clear" w:color="auto" w:fill="CCEEFF"/>
          </w:tcPr>
          <w:p>
            <w:pPr>
              <w:spacing w:after="0"/>
              <w:rPr>
                <w:sz w:val="23"/>
                <w:szCs w:val="23"/>
                <w:color w:val="auto"/>
              </w:rPr>
            </w:pPr>
          </w:p>
        </w:tc>
        <w:tc>
          <w:tcPr>
            <w:tcW w:w="7480" w:type="dxa"/>
            <w:vAlign w:val="bottom"/>
            <w:gridSpan w:val="3"/>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shares are traded on The NASDAQ Global Market under the symbol “HWKN.” The price information represents sales prices as reported by The NASDAQ Global Market. As of May 22, 2015, shares of our common stock were held by approximately 464 shareholders of record.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first started paying cash dividends in 1985 and have continued to do so since. Future dividend levels will be dependent upon our consolidated results of operations, financial position, cash flows and other factors, and are subject to approval by our Board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The following table sets forth information concerning purchases of our common stock for the quarter ended March 29, 2015:</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0" w:right="239" w:bottom="1440" w:gutter="0" w:footer="0" w:header="0"/>
        </w:sectPr>
      </w:pPr>
    </w:p>
    <w:bookmarkStart w:id="12" w:name="page13"/>
    <w:bookmarkEnd w:id="12"/>
    <w:tbl>
      <w:tblPr>
        <w:tblLayout w:type="fixed"/>
        <w:tblInd w:w="32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2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 a</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Maximum Number of Shares</w:t>
            </w:r>
          </w:p>
        </w:tc>
      </w:tr>
      <w:tr>
        <w:trPr>
          <w:trHeight w:val="216"/>
        </w:trPr>
        <w:tc>
          <w:tcPr>
            <w:tcW w:w="2480" w:type="dxa"/>
            <w:vAlign w:val="bottom"/>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Total Number of Shares</w:t>
            </w:r>
          </w:p>
        </w:tc>
        <w:tc>
          <w:tcPr>
            <w:tcW w:w="1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Average Price Paid Per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Publicly Announced Plan 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that May Yet be Purchased</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Purchased</w:t>
            </w:r>
          </w:p>
        </w:tc>
        <w:tc>
          <w:tcPr>
            <w:tcW w:w="19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Share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Program</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 Plans or Programs</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12/29/2014-1/25/2015</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259,980</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1/26/2015-2/22/2015</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259,980</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2/23/2015-03/29/2015</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19,582</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37.76</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19,582</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240,398</w:t>
            </w:r>
          </w:p>
        </w:tc>
      </w:tr>
      <w:tr>
        <w:trPr>
          <w:trHeight w:val="27"/>
        </w:trPr>
        <w:tc>
          <w:tcPr>
            <w:tcW w:w="24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2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19,582</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19,582</w:t>
            </w:r>
          </w:p>
        </w:tc>
        <w:tc>
          <w:tcPr>
            <w:tcW w:w="2200" w:type="dxa"/>
            <w:vAlign w:val="bottom"/>
          </w:tcPr>
          <w:p>
            <w:pPr>
              <w:spacing w:after="0"/>
              <w:rPr>
                <w:sz w:val="20"/>
                <w:szCs w:val="20"/>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March 30, 2010,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228600</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26"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Selected financial data for the Company’s continuing operations is presented in the table below and should be read in conjunction with Management’s Discussion and Analysis of Financial Condition and Results of Operations included in Item 7 and the Company’s consolidated financial statements and notes thereto included in Item 8 herein. Total assets shown below are for the Company’s total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364,023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348,263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350,387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343,834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297,641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65,791</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61,600</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56,936</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65,868</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61,902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19,214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18,094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17,108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21,628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20,314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0.76</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0.68</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0.64</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0.66</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248,462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237,193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222,148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204,081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185,005</w:t>
            </w:r>
          </w:p>
        </w:tc>
      </w:tr>
    </w:tbl>
    <w:p>
      <w:pPr>
        <w:spacing w:after="0" w:line="22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We acquired substantially all the assets of The Dumont Company, Inc. in the third quarter of fiscal 2015, and we acquired substantially all the assets of Vertex Chemical Corporation in late fiscal 2011. The results of these operations since the acquisition dates are included in our consolidated results of operations.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results of operations for fiscal 2015, 2014 and 2013. This discussion should be read in conjunction with the Financial Statements and Notes to Financial Statements included in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manufacturing, blending and repackaging certain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Acquisitions and Business Expansion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20, 2014, we acquired substantially all of the assets of The Dumont Company, Inc. (“Dumont”) 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$14.0 million in calendar year 2013. Through this acquisition we added seven operating locations across Florida serving municipal water and wastewater treatment, private utilities, commercial swimming pools, irrigation water treatment and food processing chemical markets. The results of operations since the acquisition date are included in our Water Treatment Segment.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2014, we acquired substantially all the assets of Advance Chemical Solutions, Inc. (“ACS”). We paid $2.4 million in cash at closing, and have paid an additional $0.4 million of a potential $0.5 million earnout. We may be obligated to pay the remainder of the earnout over the next two years based on the achievement of certain financial performance targets. ACS had revenues of approximately $4.0 million for the 12 months ended September 30, 2013. The results of its operations since the acquisition date are included in our Water Treatment segment.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2013, we completed construction of a new Industrial manufacturing facility in Rosemount, Minnesota. The site provides capacity for future business growth and lessens our dependence on our flood-prone sites on the Mississippi River. We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0" w:right="2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incurred incremental costs to operate this new facility during fiscal 2014 as compared to fiscal 2013 of approximately $1.7 million, which have been recorded in cost of sales in our Industrial segment.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acquisitions described above, we opened seven new branches for our Water Treatment Group in fiscal 2015 and one in fiscal 2014. We are opening one new branch in early fiscal 2016 and opened one in fiscal 2013. We expect to continue to invest in existing and new branches to expand our Water Treatment Group’s geographic coverage. The cost of any one of these expansion branches is not expected to be material. In addition, in fiscal 2015 and continuing into fiscal 2016, we have proactively added route sales and other support personnel to Water Treatment Group branch offices within our existing geographic coverage area. While these additions will add costs in the near term, we expect these investments to better position us for future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fiscal 2015 we repurchased 59,602 shares of common stock with an aggregate purchase price of $2.2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Events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2014, we moved into a new corporate headquarters located in Roseville, Minnesota. The move was necessary because we had outgrown our former corporate headquarters that had been our home for over 60 years. As a result of this move, we incurred incremental costs during fiscal 2014 as compared to fiscal 2013 of approximately $1.0 million, recorded in selling, general and administrative expenses and allocated among both our Water Treatment and Industrial segments.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2013, we recorded a pre-tax charge of $7.2 million in our Industrial segment (approximately $4.5 million after tax, or $0.43 per fully diluted share). This charge represented the discounted value of our estimated withdrawal payment obligation from the Central States, Southeast and Southwest Areas Pension Fund (“CSS”), a collectively bargained multiemployer pension plan. The withdrawal liability will be paid over 20 years and our payments began in the third quarter of fiscal 2014.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2013, we entered into a settlement agreement with a chemical supplier to us, pursuant to which we mutually resolved previously disclosed litigation and all disputes between us. The settlement agreement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 in our Industrial segment (approximately $2.0 million after tax, or $0.19 per fully diluted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overview of our financial performance in fiscal 2015 is provided below:</w:t>
      </w:r>
    </w:p>
    <w:p>
      <w:pPr>
        <w:spacing w:after="0" w:line="225" w:lineRule="exact"/>
        <w:rPr>
          <w:sz w:val="20"/>
          <w:szCs w:val="20"/>
          <w:color w:val="auto"/>
        </w:rPr>
      </w:pPr>
    </w:p>
    <w:p>
      <w:pPr>
        <w:ind w:left="560" w:hanging="33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$364.0 million, a 4.5% increase from fiscal 2014;</w:t>
      </w:r>
    </w:p>
    <w:p>
      <w:pPr>
        <w:spacing w:after="0" w:line="225"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$65.8 million, or 18.1% of sales, an increase of $4.2 million in gross profit dollars from fiscal 2014;</w:t>
      </w:r>
    </w:p>
    <w:p>
      <w:pPr>
        <w:spacing w:after="0" w:line="225" w:lineRule="exact"/>
        <w:rPr>
          <w:rFonts w:ascii="Times New Roman" w:cs="Times New Roman" w:eastAsia="Times New Roman" w:hAnsi="Times New Roman"/>
          <w:sz w:val="18"/>
          <w:szCs w:val="18"/>
          <w:color w:val="auto"/>
        </w:rPr>
      </w:pPr>
    </w:p>
    <w:p>
      <w:pPr>
        <w:ind w:left="560" w:hanging="33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$20.7 million; and</w:t>
      </w:r>
    </w:p>
    <w:p>
      <w:pPr>
        <w:spacing w:after="0" w:line="225"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investments available for sale of $50.4 million as of the end of fiscal 2015.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maintain relatively constant gross profit dollars per unit sold on each of our products as the cost of our raw materials increase or decrease, subject to competitive pricing pressures that may negatively impact our gross profit dollars per unit sold. Since we expect that we will continue to experience fluctuations in our raw material costs and resulting prices in the future, we believe that gross profit dollars is the best measure of our profitability from the sale of our products, as opposed to gross profit as a percentage of sales.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last in, first out (“LIFO”) method of valuing the vast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Our LIFO reserve increased by $0.4 million in fiscal 2015 due to an increase in inventory volumes on hand, resulting in a decrease to our reported gross profit for the year. In fiscal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2014, our LIFO reserve decreased by $1.9 million, increasing our reported gross profit for that year. The reduction in the LIFO reserve in fiscal 2014 was primarily due to lower volumes of inventory on hand at year-end, driven by cold and wintry weather that resulted in rail car and barge shipment delays during the fourth quarter of fiscal 2014.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disclose the sales of our bulk commodity products as a percentage of total sales dollars.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items from our statement of income as a percentage of sales from period to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5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95"/>
        </w:trPr>
        <w:tc>
          <w:tcPr>
            <w:tcW w:w="65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withdrawal</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
        </w:trPr>
        <w:tc>
          <w:tcPr>
            <w:tcW w:w="6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2015 Compared to Fiscal 2014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increased $15.8 million, or 4.5%, to $364.0 million for fiscal 2015, as compared to sales of $348.3 million for fiscal 2014. Sales of bulk commodity products were approximately 22% of sales in fiscal 2015 and 23% in fiscal 2014.</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Industrial segment sales increased $4.2 million, or 1.7%, to $249.1 million for fiscal 2015. Volumes increased year-over-year;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raw material prices and competitive pricing pressures in certain product lines resulted in lower per-unit selling prices.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Water Treatment segment sales increased $11.6 million, or 11.2%, to $115.0 million for fiscal 2015. Our recently acquired Florida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Oklahoma locations accounted for $7.9 million of the total increase. In addition, growth in our newer branches and increased sales of specialty chemicals were partially offset by the impact of lower raw material prices.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was $65.8 million, or 18.1% of sales, for fiscal 2015, as compared to $61.6 million, or 17.7% of sales, for fiscal 2014. The LIFO method of valuing inventory decreased gross profit by $0.4 million for fiscal 2015, while it increased gross profit by $1.9 million for fiscal 2014.</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Gross profit for the Industrial segment was $33.6 million, or 13.5% of sales, for fiscal 2015, an increase of $1.6 million from $32.0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13.1% of sales, for fiscal 2014. The increase in gross profit dollars was driven by higher sales volumes in fiscal 2015 as compared to fiscal 2014, partially offset by lower per-unit margins due to continued competitive pricing pressures in certain product lines. Gross profit for fiscal 2015 as compared to fiscal 2014 was favorably impacted by $0.3 million, as costs incurred in fiscal 2014 to exit a leased facility were partially offset by accelerated depreciation on assets incurred in fiscal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4" w:right="2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2015 in connection with a construction project. The LIFO method of valuing inventory decreased gross profit in our industrial segment by $0.3 million in fiscal 2015, while it increased gross profit by $1.6 million in fiscal 2014.</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Gross profit for the Water Treatment segment increased $2.6 million to $32.2 million, or 28.0% of sales, for fiscal 2015,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$29.6 million, or 28.6% of sales, for fiscal 2014. The increase in gross profit dollars was a result of higher sales volumes across most of our branches, in particular the addition of our recently acquired Florida and Oklahoma locations, along with increased sales of specialty chemicals. Gross profit as a percentage of sales decreased primarily due to the addition of and growth in our newer branches that have lower per-branch revenues, and the costs to operate these branches represent a higher percentage of their sales than many of our existing branches. The LIFO method of valuing inventory decreased gross profit by $0.1 million in fiscal 2015, while it increased gross profit by $0.3 million in fiscal 2014.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$35.4 million, or 9.7% of sales, for fiscal 2015, as compared to $33.5 million, or 9.6% of sales, for fiscal 2014. The expenses increased in our Water Treatment segment, with $1.6 million of the increase due to our recently acquired Florida and Oklahoma locations, and the remainder of the increase driven by the addition of sales personnel in existing locations.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was $30.4 million, or 8.4% of sales, for fiscal 2015, as compared to $28.1 million, or 8.1% of sales, for fiscal 2014. Operating income for the Industrial segment increased by $1.6 million as a result of the gross profit increases discussed above. Operating income for the Water Treatment segment increased $0.8 million, as increased selling, general and administrative expenses partially offset increases in gross profit as discussed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on cash and investments of $0.2 million was offset by interest expense related to our pension withdrawal liability of $0.2 million during both fiscal 2015 and fiscal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36.9% for fiscal 2015 compared to 35.5% for fiscal 2014. Our effective tax rate for fiscal 2014 was reduced by a non-recurring state tax benefit of $0.4 million. The effective tax rate is generally impacted by projected levels of taxable income, permanent items, and state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2014 Compared to Fiscal 2013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decreased $2.1 million, or 0.6%, to $348.3 million for fiscal 2014, as compared to sales of $350.4 million for fiscal 2013. Sales of bulk commodity products were approximately 23% of sales in fiscal 2014 and 24% in fiscal 2013.</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Industrial segment sales decreased $3.7 million, or 1.5%, to $244.9 million for fiscal 2014. Overall volumes increased slightly year-over-year, with the increase driven by higher volumes of bulk commodity products sold, which generally carry lower per-unit selling prices and margins. In addition, competitive pricing pressures resulted in lower overall per-unit selling prices.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Water Treatment segment sales increased $1.5 million, or 1.5%, to $103.4 million for fiscal 2014. Sales volumes in this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largely unchanged as compared to the prior year. Sales growth in our newer branches, including the recently acquired Oklahoma location, together with increased sales of certain specialty chemical products and equipment, more than offset the negative impact of unfavorable weather conditions during the majority of the spring and summer months and reduced sales volumes of bulk commodity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$61.6 million, or 17.7% of sales, for fiscal 2014, as compared to $56.9 million, or 16.2% of sales, for fiscal 2013. The prior year’s gross profit was adversely impacted by the $7.2 million CSS pension withdrawal charge and the $3.2 million charge resulting from the litigation settlement, both of which were recorded in our Industrial segment. Together, these charges constituted 3.0% of sales for fiscal 2013. The LIFO method of valuing inventory increased gross profit by $1.9 million for fiscal 2014 and $0.4 million for fiscal 2013, primarily due to lower levels of inventory of many of our products at year-end.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Gross profit for the Industrial segment was $32.0 million, or 13.1% of sales, for fiscal 2014, as compared to $28.9 million, or 11.6%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for fiscal 2013. The prior year’s gross profit for this segment was negatively impacted by the $7.2 million CSS pension withdrawal charge and the $3.2 million charge resulting from the litigation settlement, which charges together constituted 4.2% of Industrial segment sales for the fiscal year. Gross profit for fiscal 2014 was adversely impacted by $1.7 million in incremental costs to operate our new Rosemount manufacturing facility as compared to fiscal 2013, and a $0.4 million year-over-year difference in costs incurred to exit the leased facility used to serve our bulk pharmaceutical customers. Despite slightly higher overall sales volumes, gross profit was also negatively impacted by competitive pricing pressures and higher volumes of lower margin products sold as compared to the prior year. The LIFO method of valuing inventory increased gross profit by $1.6 million in fiscal 2014 and increased gross profit by $0.4 million in fiscal 2013.</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Gross profit for the Water Treatment segment was $29.6 million, or 28.6% of sales, for fiscal 2014, as compared to $28.1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27.6% of sales, for fiscal 2013. Growth at our newer branches, including the recently acquired Oklahoma location, along with a favorable product mix shift to specialty chemical products from bulk commodities, more than offset the impact to gross profit of unfavorable weather conditions during the spring and summer months. The LIFO method of valuing inventory increased gross profit by $0.3 million in fiscal 2014 and had a nominal impact on gross profit in fiscal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$33.5 million, or 9.6% of sales, for fiscal 2014, as compared to $31.6 million, or 9.0% of sales, for fiscal 2013. The increase in expenses was driven by incremental costs of $1.0 million related to our new headquarters facility, as well as additional sales and infrastructure support staffing costs in the Water Treatment segment, including our recently acquired Oklahoma location.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was $28.1 million, or 8.1% of sales, for fiscal 2014, as compared to $25.3 million, or 7.2% of sales, for fiscal 2013. Operating income for the Industrial segment increased by $3.3 million as a result of the $7.2 million CSS pension withdrawal charge and the $3.2 million litigation settlement charge recorded in the prior year, largely offset by the reductions in gross profit in fiscal 2014 as discussed above. Operating income for the Water Treatment segment decreased $0.5 million primarily as a result of higher selling, general and administrative expenses, more than offsetting increases in gross profit as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on cash and investments of $0.2 million was offset by interest expense related to our pension withdrawal liability of $0.2 million during fiscal 2014. Interest income of $0.1 million for fiscal 2013 consisted primarily of interest income on cash and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35.5% for fiscal 2014 compared to 32.7% for fiscal 2013. Our effective tax rate for fiscal 2014 was reduced by a non-recurring state tax benefit of $0.4 million. During fiscal 2013, we amended previously filed U.S. Federal tax returns resulting in an increase of $0.8 million in the benefits related to the domestic manufacturing deduction and investment tax credits, which reduced our tax rate for that year. The effective tax rate is generally impacted by projected levels of taxable income, permanent items, and state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 fiscal 2015 was $20.7 million compared to $34.6 million in fiscal 2014 and $35.5 million in fiscal 2013. The decrease in cash provided by operating activities was primarily due to the timing of inventory purchases, with increased inventory levels on hand at March 29, 2015 as compared to March 30, 2014. Our inventory levels on hand at the end of fiscal 2014 were unusually low, driven by cold and wintry weather that resulted in rail car and barge shipment delays during the fourth quarter of fiscal 2014.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 Additionally, due to seasonality of the Water Treatment business, our accounts receivable balance is generally higher during the period of April through September.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8" w:right="2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was $26.4 million in fiscal 2015 compared to $23.1 million in fiscal 2014 and $30.4 million in fiscal 2013. Capital expenditures were $14.6 million in fiscal 2015, $12.3 million in fiscal 2014 and $26.7 million in fiscal 2013. Capital expenditures in fiscal 2015 included $5.5 million related to business expansion, inventory storage, and process improvement projects and $5.9 million related to facility improvements, replacement equipment, new and replacement containers and water treatment trucks. We are projecting an increased level of capital spending in fiscal 2016 as compared with fiscal 2015 as we invest in business growth and infrastructure related projects including site development and rail work at one of our terminal facilities. Total capital spending in fiscal 2016 is currently projected to be approximately $33.0 million. We also used $10.1 million of cash for the Dumont acquisition in fiscal 2015 and $2.4 million of cash for the ACS acquisition in fiscal 2014, with nominal cash expended for acquisitions in fiscal 2013.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$9.1 million in fiscal 2015 compared to $6.7 million in fiscal 2014 and $4.9 million in fiscal 2013. The increase in cash used in financing activities in fiscal 2015 was driven by $2.2 million of common stock repurchases during fiscal 2015. Dividend payments were $7.9 million in fiscal 2015, $7.4 million in fiscal 2014 and $6.9 million in fiscal 2013. During the second quarter of fiscal 2015, our Board of Directors increased our semi-annual cash dividend by 5.6% to $0.38 per share, from $0.36 per share. We have paid cash dividends continuously since 1985. Future dividend levels will be dependent upon our results of operations, financial position, cash flows and other factors, and are subject to approval by our Board of Directors.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investments available-for-sale was $50.4 million at March 29, 2015, a decrease of $12.8 million as compared with March 30, 2014, primarily due to the cash outflows associated with the Dumont acquisition, dividend payments, capital expenditures, and the share repurchase program described above exceeding the cash flows generated from operations during fiscal 2015. Investments available-for-sale as of March 29, 2015 and March 30, 2014 consisted of certificates of deposit and municipal bonds with maturities ranging from three months to three years. We expect cash balances and our cash flows from operations will be sufficient to fund our cash requirements in fiscal 2016.</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business growth strategy, we have acquired businesses and may pursue acquisitions or other strategic relationships in the future that we believe will complement or expand our existing businesses or increase our customer base. 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aggregate information about our contractual payment obligations and the periods in which payments are due: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w:t>
            </w:r>
          </w:p>
        </w:tc>
        <w:tc>
          <w:tcPr>
            <w:tcW w:w="280" w:type="dxa"/>
            <w:vAlign w:val="bottom"/>
          </w:tcPr>
          <w:p>
            <w:pPr>
              <w:spacing w:after="0"/>
              <w:rPr>
                <w:sz w:val="12"/>
                <w:szCs w:val="12"/>
                <w:color w:val="auto"/>
              </w:rPr>
            </w:pPr>
          </w:p>
        </w:tc>
        <w:tc>
          <w:tcPr>
            <w:tcW w:w="9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12"/>
                <w:szCs w:val="12"/>
                <w:color w:val="auto"/>
              </w:rPr>
            </w:pPr>
          </w:p>
        </w:tc>
        <w:tc>
          <w:tcPr>
            <w:tcW w:w="8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2"/>
                <w:szCs w:val="12"/>
                <w:color w:val="auto"/>
              </w:rPr>
            </w:pPr>
          </w:p>
        </w:tc>
        <w:tc>
          <w:tcPr>
            <w:tcW w:w="88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80" w:type="dxa"/>
            <w:vAlign w:val="bottom"/>
          </w:tcPr>
          <w:p>
            <w:pPr>
              <w:spacing w:after="0"/>
              <w:rPr>
                <w:sz w:val="12"/>
                <w:szCs w:val="12"/>
                <w:color w:val="auto"/>
              </w:rPr>
            </w:pPr>
          </w:p>
        </w:tc>
        <w:tc>
          <w:tcPr>
            <w:tcW w:w="8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2"/>
                <w:szCs w:val="12"/>
                <w:color w:val="auto"/>
              </w:rPr>
            </w:pPr>
          </w:p>
        </w:tc>
        <w:tc>
          <w:tcPr>
            <w:tcW w:w="980" w:type="dxa"/>
            <w:vAlign w:val="bottom"/>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340" w:type="dxa"/>
            <w:vAlign w:val="bottom"/>
          </w:tcPr>
          <w:p>
            <w:pPr>
              <w:spacing w:after="0"/>
              <w:rPr>
                <w:sz w:val="12"/>
                <w:szCs w:val="12"/>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2,139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1,916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1,555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4,198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12,936</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withdrawal liability (1)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467</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467</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467</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6,307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right="180" w:hanging="412"/>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table above relate to our withdrawal from the CSS multiemployer pension plan. Payments on this obligation began in fiscal 2014 and will continue through 2034.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64" w:right="239" w:bottom="1440" w:gutter="0" w:footer="0" w:header="0"/>
        </w:sectPr>
      </w:pPr>
    </w:p>
    <w:bookmarkStart w:id="19" w:name="page20"/>
    <w:bookmarkEnd w:id="19"/>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when there is evidence that the customer has agreed to purchase the product, the price and terms of the sale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the product has shipped and title has passed to our customer, performance has occurred, and collection of the receivable is reasonably assured.</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LIFO Reserve </w:t>
      </w:r>
      <w:r>
        <w:rPr>
          <w:rFonts w:ascii="Times New Roman" w:cs="Times New Roman" w:eastAsia="Times New Roman" w:hAnsi="Times New Roman"/>
          <w:sz w:val="18"/>
          <w:szCs w:val="18"/>
          <w:color w:val="auto"/>
        </w:rPr>
        <w:t>- Inventories are primarily valued at the lower of cost or market with cost being determined using the LIFO method. We may incur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fluctuations in our LIFO reserve and, as a result, gross margins, due primarily to changes in the level of inventory on hand and the per-unit cost of a single, large-volume component of our inventory. The price of this inventory component fluctuates depending on the balance between supply and demand. Management reviews the LIFO reserve on a quarterly basis. Inventories not valued used the LIFO method are valued at the lower of cost or market with cost being determined using the FIFO method.</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Infinite-life Intangible Assets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represents the excess of the cost of acquired businesses over the fair value of identifiable tangible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identifiable intangible assets purchased. Goodwill is tested at least annually for impairment, and is tested for impairment more frequently if events or changes in circumstances indicate that the asset might be impaired. As of January 1, 2015,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either reporting unit.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8, “Note 1 - Nature of Business and Significant Accounting Policies” of the Notes to Consolidated Financial Statements for information regarding recently adopted accounting standards or accounting standards to be adopted in the future.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2"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and Stockholders of Hawkins, Inc.:</w:t>
      </w:r>
    </w:p>
    <w:p>
      <w:pPr>
        <w:spacing w:after="0" w:line="3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Hawkins, Inc. and subsidiaries (the Company) as of March 29, 2015 and March 30, 2014, and the related consolidated statements of income, comprehensive income, shareholders’ equity, and cash flows for each of the years in the three-year period ended March 29, 2015. In connection with our audits of the consolidated financial statements, we also have audited the financial statement schedule for each of the years in the three-year period ended March 29, 2015, listed in schedule II of this Form 10-K. We also have audited the Company’s internal control over financial reporting as of March 29, 2015, based on criteria established in </w:t>
      </w:r>
      <w:r>
        <w:rPr>
          <w:rFonts w:ascii="Times New Roman" w:cs="Times New Roman" w:eastAsia="Times New Roman" w:hAnsi="Times New Roman"/>
          <w:sz w:val="17"/>
          <w:szCs w:val="17"/>
          <w:i w:val="1"/>
          <w:iCs w:val="1"/>
          <w:color w:val="auto"/>
        </w:rPr>
        <w:t>Internal Control - Integrated Framework (1992)</w:t>
      </w:r>
      <w:r>
        <w:rPr>
          <w:rFonts w:ascii="Times New Roman" w:cs="Times New Roman" w:eastAsia="Times New Roman" w:hAnsi="Times New Roman"/>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Hawkins, Inc. and subsidiaries as of March 29, 2015 and March 30, 2014, and the results of their operations and their cash flows for each of the years in the three-year period ended March 29, 2015, in conformity with U.S. generally accepted accounting principles. Also, in our opinion, the financial statement schedule referred to above, when considered in relation to the basic consolidated financial statements taken as a whole, presents fairly, in all material respects, the information set forth therein. Also in our opinion, Hawkins, Inc. and subsidiaries maintained, in all material respects, effective internal control over financial reporting as of March 29, 2015, based on criteria established in </w:t>
      </w:r>
      <w:r>
        <w:rPr>
          <w:rFonts w:ascii="Times New Roman" w:cs="Times New Roman" w:eastAsia="Times New Roman" w:hAnsi="Times New Roman"/>
          <w:sz w:val="17"/>
          <w:szCs w:val="17"/>
          <w:i w:val="1"/>
          <w:iCs w:val="1"/>
          <w:color w:val="auto"/>
        </w:rPr>
        <w:t xml:space="preserve">Internal Control - Integrated Framework (1992) </w:t>
      </w:r>
      <w:r>
        <w:rPr>
          <w:rFonts w:ascii="Times New Roman" w:cs="Times New Roman" w:eastAsia="Times New Roman" w:hAnsi="Times New Roman"/>
          <w:sz w:val="17"/>
          <w:szCs w:val="17"/>
          <w:color w:val="auto"/>
        </w:rPr>
        <w:t>issued by the Committee of Sponsoring Organizations of the Treadway Commission.</w:t>
      </w:r>
    </w:p>
    <w:p>
      <w:pPr>
        <w:spacing w:after="0" w:line="10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Our report dated May 28, 2015 on internal control over financial reporting as of March 29, 2015, contains an explanatory paragraph that states management excluded from its assessment of the effectiveness of internal control over financial reporting as of March 29, 2015, Dumont Company, Inc.’s internal control over financial reporting that comprise total assets of 4.3% and 1.6% of total revenues included in the consolidated financial statements of Hawkins, Inc. and subsidiaries as of and for the year ended March 29, 2015. Our audit of internal control over financial reporting of Hawkins, Inc. also excluded an evaluation of the internal control over financial reporting of Dumont Company,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28, 2015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0" w:right="239" w:bottom="1440" w:gutter="0" w:footer="0" w:header="0"/>
        </w:sectPr>
      </w:pPr>
    </w:p>
    <w:bookmarkStart w:id="21" w:name="page22"/>
    <w:bookmarkEnd w:id="21"/>
    <w:p>
      <w:pPr>
        <w:ind w:left="100"/>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220" w:type="dxa"/>
            <w:vAlign w:val="bottom"/>
          </w:tcPr>
          <w:p>
            <w:pPr>
              <w:spacing w:after="0"/>
              <w:rPr>
                <w:sz w:val="16"/>
                <w:szCs w:val="16"/>
                <w:color w:val="auto"/>
              </w:rPr>
            </w:pP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0" w:type="dxa"/>
            <w:vAlign w:val="bottom"/>
          </w:tcPr>
          <w:p>
            <w:pPr>
              <w:spacing w:after="0"/>
              <w:rPr>
                <w:sz w:val="1"/>
                <w:szCs w:val="1"/>
                <w:color w:val="auto"/>
              </w:rPr>
            </w:pPr>
          </w:p>
        </w:tc>
      </w:tr>
      <w:tr>
        <w:trPr>
          <w:trHeight w:val="17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0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18,639</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33,486</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Investments available-for-sale</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14,485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13,843</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Trade receivables, less allowance for doubtful accounts of $445 for 2015 and $477 for 2014</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40,355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37,946</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37,028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26,192</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3,160</w:t>
            </w:r>
          </w:p>
        </w:tc>
        <w:tc>
          <w:tcPr>
            <w:tcW w:w="0" w:type="dxa"/>
            <w:vAlign w:val="bottom"/>
          </w:tcPr>
          <w:p>
            <w:pPr>
              <w:spacing w:after="0"/>
              <w:rPr>
                <w:sz w:val="1"/>
                <w:szCs w:val="1"/>
                <w:color w:val="auto"/>
              </w:rPr>
            </w:pPr>
          </w:p>
        </w:tc>
      </w:tr>
      <w:tr>
        <w:trPr>
          <w:trHeight w:val="73"/>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0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114,340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114,627</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Land</w:t>
            </w:r>
          </w:p>
        </w:tc>
        <w:tc>
          <w:tcPr>
            <w:tcW w:w="2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8,038</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73,095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68,801</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Machinery and equipment</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60,077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53,089</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Transportation equipment</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19,596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17,764</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Office furniture and equipment including computer systems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11,966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11,183</w:t>
            </w:r>
          </w:p>
        </w:tc>
        <w:tc>
          <w:tcPr>
            <w:tcW w:w="0" w:type="dxa"/>
            <w:vAlign w:val="bottom"/>
          </w:tcPr>
          <w:p>
            <w:pPr>
              <w:spacing w:after="0"/>
              <w:rPr>
                <w:sz w:val="1"/>
                <w:szCs w:val="1"/>
                <w:color w:val="auto"/>
              </w:rPr>
            </w:pPr>
          </w:p>
        </w:tc>
      </w:tr>
      <w:tr>
        <w:trPr>
          <w:trHeight w:val="73"/>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158,875</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79,042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68,406</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0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00" w:type="dxa"/>
            <w:vAlign w:val="bottom"/>
          </w:tcPr>
          <w:p>
            <w:pPr>
              <w:spacing w:after="0"/>
              <w:rPr>
                <w:sz w:val="15"/>
                <w:szCs w:val="15"/>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93,730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90,469</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11,750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7,392</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Intangible assets, less accumulated amortization of $3,933 for 2015 and $3,069 for 2014</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8,509</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Long-term investments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17,249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15,852</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0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other assets</w:t>
            </w:r>
          </w:p>
        </w:tc>
        <w:tc>
          <w:tcPr>
            <w:tcW w:w="200" w:type="dxa"/>
            <w:vAlign w:val="bottom"/>
          </w:tcPr>
          <w:p>
            <w:pPr>
              <w:spacing w:after="0"/>
              <w:rPr>
                <w:sz w:val="15"/>
                <w:szCs w:val="15"/>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40,392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32,097</w:t>
            </w:r>
          </w:p>
        </w:tc>
        <w:tc>
          <w:tcPr>
            <w:tcW w:w="0" w:type="dxa"/>
            <w:vAlign w:val="bottom"/>
          </w:tcPr>
          <w:p>
            <w:pPr>
              <w:spacing w:after="0"/>
              <w:rPr>
                <w:sz w:val="1"/>
                <w:szCs w:val="1"/>
                <w:color w:val="auto"/>
              </w:rPr>
            </w:pPr>
          </w:p>
        </w:tc>
      </w:tr>
      <w:tr>
        <w:trPr>
          <w:trHeight w:val="73"/>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0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248,462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237,193</w:t>
            </w:r>
          </w:p>
        </w:tc>
        <w:tc>
          <w:tcPr>
            <w:tcW w:w="0" w:type="dxa"/>
            <w:vAlign w:val="bottom"/>
          </w:tcPr>
          <w:p>
            <w:pPr>
              <w:spacing w:after="0"/>
              <w:rPr>
                <w:sz w:val="1"/>
                <w:szCs w:val="1"/>
                <w:color w:val="auto"/>
              </w:rPr>
            </w:pPr>
          </w:p>
        </w:tc>
      </w:tr>
      <w:tr>
        <w:trPr>
          <w:trHeight w:val="59"/>
        </w:trPr>
        <w:tc>
          <w:tcPr>
            <w:tcW w:w="7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 trade</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20,083</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18,306</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Dividends payable</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3,823</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payroll and employee benefits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5,555</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tcPr>
          <w:p>
            <w:pPr>
              <w:spacing w:after="0"/>
              <w:rPr>
                <w:sz w:val="16"/>
                <w:szCs w:val="16"/>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1,444</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3,801</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0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5"/>
                <w:szCs w:val="15"/>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36,343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35,829</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WITHDRAWAL LIABILITY</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6,887</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9,978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10,186</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0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spacing w:after="0"/>
              <w:rPr>
                <w:sz w:val="15"/>
                <w:szCs w:val="15"/>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54,498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54,780</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2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Common stock; authorized: 30,000,000 shares of $0.05 par value; 10,564,949 and 10,562,400 shares issued and</w:t>
            </w:r>
          </w:p>
        </w:tc>
        <w:tc>
          <w:tcPr>
            <w:tcW w:w="2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outstanding for 2015 and 2014, respectively</w:t>
            </w:r>
          </w:p>
        </w:tc>
        <w:tc>
          <w:tcPr>
            <w:tcW w:w="20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50,901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50,502</w:t>
            </w: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142,567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131,427</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73"/>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0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193,964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182,413</w:t>
            </w:r>
          </w:p>
        </w:tc>
        <w:tc>
          <w:tcPr>
            <w:tcW w:w="0" w:type="dxa"/>
            <w:vAlign w:val="bottom"/>
          </w:tcPr>
          <w:p>
            <w:pPr>
              <w:spacing w:after="0"/>
              <w:rPr>
                <w:sz w:val="1"/>
                <w:szCs w:val="1"/>
                <w:color w:val="auto"/>
              </w:rPr>
            </w:pPr>
          </w:p>
        </w:tc>
      </w:tr>
      <w:tr>
        <w:trPr>
          <w:trHeight w:val="78"/>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0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248,462</w:t>
            </w:r>
          </w:p>
        </w:tc>
        <w:tc>
          <w:tcPr>
            <w:tcW w:w="120" w:type="dxa"/>
            <w:vAlign w:val="bottom"/>
          </w:tcPr>
          <w:p>
            <w:pPr>
              <w:spacing w:after="0"/>
              <w:rPr>
                <w:sz w:val="15"/>
                <w:szCs w:val="15"/>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237,193</w:t>
            </w:r>
          </w:p>
        </w:tc>
        <w:tc>
          <w:tcPr>
            <w:tcW w:w="0" w:type="dxa"/>
            <w:vAlign w:val="bottom"/>
          </w:tcPr>
          <w:p>
            <w:pPr>
              <w:spacing w:after="0"/>
              <w:rPr>
                <w:sz w:val="1"/>
                <w:szCs w:val="1"/>
                <w:color w:val="auto"/>
              </w:rPr>
            </w:pPr>
          </w:p>
        </w:tc>
      </w:tr>
      <w:tr>
        <w:trPr>
          <w:trHeight w:val="64"/>
        </w:trPr>
        <w:tc>
          <w:tcPr>
            <w:tcW w:w="70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300"/>
          </w:cols>
          <w:pgMar w:left="800" w:top="576" w:right="7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300"/>
          </w:cols>
          <w:pgMar w:left="800" w:top="576" w:right="7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240" w:type="dxa"/>
            <w:vAlign w:val="bottom"/>
          </w:tcPr>
          <w:p>
            <w:pPr>
              <w:spacing w:after="0"/>
              <w:rPr>
                <w:sz w:val="22"/>
                <w:szCs w:val="22"/>
                <w:color w:val="auto"/>
              </w:rPr>
            </w:pP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0" w:type="dxa"/>
            <w:vAlign w:val="bottom"/>
          </w:tcPr>
          <w:p>
            <w:pPr>
              <w:spacing w:after="0"/>
              <w:rPr>
                <w:sz w:val="1"/>
                <w:szCs w:val="1"/>
                <w:color w:val="auto"/>
              </w:rPr>
            </w:pPr>
          </w:p>
        </w:tc>
      </w:tr>
      <w:tr>
        <w:trPr>
          <w:trHeight w:val="249"/>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350,387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(286,241)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withdrawal</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65,791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61,600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56,936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30,416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28,090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25,330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30,454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28,061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25,414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17,108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17,126</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outstanding-basic</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10,568,582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10,544,467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10,464,820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10,633,554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10,599,755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10,541,142</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380" w:type="dxa"/>
            <w:vAlign w:val="bottom"/>
          </w:tcPr>
          <w:p>
            <w:pPr>
              <w:spacing w:after="0"/>
              <w:rPr>
                <w:sz w:val="16"/>
                <w:szCs w:val="16"/>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380" w:type="dxa"/>
            <w:vAlign w:val="bottom"/>
          </w:tcPr>
          <w:p>
            <w:pPr>
              <w:spacing w:after="0"/>
              <w:rPr>
                <w:sz w:val="16"/>
                <w:szCs w:val="16"/>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 2013</w:t>
            </w:r>
          </w:p>
        </w:tc>
      </w:tr>
      <w:tr>
        <w:trPr>
          <w:trHeight w:val="323"/>
        </w:trPr>
        <w:tc>
          <w:tcPr>
            <w:tcW w:w="61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17,126</w:t>
            </w: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3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on post-retirement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17,143</w:t>
            </w: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b w:val="1"/>
          <w:bCs w:val="1"/>
          <w:color w:val="auto"/>
        </w:rPr>
        <w:t>CONSOLIDATED STATEMENTS OF SHAREHOLDERS’ EQUITY (In thousands, except share data)</w:t>
      </w:r>
    </w:p>
    <w:p>
      <w:pPr>
        <w:spacing w:after="0" w:line="200" w:lineRule="exact"/>
        <w:rPr>
          <w:sz w:val="20"/>
          <w:szCs w:val="20"/>
          <w:color w:val="auto"/>
        </w:rPr>
      </w:pPr>
    </w:p>
    <w:p>
      <w:pPr>
        <w:spacing w:after="0" w:line="203"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24765</wp:posOffset>
            </wp:positionV>
            <wp:extent cx="1680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660"/>
        <w:spacing w:after="0"/>
        <w:tabs>
          <w:tab w:leader="none" w:pos="496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00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100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720"/>
            <w:col w:w="5140"/>
          </w:cols>
          <w:pgMar w:left="240" w:top="360" w:right="239" w:bottom="1440" w:gutter="0" w:footer="0" w:header="0"/>
        </w:sectPr>
      </w:pPr>
    </w:p>
    <w:tbl>
      <w:tblPr>
        <w:tblLayout w:type="fixed"/>
        <w:tblInd w:w="0" w:type="dxa"/>
        <w:tblCellMar>
          <w:top w:w="0" w:type="dxa"/>
          <w:left w:w="0" w:type="dxa"/>
          <w:bottom w:w="0" w:type="dxa"/>
          <w:right w:w="0" w:type="dxa"/>
        </w:tblCellMar>
      </w:tblPr>
      <w:tr>
        <w:trPr>
          <w:trHeight w:val="274"/>
        </w:trPr>
        <w:tc>
          <w:tcPr>
            <w:tcW w:w="3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 April 1, 2012</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10,430,874</w:t>
            </w: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45,169</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111,039</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156,607</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dividends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w:t>
            </w:r>
          </w:p>
        </w:tc>
      </w:tr>
      <w:tr>
        <w:trPr>
          <w:trHeight w:val="225"/>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surrendered for payroll taxes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ESPP shares issued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17,126</w:t>
            </w:r>
          </w:p>
        </w:tc>
      </w:tr>
      <w:tr>
        <w:trPr>
          <w:trHeight w:val="27"/>
        </w:trPr>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 March 31, 2013</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10,495,427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120,974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170,172</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r>
      <w:tr>
        <w:trPr>
          <w:trHeight w:val="225"/>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surrendered for payroll taxes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ESPP shares issued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comprehensive income,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3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18,094</w:t>
            </w:r>
          </w:p>
        </w:tc>
      </w:tr>
      <w:tr>
        <w:trPr>
          <w:trHeight w:val="27"/>
        </w:trPr>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 March 30, 2014</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10,562,400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182,413</w:t>
            </w:r>
          </w:p>
        </w:tc>
      </w:tr>
      <w:tr>
        <w:trPr>
          <w:trHeight w:val="54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1,631</w:t>
            </w:r>
          </w:p>
        </w:tc>
      </w:tr>
      <w:tr>
        <w:trPr>
          <w:trHeight w:val="225"/>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29,355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surrendered for payroll taxes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ESPP shares Issued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25"/>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19,214</w:t>
            </w: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 March 29, 2015</w:t>
            </w: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10,564,949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50,901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142,567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193,964</w:t>
            </w:r>
          </w:p>
        </w:tc>
      </w:tr>
      <w:tr>
        <w:trPr>
          <w:trHeight w:val="27"/>
        </w:trPr>
        <w:tc>
          <w:tcPr>
            <w:tcW w:w="3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360"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0" w:right="239"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18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200" w:type="dxa"/>
            <w:vAlign w:val="bottom"/>
          </w:tcPr>
          <w:p>
            <w:pPr>
              <w:spacing w:after="0"/>
              <w:rPr>
                <w:sz w:val="22"/>
                <w:szCs w:val="22"/>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March 31, 2013</w:t>
            </w:r>
          </w:p>
        </w:tc>
      </w:tr>
      <w:tr>
        <w:trPr>
          <w:trHeight w:val="249"/>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17,126</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43"/>
        </w:trPr>
        <w:tc>
          <w:tcPr>
            <w:tcW w:w="5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Pension withdrawal</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43"/>
        </w:trPr>
        <w:tc>
          <w:tcPr>
            <w:tcW w:w="5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from property disposals</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5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operating accounts (using) providing cash, net of</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53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effects of acquisition: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Trade receivables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43"/>
        </w:trPr>
        <w:tc>
          <w:tcPr>
            <w:tcW w:w="5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43"/>
        </w:trPr>
        <w:tc>
          <w:tcPr>
            <w:tcW w:w="5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37"/>
        </w:trPr>
        <w:tc>
          <w:tcPr>
            <w:tcW w:w="53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34,612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35,474</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w:t>
            </w: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 and maturities of investments</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shares issued</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exercised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surrendered for payroll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repurchased</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r>
      <w:tr>
        <w:trPr>
          <w:trHeight w:val="205"/>
        </w:trPr>
        <w:tc>
          <w:tcPr>
            <w:tcW w:w="5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(DECREASE) INCREASE IN CASH AND CASH</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34"/>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year</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28,566</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End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28,715</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178"/>
        </w:trPr>
        <w:tc>
          <w:tcPr>
            <w:tcW w:w="53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SUPPLEMENTAL DISCLOSURES OF CASH FLOW</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1"/>
        </w:trPr>
        <w:tc>
          <w:tcPr>
            <w:tcW w:w="5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53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Noncash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140"/>
          </w:cols>
          <w:pgMar w:left="880" w:top="360" w:right="87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40"/>
          </w:cols>
          <w:pgMar w:left="880" w:top="360" w:right="87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Business - </w:t>
      </w:r>
      <w:r>
        <w:rPr>
          <w:rFonts w:ascii="Times New Roman" w:cs="Times New Roman" w:eastAsia="Times New Roman" w:hAnsi="Times New Roman"/>
          <w:sz w:val="18"/>
          <w:szCs w:val="18"/>
          <w:color w:val="auto"/>
        </w:rPr>
        <w:t>We have two reportable segments: Industrial and Water Treatment. The Industrial Group operates our Industrial segment and specializes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providing industrial chemicals, products and services to industries such as agriculture, chemical processing, electronics, energy, food, pharmaceutical, plating and power generation. The group also manufactures and sells certain food-grade products, including liquid phosphates, lactates and other blended products. The Water Treatment Group operates our Water Treatment segment and specializes in providing chemicals, equipment and 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 </w:t>
      </w:r>
      <w:r>
        <w:rPr>
          <w:rFonts w:ascii="Times New Roman" w:cs="Times New Roman" w:eastAsia="Times New Roman" w:hAnsi="Times New Roman"/>
          <w:sz w:val="18"/>
          <w:szCs w:val="18"/>
          <w:color w:val="auto"/>
        </w:rPr>
        <w:t>Our fiscal year is a 52/53-week year ending on the Sunday closest to March 31. Our fiscal years ended March 29, 2015 (“fiscal 2015”),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2014 (“fiscal 2014”), and March 31, 2013 (“fiscal 2013”) were 52 weeks. The fiscal year ending April 3, 2016 (“fiscal 2016”) will be 53 weeks.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 </w:t>
      </w:r>
      <w:r>
        <w:rPr>
          <w:rFonts w:ascii="Times New Roman" w:cs="Times New Roman" w:eastAsia="Times New Roman" w:hAnsi="Times New Roman"/>
          <w:sz w:val="18"/>
          <w:szCs w:val="18"/>
          <w:color w:val="auto"/>
        </w:rPr>
        <w:t>The consolidated financial statements include the accounts of Hawkins, Inc. and its wholly-owned subsidiaries.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intercompany transactions and accounts have been eliminated.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Estimates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w:t>
      </w:r>
      <w:r>
        <w:rPr>
          <w:rFonts w:ascii="Times New Roman" w:cs="Times New Roman" w:eastAsia="Times New Roman" w:hAnsi="Times New Roman"/>
          <w:sz w:val="18"/>
          <w:szCs w:val="18"/>
          <w:color w:val="auto"/>
        </w:rPr>
        <w:t>We recognize revenue when there is evidence that the customer has agreed to purchase the product, the price and terms of the sale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the product has shipped and title has passed to our customer, performance has occurred, and collection of the receivable is reasonably assured.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Shipping and Handling - </w:t>
      </w:r>
      <w:r>
        <w:rPr>
          <w:rFonts w:ascii="Times New Roman" w:cs="Times New Roman" w:eastAsia="Times New Roman" w:hAnsi="Times New Roman"/>
          <w:sz w:val="18"/>
          <w:szCs w:val="18"/>
          <w:color w:val="auto"/>
        </w:rPr>
        <w:t>All shipping and handling amounts billed to customers are included in revenues. Costs incurred related to the shipping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handling of products are included in cost of sales.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 </w:t>
      </w:r>
      <w:r>
        <w:rPr>
          <w:rFonts w:ascii="Times New Roman" w:cs="Times New Roman" w:eastAsia="Times New Roman" w:hAnsi="Times New Roman"/>
          <w:sz w:val="18"/>
          <w:szCs w:val="18"/>
          <w:color w:val="auto"/>
        </w:rPr>
        <w:t>The financial assets and liabilities that are re-measured and reported at fair value for each reporting period include marketable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as well as contingent consideration payable related to the acquisition of Advance Chemical Solutions, Inc. (“ACS”). There are no fair value measurements with respect to nonfinancial assets or liabilities that are recognized or disclosed at fair value in our consolidated financial statements on a recurring basis.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observable inputs such as quoted market prices (unadjusted) for identical assets or liabilities in active markets.</w:t>
      </w:r>
    </w:p>
    <w:p>
      <w:pPr>
        <w:spacing w:after="0" w:line="225" w:lineRule="exact"/>
        <w:rPr>
          <w:sz w:val="20"/>
          <w:szCs w:val="20"/>
          <w:color w:val="auto"/>
        </w:rPr>
      </w:pPr>
    </w:p>
    <w:p>
      <w:pPr>
        <w:ind w:left="220" w:firstLine="23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asset or liability, either directly or indirectly, for substantially the full term of the financial instrument.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based upon other unobservable inputs that are significant to the fair value measurement.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 </w:t>
      </w:r>
      <w:r>
        <w:rPr>
          <w:rFonts w:ascii="Times New Roman" w:cs="Times New Roman" w:eastAsia="Times New Roman" w:hAnsi="Times New Roman"/>
          <w:sz w:val="18"/>
          <w:szCs w:val="18"/>
          <w:color w:val="auto"/>
        </w:rPr>
        <w:t>Cash equivalents include all liquid debt instruments (primarily cash funds and money market accounts) purchased with an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of three months or less. The balances maintained at financial institutions may, at times, exceed federally insured limits.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60"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 </w:t>
      </w:r>
      <w:r>
        <w:rPr>
          <w:rFonts w:ascii="Times New Roman" w:cs="Times New Roman" w:eastAsia="Times New Roman" w:hAnsi="Times New Roman"/>
          <w:sz w:val="18"/>
          <w:szCs w:val="18"/>
          <w:color w:val="auto"/>
        </w:rPr>
        <w:t>Available-for-sale securities consist of certificates of deposit (“CD’s”) and municipal bonds and are valued at current market value,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unrealized gains and losses excluded from 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Receivables and Concentrations of Credit Risk - </w:t>
      </w:r>
      <w:r>
        <w:rPr>
          <w:rFonts w:ascii="Times New Roman" w:cs="Times New Roman" w:eastAsia="Times New Roman" w:hAnsi="Times New Roman"/>
          <w:sz w:val="18"/>
          <w:szCs w:val="18"/>
          <w:color w:val="auto"/>
        </w:rPr>
        <w:t>Financial instruments, which potentially subject us to a concentration of credit risk, principally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We invest our excess cash balances at times in CD’s, municipal bonds and money market accounts at two separate financial institutions where the cash balances may exceed federally insured limits. The institutions are two of the largest commercial banking institutions in the country and both have maintained strong credit ratings.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 </w:t>
      </w:r>
      <w:r>
        <w:rPr>
          <w:rFonts w:ascii="Times New Roman" w:cs="Times New Roman" w:eastAsia="Times New Roman" w:hAnsi="Times New Roman"/>
          <w:sz w:val="18"/>
          <w:szCs w:val="18"/>
          <w:color w:val="auto"/>
        </w:rPr>
        <w:t>Inventories, consisting primarily of finished goods, are primarily valued at the lower of cost or net realizable value, with cost for the vast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our inventory determined using the last-in, first-out (“LIFO”) method. The amount of inventory valued using the first-in, first-out (“FIFO”) method represents approximately 8% of the total FIFO inventory balance at March 29, 2015.</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 </w:t>
      </w:r>
      <w:r>
        <w:rPr>
          <w:rFonts w:ascii="Times New Roman" w:cs="Times New Roman" w:eastAsia="Times New Roman" w:hAnsi="Times New Roman"/>
          <w:sz w:val="18"/>
          <w:szCs w:val="18"/>
          <w:color w:val="auto"/>
        </w:rPr>
        <w:t>Property is stated at cost and depreciated or amortized over the lives of the assets, using the straight-line method.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lives are: 10 to 40 years for buildings and improvements; 3 to 20 years for machinery and equipment; 3 to 10 years for transportation equipment; and 3 to 10 years for office furniture and equipment including computer systems. Leasehold improvements are depreciated over the lesser of their estimated useful lives or the remaining lease term.</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long-lived assets were determined to be impaired during fiscal years 2015, 2014 or 2013.</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Identifiable Intangible Assets - </w:t>
      </w:r>
      <w:r>
        <w:rPr>
          <w:rFonts w:ascii="Times New Roman" w:cs="Times New Roman" w:eastAsia="Times New Roman" w:hAnsi="Times New Roman"/>
          <w:sz w:val="18"/>
          <w:szCs w:val="18"/>
          <w:color w:val="auto"/>
        </w:rPr>
        <w:t>Goodwill represents the excess of the cost of acquired businesses over the fair value of identifiable tangible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and identifiable intangible assets purchased. Goodwill is tested at least annually for impairment, and is tested for impairment more frequently if events or changes in circumstances indicate that the asset might be impaired. As of January 1, 2015,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either reporting unit.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identifiable intangible assets include customer lists, trade secrets, non-compete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13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 quantitative impairment test for fiscal 2015.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3"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assessments were also completed in the fourth quarters of fiscal 2014 and 2013, which resulted in no impairment charges for either of these fiscal years.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 </w:t>
      </w:r>
      <w:r>
        <w:rPr>
          <w:rFonts w:ascii="Times New Roman" w:cs="Times New Roman" w:eastAsia="Times New Roman" w:hAnsi="Times New Roman"/>
          <w:sz w:val="18"/>
          <w:szCs w:val="18"/>
          <w:color w:val="auto"/>
        </w:rPr>
        <w:t>In the preparation of our consolidated financial statements, the calculation of income taxes by management is based upon the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rate applicable to operating results for the full fiscal year. This includes estimating the current tax liability as well as assessing differences resulting from different treatment of items for tax and book accounting purposes. Differences that are temporary in nature result in deferred tax assets and liabilities, which are recorded on the balance sheet, while differences that are permanent in nature impact the income tax expense recorded on the income statement and impact the effective tax rate for the fiscal year. The deferred tax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 of income tax positions are recognized only if those positions are more likely than not of being sustained. Changes in recognition or measurement are made as facts and circumstances change.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 </w:t>
      </w:r>
      <w:r>
        <w:rPr>
          <w:rFonts w:ascii="Times New Roman" w:cs="Times New Roman" w:eastAsia="Times New Roman" w:hAnsi="Times New Roman"/>
          <w:sz w:val="18"/>
          <w:szCs w:val="18"/>
          <w:color w:val="auto"/>
        </w:rPr>
        <w:t>We account for stock-based compensation on a fair value basis. The estimated grant date fair value of each stock-based award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in expense over the requisite service period (generally the vesting period). Non-vested share awards are recorded as expense over the requisite service periods based on the market value on the date of grant.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 </w:t>
      </w:r>
      <w:r>
        <w:rPr>
          <w:rFonts w:ascii="Times New Roman" w:cs="Times New Roman" w:eastAsia="Times New Roman" w:hAnsi="Times New Roman"/>
          <w:sz w:val="18"/>
          <w:szCs w:val="18"/>
          <w:color w:val="auto"/>
        </w:rPr>
        <w:t>Basic earnings per share (“EPS”) are computed by dividing net income by the weighted-average number of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17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2013</w:t>
            </w: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10,568,582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10,544,467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10,464,820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impact of stock performance units, restricted stock, and stock options</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64,972</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55,288</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76,322</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10,633,554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10,599,755</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10,541,142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or stock options excluded from the calculation of weighted average common shares for diluted EPS for fiscal 2015, 2014 or 2013.</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and Hedging Activities - </w:t>
      </w:r>
      <w:r>
        <w:rPr>
          <w:rFonts w:ascii="Times New Roman" w:cs="Times New Roman" w:eastAsia="Times New Roman" w:hAnsi="Times New Roman"/>
          <w:sz w:val="18"/>
          <w:szCs w:val="18"/>
          <w:color w:val="auto"/>
        </w:rPr>
        <w:t>We do not have any freestanding or embedded derivatives and it is our practice to not enter into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contain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new accounting requirements for recognition of revenue from contracts with customers. The requirements of the new standard will be effective for annual reporting periods beginning after December 15, 2016 (our fiscal year ending April 1, 2018), and interim periods within those annual periods. We are currently evaluating the impact of this accounting pronouncement.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Combinations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Acquisition of The Dumont Company, Inc.</w:t>
      </w:r>
      <w:r>
        <w:rPr>
          <w:rFonts w:ascii="Times New Roman" w:cs="Times New Roman" w:eastAsia="Times New Roman" w:hAnsi="Times New Roman"/>
          <w:sz w:val="18"/>
          <w:szCs w:val="18"/>
          <w:color w:val="auto"/>
        </w:rPr>
        <w:t>: On October 20, 2014, we acquired substantially all of the assets of The Dumont Company, Inc. (“Dumont”)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an asset purchase agreement with Dumont and its shareholders. We paid $10.1 million in cash including a working capital adjustment in the third quarter of fiscal 2015, using available cash on hand to fund the acquisition. Dumont was a water treatment chemical distribution company with revenues of approximately $14.0 million in calendar year 2013. Through this acquisition we added seven operating locations across Florida. The results of operations since the acquisition date, and the assets, including the goodwill associated with this acquisition, are included in our Water Treatment segment. Costs associated with this transaction were not material to our company and were expensed as incurred.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has been accounted for under the acquisition method of accounting, under which the total purchase price is allocated to the net tangible and intangible assets of Dumont acquired in connection with the acquisition based on their estimated fair values.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estimated the fair values of the assets acquired and liabilities assumed using a discounted cash flow analysis (income approach). The following table summarizes the preliminary allocation of the purchase price to the fair values assigned to the assets acquired and liabilities assumed at the date of the Dumont acquisition: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0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r>
      <w:tr>
        <w:trPr>
          <w:trHeight w:val="243"/>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r>
      <w:tr>
        <w:trPr>
          <w:trHeight w:val="243"/>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7"/>
        </w:trPr>
        <w:tc>
          <w:tcPr>
            <w:tcW w:w="40" w:type="dxa"/>
            <w:vAlign w:val="bottom"/>
          </w:tcPr>
          <w:p>
            <w:pPr>
              <w:spacing w:after="0"/>
              <w:rPr>
                <w:sz w:val="20"/>
                <w:szCs w:val="20"/>
                <w:color w:val="auto"/>
              </w:rPr>
            </w:pPr>
          </w:p>
        </w:tc>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4,358</w:t>
            </w:r>
          </w:p>
        </w:tc>
      </w:tr>
      <w:tr>
        <w:trPr>
          <w:trHeight w:val="257"/>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recognized as a result of this acquisition is primarily attributable to strategic and synergistic benefits, as well as the assembled workforce. Such goodwill is expected to be deductible for tax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price to the assets acquired and liabilities assumed resulted in the recognition of the following intangible assets: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Amount</w:t>
            </w:r>
          </w:p>
        </w:tc>
        <w:tc>
          <w:tcPr>
            <w:tcW w:w="22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Life (in years)</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800" w:type="dxa"/>
            <w:vAlign w:val="bottom"/>
            <w:tcBorders>
              <w:top w:val="single" w:sz="8" w:color="CCEEFF"/>
            </w:tcBorders>
            <w:shd w:val="clear" w:color="auto" w:fill="000000"/>
          </w:tcPr>
          <w:p>
            <w:pPr>
              <w:spacing w:after="0" w:line="20" w:lineRule="exact"/>
              <w:rPr>
                <w:sz w:val="1"/>
                <w:szCs w:val="1"/>
                <w:color w:val="auto"/>
              </w:rPr>
            </w:pPr>
          </w:p>
        </w:tc>
        <w:tc>
          <w:tcPr>
            <w:tcW w:w="226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2,810</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3,509</w:t>
            </w:r>
          </w:p>
        </w:tc>
        <w:tc>
          <w:tcPr>
            <w:tcW w:w="22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Acquisition of Advance Chemical Solutions, Inc.</w:t>
      </w:r>
      <w:r>
        <w:rPr>
          <w:rFonts w:ascii="Times New Roman" w:cs="Times New Roman" w:eastAsia="Times New Roman" w:hAnsi="Times New Roman"/>
          <w:sz w:val="18"/>
          <w:szCs w:val="18"/>
          <w:color w:val="auto"/>
        </w:rPr>
        <w:t>: On October 1, 2013, we acquired substantially all of the assets of ACS. We paid $2.4 million in cash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and have paid an additional $0.4 million of a potential $0.5 million earnout in fiscal 2015. We may be obligated to pay the remainder of the earnout over the next two years based on the achievement of certain financial performance targets.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ACS acquisition was accounted for under the acquisition method of accounting, under which the total estimated purchase price is allocated to the net tangible and intangible assets acquired based on their estimated fair values. We estimated the fair values of the assets acquired and liabilities assumed to be $2.8 million using a discounted cash flow analysis (income approach). ACS had revenues of approximately $4.0 million for the 12 months ended September 30, 2013. The results of its operations since the acquisition date, and the assets, are included in our Water Treatment segment.</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3" w:right="23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Investments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that are measured at fair value on a recurring basis as of March 29, 2015 and March 30, 2014, and indicates the fair value hierarchy of the valuation techniques utilized to determine such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6"/>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554"/>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6"/>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33,486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33,486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assets that are measured at fair value on a recurring basis are CD’s and municipal bonds, with maturities ranging from three months to three years, which fall within valuation technique Level 2. The CD’s and municipal bonds are classified as investments in current assets and noncurrent assets on the condensed consolidated balance sheets. As of March 29, 2015, the CD’s and municipal bonds had a fair value of $14.5 million in current assets and $17.2 million in noncurrent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accounts approximates fair value, as maturities are three months or less.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available-for-sale securities at March 29, 2015 and March 30, 2014 are shown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29, 2015</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90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2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Within one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14,491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13,843</w:t>
            </w:r>
          </w:p>
        </w:tc>
        <w:tc>
          <w:tcPr>
            <w:tcW w:w="240" w:type="dxa"/>
            <w:vAlign w:val="bottom"/>
            <w:tcBorders>
              <w:bottom w:val="single" w:sz="8" w:color="CCEEFF"/>
            </w:tcBorders>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Between one and three years</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31,776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29,754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29,695</w:t>
            </w:r>
          </w:p>
        </w:tc>
        <w:tc>
          <w:tcPr>
            <w:tcW w:w="240" w:type="dxa"/>
            <w:vAlign w:val="bottom"/>
            <w:tcBorders>
              <w:bottom w:val="single" w:sz="8" w:color="CCEEFF"/>
            </w:tcBorders>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Realized gains and losses were not material for fiscal 2015, 2014 and 2013.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Inventories at March 29, 2015 and March 30, 2014 consisted of the following: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6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(FIFO basis)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LIFO reserve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inventory</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FIFO value of inventories accounted for under the LIFO method was $39.0 million at March 29, 2015 and $28.5 million at March 30, 2014. The remainder of the inventory was valued and accounted for under the FIFO method.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increased the LIFO reserve by $0.4 million in fiscal 2015 due primarily to higher levels of inventory at the end of the year, and decreased the reserve $1.9 million in fiscal 2014 due primarily to lower levels of inventory at the end of that year.</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HAWKINS, INC.</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2"/>
                <w:szCs w:val="22"/>
                <w:color w:val="auto"/>
              </w:rPr>
            </w:pPr>
          </w:p>
        </w:tc>
        <w:tc>
          <w:tcPr>
            <w:tcW w:w="61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80" w:type="dxa"/>
            <w:vAlign w:val="bottom"/>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4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Identifiable Intangible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2013</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ACS Acquisition</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30, 2014</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Dumont Acquisition</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29, 2015</w:t>
            </w: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11,750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12"/>
            <w:vMerge w:val="restart"/>
          </w:tcPr>
          <w:p>
            <w:pPr>
              <w:spacing w:after="0"/>
              <w:rPr>
                <w:sz w:val="20"/>
                <w:szCs w:val="20"/>
                <w:color w:val="auto"/>
              </w:rPr>
            </w:pPr>
            <w:r>
              <w:rPr>
                <w:rFonts w:ascii="Times New Roman" w:cs="Times New Roman" w:eastAsia="Times New Roman" w:hAnsi="Times New Roman"/>
                <w:sz w:val="18"/>
                <w:szCs w:val="18"/>
                <w:color w:val="auto"/>
              </w:rPr>
              <w:t>The increases in goodwill shown above have been recorded as part of our Water Treatment segment.</w:t>
            </w: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560" w:type="dxa"/>
            <w:vAlign w:val="bottom"/>
            <w:gridSpan w:val="1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is a summary of our intangible assets as of March 29, 2015 and March 30,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2"/>
                <w:szCs w:val="12"/>
                <w:color w:val="auto"/>
              </w:rPr>
            </w:pPr>
          </w:p>
        </w:tc>
        <w:tc>
          <w:tcPr>
            <w:tcW w:w="1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2"/>
                <w:szCs w:val="12"/>
                <w:color w:val="auto"/>
              </w:rPr>
            </w:pPr>
          </w:p>
        </w:tc>
        <w:tc>
          <w:tcPr>
            <w:tcW w:w="1040" w:type="dxa"/>
            <w:vAlign w:val="bottom"/>
            <w:gridSpan w:val="2"/>
          </w:tcPr>
          <w:p>
            <w:pPr>
              <w:jc w:val="right"/>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Finite-life intangible assets:</w:t>
            </w: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secrets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Carrier relationships</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Other finite-life intangible assets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finite-life intangible assets</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Indefinite-life intangible assets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11,154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was $0.9 million during fiscal 2015, $0.7 million during fiscal 2014, and $0.6 million during fiscal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for identifiable intangible assets during the next five years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2"/>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47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Accumulated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accumulated other comprehensive income (loss) on our balance sheet, net of tax,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(loss) 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Post-retirement plan liability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Performance-Based Restricted Stock Units. </w:t>
      </w:r>
      <w:r>
        <w:rPr>
          <w:rFonts w:ascii="Times New Roman" w:cs="Times New Roman" w:eastAsia="Times New Roman" w:hAnsi="Times New Roman"/>
          <w:sz w:val="18"/>
          <w:szCs w:val="18"/>
          <w:color w:val="auto"/>
        </w:rPr>
        <w:t>Our Board of Directors has approved a performance-based equity compensation arrangement for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50,874 shares</w:t>
      </w:r>
    </w:p>
    <w:p>
      <w:pPr>
        <w:sectPr>
          <w:pgSz w:w="11900" w:h="16838" w:orient="portrait"/>
          <w:cols w:equalWidth="0" w:num="1">
            <w:col w:w="11420"/>
          </w:cols>
          <w:pgMar w:left="240" w:top="333"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aggregate for fiscal 2015. The restricted shares issued will fully vest two years after the last day of the fiscal year on which the performance is 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recording the compensation expense for the outstanding performance share units and then-converted restricted stock over the life of the awards.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restricted stock activity for fiscal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7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5"/>
        </w:trPr>
        <w:tc>
          <w:tcPr>
            <w:tcW w:w="76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9"/>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53,580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restricted shares issued in fiscal 2015, 2014 and 2013 was $34.45, $40.25, and $33.01, respectively. We recorded compensation expense on performance-based restricted stock of approximately $1.1 million for fiscal 2015, $0.8 million for fiscal 2014 and $1.1 million for fiscal 2013, substantially all of which was recorded in selling, general and administrative (“SG&amp;A”) expense in the Consolidated Statements of Income. The total fair value of performance-based restricted stock units vested in fiscal 2015 was $0.8 million compared to $1.3 million in fiscal 2014 and zero in fiscal 2013.</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March 29, 2015 was $1.0 million and is expected to be recognized over a weighted average period of 1.1 years .</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benefits of tax deductions in excess of recognized compensation costs from share-based compensation are recorded as a change in additional paid-in capital rather than a deduction of taxes paid. The amount of excess tax benefit (expense) recognized and recorded in additional paid-in capital resulting from share-based compensation cost was $0.1 million in fiscal 2015, $(0.2) million in fiscal 2014 and $0.5 million in 2013.</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As part of their retainer, the non-employee directors receive restricted stock for their Board services. The restricted stock awards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over the requisite vesting period, which begins on the date of issuance and ends on the date of the next Annual Meeting of Shareholders, based on the market value on the date of grant. The following table represents the Board’s restricted stock activity for fiscal 2015: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5"/>
        </w:trPr>
        <w:tc>
          <w:tcPr>
            <w:tcW w:w="7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9"/>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expense related to the value of restricted stock was $0.2 million for each of fiscal 2015, 2014 and 2013, all of which was recorded in SG&amp;A expense in the Consolidated Statements of Income. Unrecognized compensation expense related to non-vested restricted stock awards as of March 29, 2015 was $0.1 million and is expected to be recognized over a weighted average period of 0.3 years.</w:t>
      </w:r>
    </w:p>
    <w:p>
      <w:pPr>
        <w:spacing w:after="0" w:line="2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 Awards. </w:t>
      </w:r>
      <w:r>
        <w:rPr>
          <w:rFonts w:ascii="Times New Roman" w:cs="Times New Roman" w:eastAsia="Times New Roman" w:hAnsi="Times New Roman"/>
          <w:sz w:val="18"/>
          <w:szCs w:val="18"/>
          <w:color w:val="auto"/>
        </w:rPr>
        <w:t>Our Board of Directors (the “Board”) previously approved a long-term incentive equity compensation arrangement for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that provided for the grant of non-qualified stock options that vested at the end of a three-year period, although no stock options have been granted under this arrangement since the fiscal year ended March 28, 2010.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2015, 9,333 options were exercised with an exercise price of $19.90. As of March 29, 2015 we had no stock options outstanding. No expense was recorded in fiscal 2015, 2014 or 2013 related to the value of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 our common stock for the par value of the shares with the excess applied against additional paid-in capital. During fiscal 2015 we repurchased 59,602 shares of common stock with an aggregate purchase price of $2.2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Profit Sharing, Employee Stock Ownership, Employee Stock Purchase and Pension Plans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Company sponsored plans</w:t>
      </w:r>
      <w:r>
        <w:rPr>
          <w:rFonts w:ascii="Times New Roman" w:cs="Times New Roman" w:eastAsia="Times New Roman" w:hAnsi="Times New Roman"/>
          <w:sz w:val="18"/>
          <w:szCs w:val="18"/>
          <w:color w:val="auto"/>
        </w:rPr>
        <w:t>. Substantially all of our non-bargaining unit employees are eligible to participate in a company sponsored profit sharing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are made at our discretion subject to a maximum amount allowed under the Internal Revenue Code. The profit sharing plan contribution level for each employee depends upon date of hire, with those employees hired after April 1, 2012 eligible to receive a contribution that is 50% of the contribution made for employees hired on or before April 1, 2012. Our contribution to the profit sharing plan for fiscal 2015, fiscal 2014 and fiscal 2013 was 5% of each employee’s eligible compensation for employees hired on or before April 1, 2012. In addition to the discretionary employer contribution described above, the profit sharing plan includes a 401(k) plan that allows employees to contribute pre-tax earnings up to the maximum amount allowed under the Internal Revenue Code, with an employer match of up to 5% of the employee’s eligible compensation.</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employee stock ownership plan (“ESOP”) covering substantially all of our non-bargaining unit employees. Contributions are made at our discretion subject to a maximum amount allowed under the Internal Revenue Code. The ESOP contribution level for each employee depends upon date of hire, with those employees hired after April 1, 2012 eligible to receive a contribution that is 50% of the contribution made for employees hired on or before April 1, 2012. Our contribution to the ESOP for fiscal 2015, fiscal 2014 and fiscal 2013 was 5% of each employee’s eligible compensation for employees hired on or before April 1, 2012.</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employee stock purchase plan (“ESPP”) covering substantially all of our employees. The ESPP allows employees to purchase newly-issued shares of the Company’s common stock at a discount from market. The number of new shares issued under the plan was 31,383 in fiscal 2015, 28,214 in fiscal 2014 and 30,434 in fiscal 2013.</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2013, concurrent with our withdrawal from a multiemployer pension plan described below, we established a retirement plan and ESOP for our collective bargaining unit employees. Each of these plans is subject to a maximum amount allowed under the Internal Revenue Code. The retirement plan provides for a contribution of 5% of each employee’s eligible wages annually for employees who were eligible to enter the plan on March 1, 2013 and a contribution of 2.5% of each employee’s eligible wages annually for employees who entered the plan subsequent to March 1, 2013. Additionally, the retirement plan includes a 401(k) plan that will allow employees to contribute pre-tax earnings up to the maximum amount allowed under the Internal Revenue Code, with an employer match of up to 5% of the employee’s eligible compensation. The ESOP provides for contributions of 5% of each employee’s eligible wages annually for employees who were eligible to enter the plan on March 1, 2013, and a contribution of 2.5% of each employee’s eligible wages annually for employees who enter the plan subsequent to March 1, 2013.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contribution expense for the company sponsored profit sharing, ESOP, ESPP and 401(k) plans for fiscal 2015, 2014 and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 Plan</w:t>
            </w:r>
          </w:p>
        </w:tc>
        <w:tc>
          <w:tcPr>
            <w:tcW w:w="1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Non-bargaining unit employee plans:</w:t>
            </w: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sharing</w:t>
            </w:r>
          </w:p>
        </w:tc>
        <w:tc>
          <w:tcPr>
            <w:tcW w:w="22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401(K) matching contributions</w:t>
            </w: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ESOP</w:t>
            </w:r>
          </w:p>
        </w:tc>
        <w:tc>
          <w:tcPr>
            <w:tcW w:w="1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Bargaining unit employee plans</w:t>
            </w: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ESPP - all employees</w:t>
            </w:r>
          </w:p>
        </w:tc>
        <w:tc>
          <w:tcPr>
            <w:tcW w:w="1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contribution expense</w:t>
            </w:r>
          </w:p>
        </w:tc>
        <w:tc>
          <w:tcPr>
            <w:tcW w:w="18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Multiemployer pension plan</w:t>
      </w:r>
      <w:r>
        <w:rPr>
          <w:rFonts w:ascii="Times New Roman" w:cs="Times New Roman" w:eastAsia="Times New Roman" w:hAnsi="Times New Roman"/>
          <w:sz w:val="18"/>
          <w:szCs w:val="18"/>
          <w:color w:val="auto"/>
        </w:rPr>
        <w:t>. In fiscal 2013, we concluded negotiations with two collective bargaining units to discontinue our participation in the Central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Southeast and Southwest Areas Pension Fund (“CSS” or “the plan”), a collectively bargained multiemployer pension plan, and as a result we recorded a pre-tax charge of $7.2 million ($4.5 million after tax, or $0.43 per fully diluted share). This charge represents the discounted value of our estimated withdrawal payment obligation and was recorded as a charge to cost of sales in our Industrial segment in fiscal 2013.</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 of our share of the unfunded vested benefit liability will be made over 20 years and is subject to a cap. At the end of the 20-year period we will have no further liability, even if our share of the unfunded vested benefit liability has not yet been paid in full. The cash payments to be made total approximately $9.3 million, or $467,000 per year. Our payments began in the third quarter of fiscal 2014.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made contributions to CSS of approximately $0.4 million in fiscal 2013 prior to discontinuing our participation in the plan. No contributions were made to CSS for fiscal 2014 or fiscal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 </w:t>
      </w:r>
      <w:r>
        <w:rPr>
          <w:rFonts w:ascii="Times New Roman" w:cs="Times New Roman" w:eastAsia="Times New Roman" w:hAnsi="Times New Roman"/>
          <w:sz w:val="18"/>
          <w:szCs w:val="18"/>
          <w:color w:val="auto"/>
        </w:rPr>
        <w:t>We have various operating leases for buildings and land on which some of our operations are located as well as trucks utilized for deliveries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branches. Future minimum lease payments due under operating leases with an initial term of one year or more at March 29, 2015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4,198</w:t>
            </w:r>
          </w:p>
        </w:tc>
      </w:tr>
      <w:tr>
        <w:trPr>
          <w:trHeight w:val="378"/>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Total rental expense for fiscal years 2015, 2014 and 2013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2"/>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1,223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818</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 </w:t>
      </w:r>
      <w:r>
        <w:rPr>
          <w:rFonts w:ascii="Times New Roman" w:cs="Times New Roman" w:eastAsia="Times New Roman" w:hAnsi="Times New Roman"/>
          <w:sz w:val="18"/>
          <w:szCs w:val="18"/>
          <w:color w:val="auto"/>
        </w:rPr>
        <w:t>As of March 30, 2014 there were no material pending legal proceedings, other than ordinary routine litigation incidental to the business,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or any of our subsidiaries are a party or of which any of our property is the subject. Legal fees associated with such matters are expensed as incurred.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2013, we entered into a settlement agreement with a chemical supplier to us, pursuant to which we mutually resolved the previously disclosed litigation and all disputes among us. The settlement agreement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 (approximately $2.0 million after tax, or $0.19 per fully diluted share) in the first quarter of fiscal 2013.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 </w:t>
      </w:r>
      <w:r>
        <w:rPr>
          <w:rFonts w:ascii="Times New Roman" w:cs="Times New Roman" w:eastAsia="Times New Roman" w:hAnsi="Times New Roman"/>
          <w:sz w:val="18"/>
          <w:szCs w:val="18"/>
          <w:color w:val="auto"/>
        </w:rPr>
        <w:t>We have three leases of land which contain terms that state that at the end of the lease term (currently 2023 for one lease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for the other two leases), we have a specified amount of time to remove the property and buildings. At that time, anything that remains on the land becomes the property of the lessor, and the lessor has the option to either maintain the property or remove the property at our expense. We are currently negotiating extensions for a period of 15-20 years for the two leases which expire in 2018.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29, 2015. We will continue to monitor the factors surrounding the requirement to record an asset retirement obligation and will recognize the fair value of a liability in the period in which it is incurred and a reasonable estimate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3"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for income taxes for fiscal 2015, 2014 and 2013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2"/>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 current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8,967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 current</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2,417</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11,707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11,384</w:t>
            </w:r>
          </w:p>
        </w:tc>
      </w:tr>
      <w:tr>
        <w:trPr>
          <w:trHeight w:val="466"/>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 deferred</w:t>
            </w: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 deferred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provision</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11,240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8,318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fiscal 2014 was reduced by a non-recurring state tax benefit of $0.4 million. During fiscal 2013, we amended previously filed U.S. Federal tax returns resulting in an increase of $0.8 million in the benefits related to the domestic manufacturing deduction and investment tax credits, which reduced our tax rate for that year. Reconciliations of the provisions for income taxes, based on income from continuing operations, to the applicable federal statutory income tax rate of 35% are listed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gridSpan w:val="2"/>
          </w:tcPr>
          <w:p>
            <w:pPr>
              <w:ind w:left="68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federal income tax</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deduction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ESOP dividend deduction on allocated shares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Domestic production deduction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amended tax returns</w:t>
            </w:r>
          </w:p>
        </w:tc>
        <w:tc>
          <w:tcPr>
            <w:tcW w:w="1780" w:type="dxa"/>
            <w:vAlign w:val="bottom"/>
            <w:tcBorders>
              <w:bottom w:val="single" w:sz="8" w:color="CCEEFF"/>
            </w:tcBorders>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 net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items comprising our net deferred tax asset (liability) as of March 29, 2015 and March 30, 2014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receivables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compensation accruals</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1,031</w:t>
            </w:r>
          </w:p>
        </w:tc>
      </w:tr>
      <w:tr>
        <w:trPr>
          <w:trHeight w:val="243"/>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Pension withdrawal liability</w:t>
            </w: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2,872</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w:t>
            </w: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4,936</w:t>
            </w:r>
          </w:p>
        </w:tc>
      </w:tr>
      <w:tr>
        <w:trPr>
          <w:trHeight w:val="67"/>
        </w:trPr>
        <w:tc>
          <w:tcPr>
            <w:tcW w:w="74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43"/>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of tax over book depreciation</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(18,022)</w:t>
            </w:r>
          </w:p>
        </w:tc>
      </w:tr>
      <w:tr>
        <w:trPr>
          <w:trHeight w:val="67"/>
        </w:trPr>
        <w:tc>
          <w:tcPr>
            <w:tcW w:w="74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56"/>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deferred tax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29, 2015, the Company has determined that it is more likely than not that the deferred tax assets at March 29, 2015 will be realized either through future taxable income or reversals of taxable temporary differences. As of March 29, 2015 and March 30, 2014, there were no unrecognized tax benefits. Accordingly, a tabular reconciliation from beginning to ending periods is not provided.</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3" w:right="2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of multiple state jurisdictions. The tax years prior to our fiscal year ended March 29, 2009 are closed to examination by the Internal Revenue Service, and with few exceptions, state and local income tax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Discontinued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29, 2009, we agreed to sell our inventory and entered into a marketing agreement regarding the business of our Pharmaceutical segment, which provided pharmaceutical chemicals to retail pharmacies and small-scale pharmaceutical manufacturers. We have no remaining obligations to fulfill under the agreement. The results of the Pharmaceutical segment have been reported as discontinued operations for all periods presented.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allocations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360" w:type="dxa"/>
            <w:vAlign w:val="bottom"/>
          </w:tcPr>
          <w:p>
            <w:pPr>
              <w:spacing w:after="0"/>
              <w:rPr>
                <w:sz w:val="13"/>
                <w:szCs w:val="13"/>
                <w:color w:val="auto"/>
              </w:rPr>
            </w:pPr>
          </w:p>
        </w:tc>
        <w:tc>
          <w:tcPr>
            <w:tcW w:w="1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2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Water</w:t>
            </w:r>
          </w:p>
        </w:tc>
        <w:tc>
          <w:tcPr>
            <w:tcW w:w="440" w:type="dxa"/>
            <w:vAlign w:val="bottom"/>
          </w:tcPr>
          <w:p>
            <w:pPr>
              <w:spacing w:after="0"/>
              <w:rPr>
                <w:sz w:val="13"/>
                <w:szCs w:val="13"/>
                <w:color w:val="auto"/>
              </w:rPr>
            </w:pPr>
          </w:p>
        </w:tc>
        <w:tc>
          <w:tcPr>
            <w:tcW w:w="1400" w:type="dxa"/>
            <w:vAlign w:val="bottom"/>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8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Ended March 29, 2015:</w:t>
            </w: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249,066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114,957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364,023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65,791</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35,375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30,416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151,157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42,860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194,017</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Fiscal Year Ended March 30, 2014:</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244,888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103,375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348,263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61,600</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33,510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28,090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141,506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29,001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170,507</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Fiscal Year Ended March 31, 2013:</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248,556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101,831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350,387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56,936</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31,606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25,330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143,827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169,275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8"/>
        <w:spacing w:after="0" w:line="298" w:lineRule="auto"/>
        <w:tabs>
          <w:tab w:leader="none" w:pos="12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Unallocated assets, consisting primarily of cash and cash equivalents, investments and prepaid expenses, were $53.7 million at March 29, 2015, $66.7 million at March 30, 2014 and $52.9 million at March 31, 2013.</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2013, gross profit for our Industrial segment was negatively impacted by a $7.2 million (pre-tax) charge related to our withdrawal from a multiemployer pension plan (see Note 9 for further discussion) as well as a $3.2 million (pre-tax) charge related to a legal settlement (see Note 10 for further discussion).</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3" w:right="239"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r>
        <w:rPr>
          <w:rFonts w:ascii="Times New Roman" w:cs="Times New Roman" w:eastAsia="Times New Roman" w:hAnsi="Times New Roman"/>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Selected Quarterly Financial Data (Unaudited)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2015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First</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0" w:type="dxa"/>
            <w:vAlign w:val="bottom"/>
          </w:tcPr>
          <w:p>
            <w:pPr>
              <w:spacing w:after="0"/>
              <w:rPr>
                <w:sz w:val="1"/>
                <w:szCs w:val="1"/>
                <w:color w:val="auto"/>
              </w:rPr>
            </w:pPr>
          </w:p>
        </w:tc>
      </w:tr>
      <w:tr>
        <w:trPr>
          <w:trHeight w:val="249"/>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000" w:type="dxa"/>
            <w:vAlign w:val="bottom"/>
            <w:tcBorders>
              <w:top w:val="single" w:sz="8" w:color="auto"/>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98,036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93,281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18,496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15,531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3"/>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48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First</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0" w:type="dxa"/>
            <w:vAlign w:val="bottom"/>
          </w:tcPr>
          <w:p>
            <w:pPr>
              <w:spacing w:after="0"/>
              <w:rPr>
                <w:sz w:val="1"/>
                <w:szCs w:val="1"/>
                <w:color w:val="auto"/>
              </w:rPr>
            </w:pPr>
          </w:p>
        </w:tc>
      </w:tr>
      <w:tr>
        <w:trPr>
          <w:trHeight w:val="249"/>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000" w:type="dxa"/>
            <w:vAlign w:val="bottom"/>
            <w:tcBorders>
              <w:top w:val="single" w:sz="8" w:color="auto"/>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94,744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85,223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17,231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14,249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March 29, 2015, based on the criteria described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(1992) </w:t>
      </w:r>
      <w:r>
        <w:rPr>
          <w:rFonts w:ascii="Times New Roman" w:cs="Times New Roman" w:eastAsia="Times New Roman" w:hAnsi="Times New Roman"/>
          <w:sz w:val="18"/>
          <w:szCs w:val="18"/>
          <w:color w:val="auto"/>
        </w:rPr>
        <w:t>issued by the Committee of Sponsoring Organizations of the Treadway Commission. Based on this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believes that our internal control over financial reporting was effective as of March 29, 2015.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making this assessment as of March 29, 2015, we have excluded the Florida water treatment operations acquired from The Dumont Company, Inc. on October 20, 2014. The financial statements of this business comprise 4.3% of total assets and 1.6% of total revenues in our consolidated financial amounts as of and for the year ended March 29, 2015. We have excluded this business because we have not had sufficient time to make an assessment of its internal controls using the COSO criteria in accordance with Section 404 of the Sarbanes-Oxley Act of 2002. In excluding this business from our assessment, we have considered the “Frequently Asked Questions” as set forth by the office of the Chief Accountant and the Division of Corporate Finance on June 24, 2004, as revised on September 24, 2007, which acknowledges that it may not be possible to conduct an assessment of an acquired business’s internal control over financial reporting in the period between the consummation date and the date of management’s assessment and contemplates that such business would be excluded from management’s assessment in the year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60" w:right="2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on our internal control over financial reporting for March 29, 2015. That attestation report is set forth immediately following this management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Patrick H. Hawkins</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Kathleen P. Pepski</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0" w:type="dxa"/>
            <w:vAlign w:val="bottom"/>
          </w:tcPr>
          <w:p>
            <w:pPr>
              <w:spacing w:after="0"/>
              <w:rPr>
                <w:sz w:val="1"/>
                <w:szCs w:val="1"/>
                <w:color w:val="auto"/>
              </w:rPr>
            </w:pPr>
          </w:p>
        </w:tc>
      </w:tr>
      <w:tr>
        <w:trPr>
          <w:trHeight w:val="252"/>
        </w:trPr>
        <w:tc>
          <w:tcPr>
            <w:tcW w:w="6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Chief Financial Officer,</w:t>
            </w:r>
          </w:p>
        </w:tc>
        <w:tc>
          <w:tcPr>
            <w:tcW w:w="0" w:type="dxa"/>
            <w:vAlign w:val="bottom"/>
          </w:tcPr>
          <w:p>
            <w:pPr>
              <w:spacing w:after="0"/>
              <w:rPr>
                <w:sz w:val="1"/>
                <w:szCs w:val="1"/>
                <w:color w:val="auto"/>
              </w:rPr>
            </w:pPr>
          </w:p>
        </w:tc>
      </w:tr>
      <w:tr>
        <w:trPr>
          <w:trHeight w:val="126"/>
        </w:trPr>
        <w:tc>
          <w:tcPr>
            <w:tcW w:w="6280" w:type="dxa"/>
            <w:vAlign w:val="bottom"/>
            <w:gridSpan w:val="2"/>
            <w:vMerge w:val="continue"/>
          </w:tcPr>
          <w:p>
            <w:pPr>
              <w:spacing w:after="0"/>
              <w:rPr>
                <w:sz w:val="10"/>
                <w:szCs w:val="10"/>
                <w:color w:val="auto"/>
              </w:rPr>
            </w:pPr>
          </w:p>
        </w:tc>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Treasurer</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28, 2015</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28, 2015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attestation report required under this Item 9A is contained in Item 8 of this Annual Report on 10-K under the caption “Report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Procedures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fourth quarter of fiscal 2015 that has materially affected, or is reasonably likely to materially affect, our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64"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is incorporated by reference from Hawkins’ definitive Proxy Statement for the Annual Meeting of Shareholders to be held on July 30, 2015 (the “2015 Proxy Statement”). Except for those portions specifically incorporated in this Form 10-K by reference to the 2015 Proxy Statement, no other portions of the 2015 Proxy Statement are deemed to be filed as part of this Form 10-K.</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their ages and offices held, as of May 22, 2015 are set forth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4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Office</w:t>
            </w:r>
          </w:p>
        </w:tc>
      </w:tr>
      <w:tr>
        <w:trPr>
          <w:trHeight w:val="25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Patrick H. Hawkins</w:t>
            </w: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Kathleen P. Pepski</w:t>
            </w: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60</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Vice President, Chief Financial Officer, and Treasurer</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Richard G. Erstad</w:t>
            </w: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51</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Thomas J. Keller</w:t>
            </w: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55</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Vice President — Water Treatment Group</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Steven D. Matthews II</w:t>
            </w: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Vice President — Operations</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Theresa R. Moran</w:t>
            </w: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Vice President — Quality and Support</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John R. Sevenich</w:t>
            </w:r>
          </w:p>
        </w:tc>
        <w:tc>
          <w:tcPr>
            <w:tcW w:w="1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57</w:t>
            </w:r>
          </w:p>
        </w:tc>
        <w:tc>
          <w:tcPr>
            <w:tcW w:w="44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Vice President — Industrial Group</w:t>
            </w:r>
          </w:p>
        </w:tc>
      </w:tr>
    </w:tbl>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Patrick H. Hawkins </w:t>
      </w:r>
      <w:r>
        <w:rPr>
          <w:rFonts w:ascii="Times New Roman" w:cs="Times New Roman" w:eastAsia="Times New Roman" w:hAnsi="Times New Roman"/>
          <w:sz w:val="18"/>
          <w:szCs w:val="18"/>
          <w:color w:val="auto"/>
        </w:rPr>
        <w:t>has been our Chief Executive Officer and President and member of our board since March 2011. He has held the position of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March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Kathleen P. Pepski </w:t>
      </w:r>
      <w:r>
        <w:rPr>
          <w:rFonts w:ascii="Times New Roman" w:cs="Times New Roman" w:eastAsia="Times New Roman" w:hAnsi="Times New Roman"/>
          <w:sz w:val="18"/>
          <w:szCs w:val="18"/>
          <w:color w:val="auto"/>
        </w:rPr>
        <w:t>has been our Vice President, Chief Financial Officer and Treasurer since February 2008 and was Secretary from February 2008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Richard G. Erstad </w:t>
      </w:r>
      <w:r>
        <w:rPr>
          <w:rFonts w:ascii="Times New Roman" w:cs="Times New Roman" w:eastAsia="Times New Roman" w:hAnsi="Times New Roman"/>
          <w:sz w:val="18"/>
          <w:szCs w:val="18"/>
          <w:color w:val="auto"/>
        </w:rPr>
        <w:t>has been our Vice President, General Counsel and Secretary since November 2008. He was General Counsel and Secretary of BUCA,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Thomas J. Keller </w:t>
      </w:r>
      <w:r>
        <w:rPr>
          <w:rFonts w:ascii="Times New Roman" w:cs="Times New Roman" w:eastAsia="Times New Roman" w:hAnsi="Times New Roman"/>
          <w:sz w:val="18"/>
          <w:szCs w:val="18"/>
          <w:color w:val="auto"/>
        </w:rPr>
        <w:t>has been our Vice President - Water Treatment Group since April 2012. Prior to attaining this position, Mr. Keller held various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joining the Company in 1980, most recently as its Water Treatment General Manager, a position he held since June 2011. Previously, Mr. Keller served as a Regional Manager of the Water Treatment Group from 2002 to 2011.</w:t>
      </w:r>
    </w:p>
    <w:p>
      <w:pPr>
        <w:spacing w:after="0" w:line="1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Steven D. Matthews II </w:t>
      </w:r>
      <w:r>
        <w:rPr>
          <w:rFonts w:ascii="Times New Roman" w:cs="Times New Roman" w:eastAsia="Times New Roman" w:hAnsi="Times New Roman"/>
          <w:sz w:val="18"/>
          <w:szCs w:val="18"/>
          <w:color w:val="auto"/>
        </w:rPr>
        <w:t>has been our Vice President - Operations since December 2013. He was a Regional General Manager in the Paperboard Converting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Division of Newark Recycled Paperboard Solutions, a producer of recycled paperboard, from 2012 to 2013. Previously, he spent a total of fifteen years during two different periods at General Electric in a variety of engineering, Six Sigma, supply chain and plant leadership positions in the Plastics, Aircraft Engines, Lighting and Water divisions. From 2005-2008, he was a Corporate Supply Chain Engagement Leader with Ingersoll Rand, a global diversified industrial company.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Theresa R. Moran </w:t>
      </w:r>
      <w:r>
        <w:rPr>
          <w:rFonts w:ascii="Times New Roman" w:cs="Times New Roman" w:eastAsia="Times New Roman" w:hAnsi="Times New Roman"/>
          <w:sz w:val="18"/>
          <w:szCs w:val="18"/>
          <w:color w:val="auto"/>
        </w:rPr>
        <w:t>has been our Vice President - Quality and Support since February 2010. Since joining the Company in 1981, Ms. Moran has served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a variety of positions, including Administration Operations Manager from 1999 to 2007 and most recently as Director - Process Improvement, a position she held from 2007 until the time of her promotion.</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John R. Sevenich </w:t>
      </w:r>
      <w:r>
        <w:rPr>
          <w:rFonts w:ascii="Times New Roman" w:cs="Times New Roman" w:eastAsia="Times New Roman" w:hAnsi="Times New Roman"/>
          <w:sz w:val="18"/>
          <w:szCs w:val="18"/>
          <w:color w:val="auto"/>
        </w:rPr>
        <w:t>has been our Vice President - Industrial Group since May 2000. He was the Business Unit Manager of Manufacturing from 1998 to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was a Sales Representative with the Company from 1989 to 1998.</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“Election of Directors,” “Corporate Governance,” and “Section 16(a) Beneficial Ownership Reporting Compliance” of the 2015 Proxy Statement are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6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Steven D. Matthews II filed a bankruptcy petition related to the dissolution of a small family business of which Mr. Matthews was an owner and guarantor.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bankruptcy was discharged in 2009.</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Executive Officers and Directors” of the 2015 Proxy Statement is incorporated herein by this reference.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“Security Ownership of Management and Beneficial Ownership” and “Equity Compensation Plan Information” of the 2015 Proxy Statement are incorporated herein by this reference.</w:t>
      </w:r>
    </w:p>
    <w:p>
      <w:pPr>
        <w:spacing w:after="0" w:line="239" w:lineRule="exact"/>
        <w:rPr>
          <w:sz w:val="20"/>
          <w:szCs w:val="20"/>
          <w:color w:val="auto"/>
        </w:rPr>
      </w:pPr>
    </w:p>
    <w:p>
      <w:pPr>
        <w:ind w:right="2200"/>
        <w:spacing w:after="0" w:line="417" w:lineRule="auto"/>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“Election of Directors” and “Related Party Transactions” of the 2015 Proxy Statement are incorporated herein by this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Registered Public Accounting Firm’s Fees” of the 2015 Proxy Statement is incorporated herein by this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FINANCIAL STATEMENTS OF THE COMPANY</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Consolidated Balance Sheets at March 29, 2015 and March 30, 2014.</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Consolidated Statements of Income for the fiscal years ended March 29, 2015, March 30, 2014 and March 31, 2013.</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March 29, 2015, March 30, 2014 and March 31, 2013.</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fiscal years ended March 29, 2015, March 30, 2014 and March 31, 2013.</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March 29, 2015, March 30, 2014 and March 31, 2013.</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FINANCIAL STATEMENT SCHEDULES OF THE COMPANY</w:t>
      </w:r>
    </w:p>
    <w:p>
      <w:pPr>
        <w:spacing w:after="0" w:line="185" w:lineRule="exact"/>
        <w:rPr>
          <w:sz w:val="20"/>
          <w:szCs w:val="20"/>
          <w:color w:val="auto"/>
        </w:rPr>
      </w:pPr>
    </w:p>
    <w:p>
      <w:pPr>
        <w:ind w:left="1420"/>
        <w:spacing w:after="0" w:line="266" w:lineRule="auto"/>
        <w:rPr>
          <w:sz w:val="20"/>
          <w:szCs w:val="20"/>
          <w:color w:val="auto"/>
        </w:rPr>
      </w:pPr>
      <w:r>
        <w:rPr>
          <w:rFonts w:ascii="Times New Roman" w:cs="Times New Roman" w:eastAsia="Times New Roman" w:hAnsi="Times New Roman"/>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following financial statement schedule for the fiscal years 2015, 2014 and 2013.</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exhibits of this Annual Report on Form 10-K included herein are set forth on the attached Exhibit Index.</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360" w:right="27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HAWKINS, INC.</w:t>
      </w:r>
    </w:p>
    <w:p>
      <w:pPr>
        <w:spacing w:after="0" w:line="387" w:lineRule="exact"/>
        <w:rPr>
          <w:sz w:val="20"/>
          <w:szCs w:val="20"/>
          <w:color w:val="auto"/>
        </w:rPr>
      </w:pPr>
    </w:p>
    <w:p>
      <w:pPr>
        <w:ind w:left="40"/>
        <w:spacing w:after="0"/>
        <w:tabs>
          <w:tab w:leader="none" w:pos="780" w:val="left"/>
          <w:tab w:leader="none" w:pos="608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34290</wp:posOffset>
            </wp:positionV>
            <wp:extent cx="2512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Patrick H. Hawkins,</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360" w:right="279" w:bottom="1440" w:gutter="0" w:footer="0" w:header="0"/>
        </w:sectPr>
      </w:pPr>
    </w:p>
    <w:bookmarkStart w:id="44" w:name="page45"/>
    <w:bookmarkEnd w:id="4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Each of the undersigned directors of the Company, does hereby make, constitute and appoint Patrick H. Hawkins and Kathleen P. Pepski, and either of them, the undersigned’s true and lawful attorney-in-fact and agent, acting alone, with full power of substitution, for the undersigned and in the undersigned’s name, place and stead, to sign and affix the undersigned’s name as such director of the Company, in any and all capacities, to any and all amendments to this Annual Report on Form 10-K and to file the same, with all exhibits thereto, and other documents in connection wherewith, with the Securities and Exchange Commission, granting unto said attorney-in-fact, and either of them, full power and authority to do and perform each and every act necessary or incidental to the performance and execution of the powers herein expressly granted.</w:t>
      </w:r>
    </w:p>
    <w:p>
      <w:pPr>
        <w:spacing w:after="0" w:line="134"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Patrick H. Hawkins</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18"/>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Patrick H. Hawkins, Chief Executive Officer and</w:t>
            </w:r>
          </w:p>
        </w:tc>
        <w:tc>
          <w:tcPr>
            <w:tcW w:w="5920" w:type="dxa"/>
            <w:vAlign w:val="bottom"/>
          </w:tcPr>
          <w:p>
            <w:pPr>
              <w:spacing w:after="0"/>
              <w:rPr>
                <w:sz w:val="18"/>
                <w:szCs w:val="18"/>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(Principal Executive Officer) and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Kathleen P. Pepski</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18"/>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Kathleen P. Pepski, Vice President, Chief Financial</w:t>
            </w:r>
          </w:p>
        </w:tc>
        <w:tc>
          <w:tcPr>
            <w:tcW w:w="5920" w:type="dxa"/>
            <w:vAlign w:val="bottom"/>
          </w:tcPr>
          <w:p>
            <w:pPr>
              <w:spacing w:after="0"/>
              <w:rPr>
                <w:sz w:val="18"/>
                <w:szCs w:val="18"/>
                <w:color w:val="auto"/>
              </w:rPr>
            </w:pPr>
          </w:p>
        </w:tc>
      </w:tr>
      <w:tr>
        <w:trPr>
          <w:trHeight w:val="216"/>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and Treasurer (Principal Financial Officer</w:t>
            </w:r>
          </w:p>
        </w:tc>
        <w:tc>
          <w:tcPr>
            <w:tcW w:w="5920" w:type="dxa"/>
            <w:vAlign w:val="bottom"/>
          </w:tcPr>
          <w:p>
            <w:pPr>
              <w:spacing w:after="0"/>
              <w:rPr>
                <w:sz w:val="18"/>
                <w:szCs w:val="18"/>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John S. McKeon</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S. McKeon, Director, Chairman of the Board</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Duane M. Jergenson</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Duane M. Jergenson,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Daryl I. Skaar</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Daryl I. Skaar,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A. Faulconbridge</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A. Faulconbridge,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T. Thompson</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T. Thompson,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Jeffrey L. Wright</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Jeffrey L. Wright, Director</w:t>
            </w:r>
          </w:p>
        </w:tc>
        <w:tc>
          <w:tcPr>
            <w:tcW w:w="5920" w:type="dxa"/>
            <w:vAlign w:val="bottom"/>
          </w:tcPr>
          <w:p>
            <w:pPr>
              <w:spacing w:after="0"/>
              <w:rPr>
                <w:sz w:val="20"/>
                <w:szCs w:val="20"/>
                <w:color w:val="auto"/>
              </w:rPr>
            </w:pPr>
          </w:p>
        </w:tc>
      </w:tr>
      <w:tr>
        <w:trPr>
          <w:trHeight w:val="56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Mary J. Schumacher</w:t>
            </w:r>
          </w:p>
        </w:tc>
        <w:tc>
          <w:tcPr>
            <w:tcW w:w="592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Date: May 28, 2015</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Mary J. Schumacher, Director</w:t>
            </w:r>
          </w:p>
        </w:tc>
        <w:tc>
          <w:tcPr>
            <w:tcW w:w="5920" w:type="dxa"/>
            <w:vAlign w:val="bottom"/>
          </w:tcPr>
          <w:p>
            <w:pPr>
              <w:spacing w:after="0"/>
              <w:rPr>
                <w:sz w:val="20"/>
                <w:szCs w:val="20"/>
                <w:color w:val="auto"/>
              </w:rPr>
            </w:pPr>
          </w:p>
        </w:tc>
      </w:tr>
      <w:tr>
        <w:trPr>
          <w:trHeight w:val="783"/>
        </w:trPr>
        <w:tc>
          <w:tcPr>
            <w:tcW w:w="4700" w:type="dxa"/>
            <w:vAlign w:val="bottom"/>
          </w:tcPr>
          <w:p>
            <w:pPr>
              <w:spacing w:after="0"/>
              <w:rPr>
                <w:sz w:val="24"/>
                <w:szCs w:val="24"/>
                <w:color w:val="auto"/>
              </w:rPr>
            </w:pPr>
          </w:p>
        </w:tc>
        <w:tc>
          <w:tcPr>
            <w:tcW w:w="59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42</w:t>
            </w:r>
          </w:p>
        </w:tc>
      </w:tr>
    </w:tbl>
    <w:p>
      <w:pPr>
        <w:sectPr>
          <w:pgSz w:w="11900" w:h="16838" w:orient="portrait"/>
          <w:cols w:equalWidth="0" w:num="1">
            <w:col w:w="11300"/>
          </w:cols>
          <w:pgMar w:left="240" w:top="900"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MARCH 29, 2015, MARCH 30, 2014, AND MARCH 31, 2013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5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200" w:type="dxa"/>
            <w:vAlign w:val="bottom"/>
          </w:tcPr>
          <w:p>
            <w:pPr>
              <w:jc w:val="center"/>
              <w:ind w:right="179"/>
              <w:spacing w:after="0" w:line="151"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380" w:type="dxa"/>
            <w:vAlign w:val="bottom"/>
          </w:tcPr>
          <w:p>
            <w:pPr>
              <w:spacing w:after="0"/>
              <w:rPr>
                <w:sz w:val="13"/>
                <w:szCs w:val="13"/>
                <w:color w:val="auto"/>
              </w:rPr>
            </w:pPr>
          </w:p>
        </w:tc>
        <w:tc>
          <w:tcPr>
            <w:tcW w:w="1160" w:type="dxa"/>
            <w:vAlign w:val="bottom"/>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36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tcPr>
          <w:p>
            <w:pPr>
              <w:spacing w:after="0"/>
              <w:rPr>
                <w:sz w:val="12"/>
                <w:szCs w:val="12"/>
                <w:color w:val="auto"/>
              </w:rPr>
            </w:pPr>
          </w:p>
        </w:tc>
        <w:tc>
          <w:tcPr>
            <w:tcW w:w="136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38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 Year</w:t>
            </w:r>
          </w:p>
        </w:tc>
        <w:tc>
          <w:tcPr>
            <w:tcW w:w="220" w:type="dxa"/>
            <w:vAlign w:val="bottom"/>
          </w:tcPr>
          <w:p>
            <w:pPr>
              <w:spacing w:after="0"/>
              <w:rPr>
                <w:sz w:val="13"/>
                <w:szCs w:val="13"/>
                <w:color w:val="auto"/>
              </w:rPr>
            </w:pPr>
          </w:p>
        </w:tc>
        <w:tc>
          <w:tcPr>
            <w:tcW w:w="1200" w:type="dxa"/>
            <w:vAlign w:val="bottom"/>
          </w:tcPr>
          <w:p>
            <w:pPr>
              <w:jc w:val="center"/>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380" w:type="dxa"/>
            <w:vAlign w:val="bottom"/>
          </w:tcPr>
          <w:p>
            <w:pPr>
              <w:spacing w:after="0"/>
              <w:rPr>
                <w:sz w:val="13"/>
                <w:szCs w:val="13"/>
                <w:color w:val="auto"/>
              </w:rPr>
            </w:pPr>
          </w:p>
        </w:tc>
        <w:tc>
          <w:tcPr>
            <w:tcW w:w="1160" w:type="dxa"/>
            <w:vAlign w:val="bottom"/>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360" w:type="dxa"/>
            <w:vAlign w:val="bottom"/>
          </w:tcPr>
          <w:p>
            <w:pPr>
              <w:spacing w:after="0"/>
              <w:rPr>
                <w:sz w:val="13"/>
                <w:szCs w:val="13"/>
                <w:color w:val="auto"/>
              </w:rPr>
            </w:pPr>
          </w:p>
        </w:tc>
        <w:tc>
          <w:tcPr>
            <w:tcW w:w="1240" w:type="dxa"/>
            <w:vAlign w:val="bottom"/>
          </w:tcPr>
          <w:p>
            <w:pPr>
              <w:jc w:val="right"/>
              <w:ind w:right="337"/>
              <w:spacing w:after="0" w:line="160" w:lineRule="exact"/>
              <w:rPr>
                <w:sz w:val="20"/>
                <w:szCs w:val="20"/>
                <w:color w:val="auto"/>
              </w:rPr>
            </w:pPr>
            <w:r>
              <w:rPr>
                <w:rFonts w:ascii="Times New Roman" w:cs="Times New Roman" w:eastAsia="Times New Roman" w:hAnsi="Times New Roman"/>
                <w:sz w:val="14"/>
                <w:szCs w:val="14"/>
                <w:b w:val="1"/>
                <w:bCs w:val="1"/>
                <w:color w:val="auto"/>
              </w:rPr>
              <w:t>Write-Offs</w:t>
            </w:r>
          </w:p>
        </w:tc>
        <w:tc>
          <w:tcPr>
            <w:tcW w:w="320" w:type="dxa"/>
            <w:vAlign w:val="bottom"/>
          </w:tcPr>
          <w:p>
            <w:pPr>
              <w:spacing w:after="0"/>
              <w:rPr>
                <w:sz w:val="13"/>
                <w:szCs w:val="13"/>
                <w:color w:val="auto"/>
              </w:rPr>
            </w:pPr>
          </w:p>
        </w:tc>
        <w:tc>
          <w:tcPr>
            <w:tcW w:w="1240" w:type="dxa"/>
            <w:vAlign w:val="bottom"/>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deducted from asset to which it applies:</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Year Ended March 29, 2015:</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Year Ended March 30, 2014:</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Year Ended March 31, 2013:</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46" w:name="page47"/>
    <w:bookmarkEnd w:id="46"/>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Unless otherwise indicated, all documents incorporated into this Annual Report on Form 10-K by reference to a document filed with the SEC are located under file number 0-7647.</w:t>
      </w:r>
    </w:p>
    <w:p>
      <w:pPr>
        <w:spacing w:after="0" w:line="304" w:lineRule="exact"/>
        <w:rPr>
          <w:sz w:val="20"/>
          <w:szCs w:val="20"/>
          <w:color w:val="auto"/>
        </w:rPr>
      </w:pPr>
    </w:p>
    <w:tbl>
      <w:tblPr>
        <w:tblLayout w:type="fixed"/>
        <w:tblInd w:w="1380" w:type="dxa"/>
        <w:tblCellMar>
          <w:top w:w="0" w:type="dxa"/>
          <w:left w:w="0" w:type="dxa"/>
          <w:bottom w:w="0" w:type="dxa"/>
          <w:right w:w="0" w:type="dxa"/>
        </w:tblCellMar>
      </w:tblPr>
      <w:tr>
        <w:trPr>
          <w:trHeight w:val="190"/>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060" w:type="dxa"/>
            <w:vAlign w:val="bottom"/>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559"/>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3.1</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Second Restated Articles of Incorporation.(1)</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By-Laws.(2)</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10.1*</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Hawkins, Inc. 2004 Omnibus Stock Plan.(3)</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10.2*</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Non-Statutory Stock Option Agreement under the Company’s 2004 Omnibus</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 Plan.(4)</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10.3*</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Hawkins, Inc. 2010 Omnibus Incentive Plan.(5)</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10.4*</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Performance-Based Unit Award Notice and Restricted Stock Agreement under</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Company’s 2010 Omnibus Incentive Plan.(6)</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10.5*</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Restricted Stock Agreement under the Company’s 2010 Omnibus Incentive Plan.</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10.6*</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Hawkins, Inc. Executive Severance Plan.(8)</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 of the registrant (9)</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by</w:t>
            </w:r>
          </w:p>
        </w:tc>
      </w:tr>
      <w:tr>
        <w:trPr>
          <w:trHeight w:val="234"/>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r>
      <w:tr>
        <w:trPr>
          <w:trHeight w:val="405"/>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23.1</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392"/>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31.1</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by Chief Executive Officer pursuant to Rule 13a-14(a) of the Exchange Act.</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392"/>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31.2</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by Chief Financial Officer pursuant to Rule 13a-14(a) of the Exchange Act.</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392"/>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32.1</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by Chief Executive Officer.</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392"/>
        </w:trPr>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32.2</w:t>
            </w:r>
          </w:p>
        </w:tc>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by Chief Financial Officer.</w:t>
            </w:r>
          </w:p>
        </w:tc>
        <w:tc>
          <w:tcPr>
            <w:tcW w:w="1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Filed Electronically</w:t>
            </w:r>
          </w:p>
        </w:tc>
      </w:tr>
    </w:tbl>
    <w:p>
      <w:pPr>
        <w:spacing w:after="0" w:line="157" w:lineRule="exact"/>
        <w:rPr>
          <w:sz w:val="20"/>
          <w:szCs w:val="20"/>
          <w:color w:val="auto"/>
        </w:rPr>
      </w:pPr>
    </w:p>
    <w:p>
      <w:pPr>
        <w:ind w:left="2440" w:right="2020" w:hanging="879"/>
        <w:spacing w:after="0" w:line="252" w:lineRule="auto"/>
        <w:tabs>
          <w:tab w:leader="none" w:pos="2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Annual Report on Form 10-K of Hawkins, Inc. for the period ended March 29, 2015, filed with the SEC on May 29, 2014, formatted in Extensible Business Reporting Language (XBRL); (i) the Consolidated Balance Sheets at March 29, 2015 and March 30, 2014, (ii) the Consolidated Statements of Income for the fiscal years ended March 29, 2015, March 30, 2014 and March 31, 2013 (iii) the Consolidated Statements of Comprehensive Income (Loss) for the fiscal years ended March 29, 2015, March 30, 2014 and March 31, 2013 (iv) the Consolidated Statements of Shareholders’ Equity for the fiscal years ended March 29, 2015, March 30, 2014 and March 31, 2013 (v) Consolidated Statements of Cash Flows for the fiscal years ended</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March 29, 2015, March 30, 2014 and March 31, 2013 and (iv) Notes to Condensed</w:t>
      </w:r>
    </w:p>
    <w:p>
      <w:pPr>
        <w:spacing w:after="0" w:line="9" w:lineRule="exact"/>
        <w:rPr>
          <w:sz w:val="20"/>
          <w:szCs w:val="20"/>
          <w:color w:val="auto"/>
        </w:rPr>
      </w:pPr>
    </w:p>
    <w:p>
      <w:pPr>
        <w:jc w:val="right"/>
        <w:spacing w:after="0"/>
        <w:tabs>
          <w:tab w:leader="none" w:pos="1420" w:val="left"/>
        </w:tabs>
        <w:rPr>
          <w:sz w:val="20"/>
          <w:szCs w:val="20"/>
          <w:color w:val="auto"/>
        </w:rPr>
      </w:pPr>
      <w:r>
        <w:rPr>
          <w:rFonts w:ascii="Times New Roman" w:cs="Times New Roman" w:eastAsia="Times New Roman" w:hAnsi="Times New Roman"/>
          <w:sz w:val="18"/>
          <w:szCs w:val="18"/>
          <w:color w:val="auto"/>
        </w:rPr>
        <w:t>Consolidated Financial Statements.</w:t>
      </w:r>
      <w:r>
        <w:rPr>
          <w:sz w:val="20"/>
          <w:szCs w:val="20"/>
          <w:color w:val="auto"/>
        </w:rPr>
        <w:tab/>
      </w:r>
      <w:r>
        <w:rPr>
          <w:rFonts w:ascii="Times New Roman" w:cs="Times New Roman" w:eastAsia="Times New Roman" w:hAnsi="Times New Roman"/>
          <w:sz w:val="18"/>
          <w:szCs w:val="18"/>
          <w:color w:val="auto"/>
        </w:rPr>
        <w:t>Filed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0" w:hanging="68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 required to be filed as an exhibit to this Annual Report on Form 10-K.</w:t>
      </w:r>
    </w:p>
    <w:p>
      <w:pPr>
        <w:sectPr>
          <w:pgSz w:w="11900" w:h="16838" w:orient="portrait"/>
          <w:cols w:equalWidth="0" w:num="1">
            <w:col w:w="10920"/>
          </w:cols>
          <w:pgMar w:left="240" w:top="360" w:right="739" w:bottom="1440" w:gutter="0" w:footer="0" w:header="0"/>
        </w:sectPr>
      </w:pPr>
    </w:p>
    <w:p>
      <w:pPr>
        <w:spacing w:after="0" w:line="27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240" w:top="360" w:right="739" w:bottom="1440" w:gutter="0" w:footer="0" w:header="0"/>
          <w:type w:val="continuous"/>
        </w:sectPr>
      </w:pPr>
    </w:p>
    <w:bookmarkStart w:id="47" w:name="page48"/>
    <w:bookmarkEnd w:id="47"/>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Quarterly Report on Form 10-Q for the quarterly period ended June 30, 2010.</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dated October 28, 2009 and filed November 3, 2009.</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B to the Company’s Proxy Statement for the 2004 Annual Meeting of Shareholders filed July 23, 2004.</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Quarterly Report on Form 10-Q for the quarterly period ended June 30, 2008.</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Registration Statement on Form S-8 filed June 6, 2011 (file no. 333-174735).</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Quarterly Report on Form 10-Q for the quarterly period ended June 30, 2010.</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Company’s Quarterly Report on Form 10-Q for the quarterly period ended June 30, 2010.</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Quarterly Report on Form 10-Q for the quarterly period ended July 3, 2011.</w:t>
      </w:r>
    </w:p>
    <w:p>
      <w:pPr>
        <w:spacing w:after="0" w:line="9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21 to the Company’s Annual Report on Form 10-K for the annual period ended March 30, 2014.</w:t>
      </w:r>
    </w:p>
    <w:p>
      <w:pPr>
        <w:spacing w:after="0" w:line="200" w:lineRule="exact"/>
        <w:rPr>
          <w:sz w:val="20"/>
          <w:szCs w:val="20"/>
          <w:color w:val="auto"/>
        </w:rPr>
      </w:pPr>
    </w:p>
    <w:p>
      <w:pPr>
        <w:spacing w:after="0" w:line="349" w:lineRule="exact"/>
        <w:rPr>
          <w:sz w:val="20"/>
          <w:szCs w:val="20"/>
          <w:color w:val="auto"/>
        </w:rPr>
      </w:pPr>
    </w:p>
    <w:p>
      <w:pPr>
        <w:jc w:val="center"/>
        <w:ind w:right="-375"/>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16"/>
          </w:cols>
          <w:pgMar w:left="464" w:top="661" w:right="8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Hawkins, Inc.:</w:t>
      </w:r>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333-87582 on Form S-8 relating to the Hawkins, Inc. Employee Stock Purchase Plan, as Amended and Restated, No. 333-172761 on Form S-8 relating to the Hawkins, Inc. Employee Stock Purchase Plan, 333-123080 on Form S-8 relating to the Hawkins, Inc. 2004 Omnibus Stock Plan, and 333-174735 on Form S-8 relating to the Hawkins, Inc. 2010 Omnibus Incentive Plan of our report dated May 28, 2015, with respect to the consolidated balance sheets of Hawkins, Inc. as of March 29, 2015 and March 30, 2014, the related consolidated statements of income, comprehensive income, shareholders’ equity, and cash flows for each of the years in the three-year period ended March 29, 2015, the related financial statement schedule, and the effectiveness of internal control over financial reporting as of March 29, 2015 which report appears in the March 29, 2015 annual report on Form 10-K of Hawkins, Inc.</w:t>
      </w:r>
    </w:p>
    <w:p>
      <w:pPr>
        <w:spacing w:after="0" w:line="324"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Our report dated May 28, 2015 on internal control over financial reporting as of March 29, 2015, contains an explanatory paragraph that states management excluded from its assessment of the effectiveness of internal control over financial reporting as of March 29, 2015, Dumont Company, Inc.’s internal control over financial reporting that comprise total assets of 4.3% and 1.6% of total revenues included in the consolidated financial statements of Hawkins, Inc. and subsidiaries as of and for the year ended March 29, 2015. Our audit of internal control over financial reporting of Hawkins, Inc. also excluded an evaluation of the internal control over financial reporting of Dumont Company, Inc.</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2015</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Hawkins, Inc.;</w:t>
      </w:r>
    </w:p>
    <w:p>
      <w:pPr>
        <w:spacing w:after="0" w:line="90"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2015</w:t>
      </w:r>
    </w:p>
    <w:p>
      <w:pPr>
        <w:spacing w:after="0" w:line="36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Hawkins, Inc.;</w:t>
      </w:r>
    </w:p>
    <w:p>
      <w:pPr>
        <w:spacing w:after="0" w:line="90"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300" w:right="380" w:hanging="644"/>
        <w:spacing w:after="0" w:line="28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680" w:hanging="644"/>
        <w:spacing w:after="0" w:line="28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2015</w:t>
      </w:r>
    </w:p>
    <w:p>
      <w:pPr>
        <w:spacing w:after="0" w:line="36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Hawkins, Inc. (the Company) on Form 10-K for the period ended March 29, 2015,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28, 2015</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Hawkins, Inc. (the Company) on Form 10-K for the period ended March 29, 2015,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28,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2019-12-29T17:00:59Z</dcterms:created>
  <dcterms:modified xsi:type="dcterms:W3CDTF">2019-12-29T17:00:59Z</dcterms:modified>
</cp:coreProperties>
</file>