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60" w:type="dxa"/>
        <w:tblCellMar>
          <w:top w:w="0" w:type="dxa"/>
          <w:left w:w="0" w:type="dxa"/>
          <w:bottom w:w="0" w:type="dxa"/>
          <w:right w:w="0" w:type="dxa"/>
        </w:tblCellMar>
      </w:tblPr>
      <w:tr>
        <w:trPr>
          <w:trHeight w:val="297"/>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80" w:type="dxa"/>
            <w:vAlign w:val="bottom"/>
            <w:gridSpan w:val="2"/>
          </w:tcPr>
          <w:p>
            <w:pPr>
              <w:jc w:val="center"/>
              <w:ind w:right="1480"/>
              <w:spacing w:after="0"/>
              <w:rPr>
                <w:sz w:val="20"/>
                <w:szCs w:val="20"/>
                <w:color w:val="auto"/>
              </w:rPr>
            </w:pPr>
            <w:r>
              <w:rPr>
                <w:rFonts w:ascii="Arial" w:cs="Arial" w:eastAsia="Arial" w:hAnsi="Arial"/>
                <w:sz w:val="25"/>
                <w:szCs w:val="25"/>
                <w:b w:val="1"/>
                <w:bCs w:val="1"/>
                <w:color w:val="auto"/>
                <w:w w:val="98"/>
              </w:rPr>
              <w:t>UNITED STATES</w:t>
            </w:r>
          </w:p>
        </w:tc>
      </w:tr>
      <w:tr>
        <w:trPr>
          <w:trHeight w:val="308"/>
        </w:trPr>
        <w:tc>
          <w:tcPr>
            <w:tcW w:w="1080" w:type="dxa"/>
            <w:vAlign w:val="bottom"/>
          </w:tcPr>
          <w:p>
            <w:pPr>
              <w:spacing w:after="0"/>
              <w:rPr>
                <w:sz w:val="24"/>
                <w:szCs w:val="24"/>
                <w:color w:val="auto"/>
              </w:rPr>
            </w:pPr>
          </w:p>
        </w:tc>
        <w:tc>
          <w:tcPr>
            <w:tcW w:w="6760" w:type="dxa"/>
            <w:vAlign w:val="bottom"/>
            <w:gridSpan w:val="3"/>
          </w:tcPr>
          <w:p>
            <w:pPr>
              <w:jc w:val="center"/>
              <w:ind w:left="521"/>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85"/>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80" w:type="dxa"/>
            <w:vAlign w:val="bottom"/>
            <w:gridSpan w:val="2"/>
          </w:tcPr>
          <w:p>
            <w:pPr>
              <w:jc w:val="center"/>
              <w:ind w:right="1480"/>
              <w:spacing w:after="0"/>
              <w:rPr>
                <w:sz w:val="20"/>
                <w:szCs w:val="20"/>
                <w:color w:val="auto"/>
              </w:rPr>
            </w:pPr>
            <w:r>
              <w:rPr>
                <w:rFonts w:ascii="Arial" w:cs="Arial" w:eastAsia="Arial" w:hAnsi="Arial"/>
                <w:sz w:val="22"/>
                <w:szCs w:val="22"/>
                <w:b w:val="1"/>
                <w:bCs w:val="1"/>
                <w:color w:val="auto"/>
                <w:w w:val="97"/>
              </w:rPr>
              <w:t>Washington, D.C. 20549</w:t>
            </w:r>
          </w:p>
        </w:tc>
      </w:tr>
      <w:tr>
        <w:trPr>
          <w:trHeight w:val="71"/>
        </w:trPr>
        <w:tc>
          <w:tcPr>
            <w:tcW w:w="10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287"/>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80" w:type="dxa"/>
            <w:vAlign w:val="bottom"/>
            <w:gridSpan w:val="2"/>
          </w:tcPr>
          <w:p>
            <w:pPr>
              <w:jc w:val="center"/>
              <w:ind w:right="1180"/>
              <w:spacing w:after="0"/>
              <w:rPr>
                <w:sz w:val="20"/>
                <w:szCs w:val="20"/>
                <w:color w:val="auto"/>
              </w:rPr>
            </w:pPr>
            <w:r>
              <w:rPr>
                <w:rFonts w:ascii="Arial" w:cs="Arial" w:eastAsia="Arial" w:hAnsi="Arial"/>
                <w:sz w:val="22"/>
                <w:szCs w:val="22"/>
                <w:b w:val="1"/>
                <w:bCs w:val="1"/>
                <w:color w:val="auto"/>
                <w:w w:val="97"/>
              </w:rPr>
              <w:t>Form 10-K</w:t>
            </w:r>
          </w:p>
        </w:tc>
      </w:tr>
      <w:tr>
        <w:trPr>
          <w:trHeight w:val="318"/>
        </w:trPr>
        <w:tc>
          <w:tcPr>
            <w:tcW w:w="108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6760" w:type="dxa"/>
            <w:vAlign w:val="bottom"/>
            <w:gridSpan w:val="3"/>
          </w:tcPr>
          <w:p>
            <w:pPr>
              <w:jc w:val="center"/>
              <w:ind w:left="821"/>
              <w:spacing w:after="0"/>
              <w:rPr>
                <w:sz w:val="20"/>
                <w:szCs w:val="20"/>
                <w:color w:val="auto"/>
              </w:rPr>
            </w:pPr>
            <w:r>
              <w:rPr>
                <w:rFonts w:ascii="Arial" w:cs="Arial" w:eastAsia="Arial" w:hAnsi="Arial"/>
                <w:sz w:val="18"/>
                <w:szCs w:val="18"/>
                <w:b w:val="1"/>
                <w:bCs w:val="1"/>
                <w:color w:val="auto"/>
                <w:w w:val="99"/>
              </w:rPr>
              <w:t>ANNUAL REPORT PURSUANT TO SECTION 13 OR 15(d) OF THE</w:t>
            </w:r>
          </w:p>
        </w:tc>
      </w:tr>
      <w:tr>
        <w:trPr>
          <w:trHeight w:val="229"/>
        </w:trPr>
        <w:tc>
          <w:tcPr>
            <w:tcW w:w="1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8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9"/>
              </w:rPr>
              <w:t>SECURITIES EXCHANGE ACT OF 1934</w:t>
            </w:r>
          </w:p>
        </w:tc>
      </w:tr>
      <w:tr>
        <w:trPr>
          <w:trHeight w:val="239"/>
        </w:trPr>
        <w:tc>
          <w:tcPr>
            <w:tcW w:w="1080" w:type="dxa"/>
            <w:vAlign w:val="bottom"/>
          </w:tcPr>
          <w:p>
            <w:pPr>
              <w:spacing w:after="0"/>
              <w:rPr>
                <w:sz w:val="20"/>
                <w:szCs w:val="20"/>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b w:val="1"/>
                <w:bCs w:val="1"/>
                <w:color w:val="auto"/>
              </w:rPr>
              <w:t>For the Fiscal Year Ended March 28, 2021</w:t>
            </w:r>
          </w:p>
        </w:tc>
      </w:tr>
      <w:tr>
        <w:trPr>
          <w:trHeight w:val="315"/>
        </w:trPr>
        <w:tc>
          <w:tcPr>
            <w:tcW w:w="108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6760" w:type="dxa"/>
            <w:vAlign w:val="bottom"/>
            <w:gridSpan w:val="3"/>
          </w:tcPr>
          <w:p>
            <w:pPr>
              <w:jc w:val="center"/>
              <w:ind w:left="801"/>
              <w:spacing w:after="0"/>
              <w:rPr>
                <w:sz w:val="20"/>
                <w:szCs w:val="20"/>
                <w:color w:val="auto"/>
              </w:rPr>
            </w:pPr>
            <w:r>
              <w:rPr>
                <w:rFonts w:ascii="Arial" w:cs="Arial" w:eastAsia="Arial" w:hAnsi="Arial"/>
                <w:sz w:val="18"/>
                <w:szCs w:val="18"/>
                <w:b w:val="1"/>
                <w:bCs w:val="1"/>
                <w:color w:val="auto"/>
                <w:w w:val="99"/>
              </w:rPr>
              <w:t>TRANSITION REPORT PURSUANT TO SECTION 13 OR 15(d) OF THE</w:t>
            </w:r>
          </w:p>
        </w:tc>
      </w:tr>
      <w:tr>
        <w:trPr>
          <w:trHeight w:val="239"/>
        </w:trPr>
        <w:tc>
          <w:tcPr>
            <w:tcW w:w="1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8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9"/>
              </w:rPr>
              <w:t>SECURITIES EXCHANGE ACT OF 1934</w:t>
            </w:r>
          </w:p>
        </w:tc>
      </w:tr>
      <w:tr>
        <w:trPr>
          <w:trHeight w:val="283"/>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8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9"/>
              </w:rPr>
              <w:t>Commission File No. 0-7647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396875</wp:posOffset>
            </wp:positionH>
            <wp:positionV relativeFrom="page">
              <wp:posOffset>551815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517525</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205740</wp:posOffset>
            </wp:positionV>
            <wp:extent cx="2014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 w:lineRule="exact"/>
        <w:rPr>
          <w:sz w:val="24"/>
          <w:szCs w:val="24"/>
          <w:color w:val="auto"/>
        </w:rPr>
      </w:pPr>
    </w:p>
    <w:tbl>
      <w:tblPr>
        <w:tblLayout w:type="fixed"/>
        <w:tblInd w:w="34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Minnesota</w:t>
            </w:r>
          </w:p>
        </w:tc>
        <w:tc>
          <w:tcPr>
            <w:tcW w:w="3940" w:type="dxa"/>
            <w:vAlign w:val="bottom"/>
          </w:tcPr>
          <w:p>
            <w:pPr>
              <w:spacing w:after="0"/>
              <w:rPr>
                <w:sz w:val="16"/>
                <w:szCs w:val="16"/>
                <w:color w:val="auto"/>
              </w:rPr>
            </w:pPr>
          </w:p>
        </w:tc>
        <w:tc>
          <w:tcPr>
            <w:tcW w:w="2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41-0771293</w:t>
            </w:r>
          </w:p>
        </w:tc>
        <w:tc>
          <w:tcPr>
            <w:tcW w:w="780" w:type="dxa"/>
            <w:vAlign w:val="bottom"/>
          </w:tcPr>
          <w:p>
            <w:pPr>
              <w:spacing w:after="0"/>
              <w:rPr>
                <w:sz w:val="16"/>
                <w:szCs w:val="16"/>
                <w:color w:val="auto"/>
              </w:rPr>
            </w:pPr>
          </w:p>
        </w:tc>
      </w:tr>
      <w:tr>
        <w:trPr>
          <w:trHeight w:val="152"/>
        </w:trPr>
        <w:tc>
          <w:tcPr>
            <w:tcW w:w="164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color w:val="auto"/>
              </w:rPr>
              <w:t>(State of Incorporation)</w:t>
            </w:r>
          </w:p>
        </w:tc>
        <w:tc>
          <w:tcPr>
            <w:tcW w:w="3940" w:type="dxa"/>
            <w:vAlign w:val="bottom"/>
          </w:tcPr>
          <w:p>
            <w:pPr>
              <w:spacing w:after="0"/>
              <w:rPr>
                <w:sz w:val="13"/>
                <w:szCs w:val="13"/>
                <w:color w:val="auto"/>
              </w:rPr>
            </w:pPr>
          </w:p>
        </w:tc>
        <w:tc>
          <w:tcPr>
            <w:tcW w:w="2000" w:type="dxa"/>
            <w:vAlign w:val="bottom"/>
            <w:gridSpan w:val="3"/>
          </w:tcPr>
          <w:p>
            <w:pPr>
              <w:jc w:val="center"/>
              <w:ind w:left="148"/>
              <w:spacing w:after="0" w:line="152" w:lineRule="exact"/>
              <w:rPr>
                <w:sz w:val="20"/>
                <w:szCs w:val="20"/>
                <w:color w:val="auto"/>
              </w:rPr>
            </w:pPr>
            <w:r>
              <w:rPr>
                <w:rFonts w:ascii="Arial" w:cs="Arial" w:eastAsia="Arial" w:hAnsi="Arial"/>
                <w:sz w:val="14"/>
                <w:szCs w:val="14"/>
                <w:color w:val="auto"/>
              </w:rPr>
              <w:t>(I.R.S. Employer</w:t>
            </w:r>
          </w:p>
        </w:tc>
        <w:tc>
          <w:tcPr>
            <w:tcW w:w="780" w:type="dxa"/>
            <w:vAlign w:val="bottom"/>
          </w:tcPr>
          <w:p>
            <w:pPr>
              <w:spacing w:after="0"/>
              <w:rPr>
                <w:sz w:val="13"/>
                <w:szCs w:val="13"/>
                <w:color w:val="auto"/>
              </w:rPr>
            </w:pPr>
          </w:p>
        </w:tc>
      </w:tr>
      <w:tr>
        <w:trPr>
          <w:trHeight w:val="171"/>
        </w:trPr>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0" w:type="dxa"/>
            <w:vAlign w:val="bottom"/>
            <w:gridSpan w:val="3"/>
          </w:tcPr>
          <w:p>
            <w:pPr>
              <w:jc w:val="center"/>
              <w:ind w:left="168"/>
              <w:spacing w:after="0"/>
              <w:rPr>
                <w:sz w:val="20"/>
                <w:szCs w:val="20"/>
                <w:color w:val="auto"/>
              </w:rPr>
            </w:pPr>
            <w:r>
              <w:rPr>
                <w:rFonts w:ascii="Arial" w:cs="Arial" w:eastAsia="Arial" w:hAnsi="Arial"/>
                <w:sz w:val="14"/>
                <w:szCs w:val="14"/>
                <w:color w:val="auto"/>
              </w:rPr>
              <w:t>Identification No.)</w:t>
            </w:r>
          </w:p>
        </w:tc>
        <w:tc>
          <w:tcPr>
            <w:tcW w:w="780" w:type="dxa"/>
            <w:vAlign w:val="bottom"/>
          </w:tcPr>
          <w:p>
            <w:pPr>
              <w:spacing w:after="0"/>
              <w:rPr>
                <w:sz w:val="14"/>
                <w:szCs w:val="14"/>
                <w:color w:val="auto"/>
              </w:rPr>
            </w:pPr>
          </w:p>
        </w:tc>
      </w:tr>
      <w:tr>
        <w:trPr>
          <w:trHeight w:val="190"/>
        </w:trPr>
        <w:tc>
          <w:tcPr>
            <w:tcW w:w="7180" w:type="dxa"/>
            <w:vAlign w:val="bottom"/>
            <w:gridSpan w:val="3"/>
          </w:tcPr>
          <w:p>
            <w:pPr>
              <w:jc w:val="center"/>
              <w:ind w:right="2168"/>
              <w:spacing w:after="0"/>
              <w:rPr>
                <w:sz w:val="20"/>
                <w:szCs w:val="20"/>
                <w:color w:val="auto"/>
              </w:rPr>
            </w:pPr>
            <w:r>
              <w:rPr>
                <w:rFonts w:ascii="Arial" w:cs="Arial" w:eastAsia="Arial" w:hAnsi="Arial"/>
                <w:sz w:val="14"/>
                <w:szCs w:val="14"/>
                <w:b w:val="1"/>
                <w:bCs w:val="1"/>
                <w:color w:val="auto"/>
              </w:rPr>
              <w:t>2381 Rosegate, Roseville, Minnesota</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55113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7180" w:type="dxa"/>
            <w:vAlign w:val="bottom"/>
            <w:gridSpan w:val="3"/>
          </w:tcPr>
          <w:p>
            <w:pPr>
              <w:jc w:val="center"/>
              <w:ind w:right="2168"/>
              <w:spacing w:after="0"/>
              <w:rPr>
                <w:sz w:val="20"/>
                <w:szCs w:val="20"/>
                <w:color w:val="auto"/>
              </w:rPr>
            </w:pPr>
            <w:r>
              <w:rPr>
                <w:rFonts w:ascii="Arial" w:cs="Arial" w:eastAsia="Arial" w:hAnsi="Arial"/>
                <w:sz w:val="14"/>
                <w:szCs w:val="14"/>
                <w:color w:val="auto"/>
              </w:rPr>
              <w:t>(Address of Principal Executive Offices)</w:t>
            </w:r>
          </w:p>
        </w:tc>
        <w:tc>
          <w:tcPr>
            <w:tcW w:w="2000" w:type="dxa"/>
            <w:vAlign w:val="bottom"/>
            <w:gridSpan w:val="3"/>
          </w:tcPr>
          <w:p>
            <w:pPr>
              <w:jc w:val="center"/>
              <w:ind w:left="168"/>
              <w:spacing w:after="0"/>
              <w:rPr>
                <w:sz w:val="20"/>
                <w:szCs w:val="20"/>
                <w:color w:val="auto"/>
              </w:rPr>
            </w:pPr>
            <w:r>
              <w:rPr>
                <w:rFonts w:ascii="Arial" w:cs="Arial" w:eastAsia="Arial" w:hAnsi="Arial"/>
                <w:sz w:val="14"/>
                <w:szCs w:val="14"/>
                <w:color w:val="auto"/>
              </w:rPr>
              <w:t>(Zip Code)</w:t>
            </w:r>
          </w:p>
        </w:tc>
        <w:tc>
          <w:tcPr>
            <w:tcW w:w="780" w:type="dxa"/>
            <w:vAlign w:val="bottom"/>
          </w:tcPr>
          <w:p>
            <w:pPr>
              <w:spacing w:after="0"/>
              <w:rPr>
                <w:sz w:val="16"/>
                <w:szCs w:val="16"/>
                <w:color w:val="auto"/>
              </w:rPr>
            </w:pPr>
          </w:p>
        </w:tc>
      </w:tr>
      <w:tr>
        <w:trPr>
          <w:trHeight w:val="255"/>
        </w:trPr>
        <w:tc>
          <w:tcPr>
            <w:tcW w:w="16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940" w:type="dxa"/>
            <w:vAlign w:val="bottom"/>
          </w:tcPr>
          <w:p>
            <w:pPr>
              <w:jc w:val="right"/>
              <w:ind w:right="1328"/>
              <w:spacing w:after="0"/>
              <w:rPr>
                <w:sz w:val="20"/>
                <w:szCs w:val="20"/>
                <w:color w:val="auto"/>
              </w:rPr>
            </w:pPr>
            <w:r>
              <w:rPr>
                <w:rFonts w:ascii="Arial" w:cs="Arial" w:eastAsia="Arial" w:hAnsi="Arial"/>
                <w:sz w:val="14"/>
                <w:szCs w:val="14"/>
                <w:b w:val="1"/>
                <w:bCs w:val="1"/>
                <w:color w:val="auto"/>
              </w:rPr>
              <w:t>(612) 331-6910</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0"/>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40" w:type="dxa"/>
            <w:vAlign w:val="bottom"/>
          </w:tcPr>
          <w:p>
            <w:pPr>
              <w:jc w:val="center"/>
              <w:ind w:left="6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1"/>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0"/>
        </w:trPr>
        <w:tc>
          <w:tcPr>
            <w:tcW w:w="3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3940" w:type="dxa"/>
            <w:vAlign w:val="bottom"/>
          </w:tcPr>
          <w:p>
            <w:pPr>
              <w:jc w:val="center"/>
              <w:ind w:right="28"/>
              <w:spacing w:after="0"/>
              <w:rPr>
                <w:sz w:val="20"/>
                <w:szCs w:val="20"/>
                <w:color w:val="auto"/>
              </w:rPr>
            </w:pPr>
            <w:r>
              <w:rPr>
                <w:rFonts w:ascii="Arial" w:cs="Arial" w:eastAsia="Arial" w:hAnsi="Arial"/>
                <w:sz w:val="14"/>
                <w:szCs w:val="14"/>
                <w:b w:val="1"/>
                <w:bCs w:val="1"/>
                <w:color w:val="auto"/>
              </w:rPr>
              <w:t>Trading Symbol:</w:t>
            </w:r>
          </w:p>
        </w:tc>
        <w:tc>
          <w:tcPr>
            <w:tcW w:w="2780" w:type="dxa"/>
            <w:vAlign w:val="bottom"/>
            <w:gridSpan w:val="4"/>
          </w:tcPr>
          <w:p>
            <w:pPr>
              <w:ind w:left="60"/>
              <w:spacing w:after="0"/>
              <w:rPr>
                <w:sz w:val="20"/>
                <w:szCs w:val="20"/>
                <w:color w:val="auto"/>
              </w:rPr>
            </w:pPr>
            <w:r>
              <w:rPr>
                <w:rFonts w:ascii="Arial" w:cs="Arial" w:eastAsia="Arial" w:hAnsi="Arial"/>
                <w:sz w:val="14"/>
                <w:szCs w:val="14"/>
                <w:b w:val="1"/>
                <w:bCs w:val="1"/>
                <w:color w:val="auto"/>
              </w:rPr>
              <w:t>Name of exchange on which registered:</w:t>
            </w:r>
          </w:p>
        </w:tc>
      </w:tr>
      <w:tr>
        <w:trPr>
          <w:trHeight w:val="188"/>
        </w:trPr>
        <w:tc>
          <w:tcPr>
            <w:tcW w:w="3240" w:type="dxa"/>
            <w:vAlign w:val="bottom"/>
            <w:gridSpan w:val="2"/>
          </w:tcPr>
          <w:p>
            <w:pPr>
              <w:jc w:val="center"/>
              <w:spacing w:after="0"/>
              <w:rPr>
                <w:sz w:val="20"/>
                <w:szCs w:val="20"/>
                <w:color w:val="auto"/>
              </w:rPr>
            </w:pPr>
            <w:r>
              <w:rPr>
                <w:rFonts w:ascii="Arial" w:cs="Arial" w:eastAsia="Arial" w:hAnsi="Arial"/>
                <w:sz w:val="14"/>
                <w:szCs w:val="14"/>
                <w:color w:val="auto"/>
              </w:rPr>
              <w:t>Common Shares, par value $.01 per share</w:t>
            </w:r>
          </w:p>
        </w:tc>
        <w:tc>
          <w:tcPr>
            <w:tcW w:w="3940" w:type="dxa"/>
            <w:vAlign w:val="bottom"/>
          </w:tcPr>
          <w:p>
            <w:pPr>
              <w:jc w:val="center"/>
              <w:ind w:right="28"/>
              <w:spacing w:after="0"/>
              <w:rPr>
                <w:sz w:val="20"/>
                <w:szCs w:val="20"/>
                <w:color w:val="auto"/>
              </w:rPr>
            </w:pPr>
            <w:r>
              <w:rPr>
                <w:rFonts w:ascii="Arial" w:cs="Arial" w:eastAsia="Arial" w:hAnsi="Arial"/>
                <w:sz w:val="14"/>
                <w:szCs w:val="14"/>
                <w:color w:val="auto"/>
              </w:rPr>
              <w:t>HWKN</w:t>
            </w:r>
          </w:p>
        </w:tc>
        <w:tc>
          <w:tcPr>
            <w:tcW w:w="2780" w:type="dxa"/>
            <w:vAlign w:val="bottom"/>
            <w:gridSpan w:val="4"/>
          </w:tcPr>
          <w:p>
            <w:pPr>
              <w:ind w:left="660"/>
              <w:spacing w:after="0"/>
              <w:rPr>
                <w:sz w:val="20"/>
                <w:szCs w:val="20"/>
                <w:color w:val="auto"/>
              </w:rPr>
            </w:pPr>
            <w:r>
              <w:rPr>
                <w:rFonts w:ascii="Arial" w:cs="Arial" w:eastAsia="Arial" w:hAnsi="Arial"/>
                <w:sz w:val="14"/>
                <w:szCs w:val="14"/>
                <w:color w:val="auto"/>
              </w:rPr>
              <w:t>Nasdaq Stock Market LLC</w:t>
            </w:r>
          </w:p>
        </w:tc>
      </w:tr>
      <w:tr>
        <w:trPr>
          <w:trHeight w:val="190"/>
        </w:trPr>
        <w:tc>
          <w:tcPr>
            <w:tcW w:w="1640" w:type="dxa"/>
            <w:vAlign w:val="bottom"/>
          </w:tcPr>
          <w:p>
            <w:pPr>
              <w:spacing w:after="0"/>
              <w:rPr>
                <w:sz w:val="16"/>
                <w:szCs w:val="16"/>
                <w:color w:val="auto"/>
              </w:rPr>
            </w:pPr>
          </w:p>
        </w:tc>
        <w:tc>
          <w:tcPr>
            <w:tcW w:w="688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2"/>
        </w:trPr>
        <w:tc>
          <w:tcPr>
            <w:tcW w:w="1640" w:type="dxa"/>
            <w:vAlign w:val="bottom"/>
          </w:tcPr>
          <w:p>
            <w:pPr>
              <w:spacing w:after="0"/>
              <w:rPr>
                <w:sz w:val="21"/>
                <w:szCs w:val="21"/>
                <w:color w:val="auto"/>
              </w:rPr>
            </w:pPr>
          </w:p>
        </w:tc>
        <w:tc>
          <w:tcPr>
            <w:tcW w:w="6880" w:type="dxa"/>
            <w:vAlign w:val="bottom"/>
            <w:tcBorders>
              <w:bottom w:val="single" w:sz="8" w:color="auto"/>
            </w:tcBorders>
            <w:gridSpan w:val="3"/>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16"/>
        </w:trPr>
        <w:tc>
          <w:tcPr>
            <w:tcW w:w="8520" w:type="dxa"/>
            <w:vAlign w:val="bottom"/>
            <w:gridSpan w:val="4"/>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66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78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3"/>
        </w:trPr>
        <w:tc>
          <w:tcPr>
            <w:tcW w:w="8520" w:type="dxa"/>
            <w:vAlign w:val="bottom"/>
            <w:gridSpan w:val="4"/>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660" w:type="dxa"/>
            <w:vAlign w:val="bottom"/>
            <w:gridSpan w:val="2"/>
          </w:tcPr>
          <w:p>
            <w:pPr>
              <w:ind w:left="1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78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57" w:lineRule="exact"/>
        <w:rPr>
          <w:sz w:val="24"/>
          <w:szCs w:val="24"/>
          <w:color w:val="auto"/>
        </w:rPr>
      </w:pPr>
    </w:p>
    <w:p>
      <w:pPr>
        <w:ind w:right="40"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right="1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2" w:lineRule="exact"/>
        <w:rPr>
          <w:sz w:val="24"/>
          <w:szCs w:val="24"/>
          <w:color w:val="auto"/>
        </w:rPr>
      </w:pPr>
    </w:p>
    <w:p>
      <w:pPr>
        <w:ind w:right="120" w:firstLine="64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400" w:type="dxa"/>
        <w:tblCellMar>
          <w:top w:w="0" w:type="dxa"/>
          <w:left w:w="0" w:type="dxa"/>
          <w:bottom w:w="0" w:type="dxa"/>
          <w:right w:w="0" w:type="dxa"/>
        </w:tblCellMar>
      </w:tblPr>
      <w:tr>
        <w:trPr>
          <w:trHeight w:val="368"/>
        </w:trPr>
        <w:tc>
          <w:tcPr>
            <w:tcW w:w="5240" w:type="dxa"/>
            <w:vAlign w:val="bottom"/>
          </w:tcPr>
          <w:p>
            <w:pPr>
              <w:jc w:val="right"/>
              <w:ind w:right="3488"/>
              <w:spacing w:after="0" w:line="368" w:lineRule="exact"/>
              <w:rPr>
                <w:sz w:val="20"/>
                <w:szCs w:val="20"/>
                <w:color w:val="auto"/>
              </w:rPr>
            </w:pPr>
            <w:r>
              <w:rPr>
                <w:rFonts w:ascii="Arial" w:cs="Arial" w:eastAsia="Arial" w:hAnsi="Arial"/>
                <w:sz w:val="14"/>
                <w:szCs w:val="14"/>
                <w:color w:val="auto"/>
                <w:w w:val="99"/>
              </w:rPr>
              <w:t xml:space="preserve">Large accelerated filer  </w:t>
            </w:r>
            <w:r>
              <w:rPr>
                <w:rFonts w:ascii="MS PGothic" w:cs="MS PGothic" w:eastAsia="MS PGothic" w:hAnsi="MS PGothic"/>
                <w:sz w:val="32"/>
                <w:szCs w:val="32"/>
                <w:color w:val="auto"/>
                <w:w w:val="99"/>
                <w:vertAlign w:val="superscript"/>
              </w:rPr>
              <w:t>☐</w:t>
            </w:r>
          </w:p>
        </w:tc>
        <w:tc>
          <w:tcPr>
            <w:tcW w:w="5480" w:type="dxa"/>
            <w:vAlign w:val="bottom"/>
          </w:tcPr>
          <w:p>
            <w:pPr>
              <w:jc w:val="right"/>
              <w:spacing w:after="0" w:line="368"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32"/>
                <w:szCs w:val="32"/>
                <w:color w:val="auto"/>
                <w:vertAlign w:val="superscript"/>
              </w:rPr>
              <w:t>☑</w:t>
            </w:r>
          </w:p>
        </w:tc>
      </w:tr>
      <w:tr>
        <w:trPr>
          <w:trHeight w:val="338"/>
        </w:trPr>
        <w:tc>
          <w:tcPr>
            <w:tcW w:w="5240" w:type="dxa"/>
            <w:vAlign w:val="bottom"/>
          </w:tcPr>
          <w:p>
            <w:pPr>
              <w:jc w:val="right"/>
              <w:ind w:right="3488"/>
              <w:spacing w:after="0" w:line="338"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32"/>
                <w:szCs w:val="32"/>
                <w:color w:val="auto"/>
                <w:vertAlign w:val="superscript"/>
              </w:rPr>
              <w:t>☐</w:t>
            </w:r>
          </w:p>
        </w:tc>
        <w:tc>
          <w:tcPr>
            <w:tcW w:w="5480" w:type="dxa"/>
            <w:vAlign w:val="bottom"/>
          </w:tcPr>
          <w:p>
            <w:pPr>
              <w:jc w:val="right"/>
              <w:spacing w:after="0" w:line="338"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32"/>
                <w:szCs w:val="32"/>
                <w:color w:val="auto"/>
                <w:vertAlign w:val="superscript"/>
              </w:rPr>
              <w:t>☐</w:t>
            </w:r>
          </w:p>
        </w:tc>
      </w:tr>
      <w:tr>
        <w:trPr>
          <w:trHeight w:val="379"/>
        </w:trPr>
        <w:tc>
          <w:tcPr>
            <w:tcW w:w="5240" w:type="dxa"/>
            <w:vAlign w:val="bottom"/>
          </w:tcPr>
          <w:p>
            <w:pPr>
              <w:spacing w:after="0"/>
              <w:rPr>
                <w:sz w:val="24"/>
                <w:szCs w:val="24"/>
                <w:color w:val="auto"/>
              </w:rPr>
            </w:pPr>
          </w:p>
        </w:tc>
        <w:tc>
          <w:tcPr>
            <w:tcW w:w="5480" w:type="dxa"/>
            <w:vAlign w:val="bottom"/>
          </w:tcPr>
          <w:p>
            <w:pPr>
              <w:jc w:val="right"/>
              <w:spacing w:after="0" w:line="368"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32"/>
                <w:szCs w:val="32"/>
                <w:color w:val="auto"/>
                <w:vertAlign w:val="superscript"/>
              </w:rPr>
              <w:t>☐</w:t>
            </w:r>
          </w:p>
        </w:tc>
      </w:tr>
    </w:tbl>
    <w:p>
      <w:pPr>
        <w:ind w:firstLine="64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ind w:right="20"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1" w:lineRule="exact"/>
        <w:rPr>
          <w:sz w:val="24"/>
          <w:szCs w:val="24"/>
          <w:color w:val="auto"/>
        </w:rPr>
      </w:pPr>
    </w:p>
    <w:p>
      <w:pPr>
        <w:ind w:left="340"/>
        <w:spacing w:after="0" w:line="184"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1" w:lineRule="exact"/>
        <w:rPr>
          <w:sz w:val="24"/>
          <w:szCs w:val="24"/>
          <w:color w:val="auto"/>
        </w:rPr>
      </w:pPr>
    </w:p>
    <w:p>
      <w:pPr>
        <w:ind w:right="160" w:firstLine="324"/>
        <w:spacing w:after="0" w:line="251" w:lineRule="auto"/>
        <w:rPr>
          <w:sz w:val="20"/>
          <w:szCs w:val="20"/>
          <w:color w:val="auto"/>
        </w:rPr>
      </w:pPr>
      <w:r>
        <w:rPr>
          <w:rFonts w:ascii="Arial" w:cs="Arial" w:eastAsia="Arial" w:hAnsi="Arial"/>
          <w:sz w:val="16"/>
          <w:szCs w:val="16"/>
          <w:color w:val="auto"/>
        </w:rPr>
        <w:t>The aggregate market value of voting stock held by non-affiliates of the Registrant on September 27, 2020 (the last business day of the Registrant’s most recently completed second fiscal quarter) was approximately $433.2 million based upon the closing sale price for the Registrant’s common shares on that date as reported by The Nasdaq Stock Market LLC, excluding all shares held by officers and directors of the Registrant and by the Trustees of the Registrant’s Employee Stock Ownership Plan and Trust.</w:t>
      </w:r>
    </w:p>
    <w:p>
      <w:pPr>
        <w:spacing w:after="0" w:line="6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28, 2021, the Registrant had 21,286,322 shares of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79375</wp:posOffset>
            </wp:positionV>
            <wp:extent cx="2014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195"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2" w:lineRule="exact"/>
        <w:rPr>
          <w:sz w:val="24"/>
          <w:szCs w:val="24"/>
          <w:color w:val="auto"/>
        </w:rPr>
      </w:pPr>
    </w:p>
    <w:p>
      <w:pPr>
        <w:ind w:left="140"/>
        <w:spacing w:after="0"/>
        <w:rPr>
          <w:sz w:val="20"/>
          <w:szCs w:val="20"/>
          <w:color w:val="auto"/>
        </w:rPr>
      </w:pPr>
      <w:r>
        <w:rPr>
          <w:rFonts w:ascii="Arial" w:cs="Arial" w:eastAsia="Arial" w:hAnsi="Arial"/>
          <w:sz w:val="16"/>
          <w:szCs w:val="16"/>
          <w:color w:val="auto"/>
        </w:rPr>
        <w:t>Portions of our definitive Proxy Statement for the annual meeting of shareholders to be held July 29, 2021, are incorporated by reference in Part III of this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113665</wp:posOffset>
            </wp:positionV>
            <wp:extent cx="6763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79375</wp:posOffset>
            </wp:positionV>
            <wp:extent cx="6763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1220"/>
          </w:cols>
          <w:pgMar w:left="320" w:top="96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2022” means our fiscal year ending April 3, 2022, “fiscal 2021” means our fiscal year ended March 28, 2021, “fiscal 2020” means our fiscal year ended March 29, 2020, “fiscal 2019” means our fiscal year ended March 31, 2019, and “fiscal 2018” means our fiscal year ended April 1, 2018.</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w w:val="99"/>
              </w:rPr>
              <w:t>Hawkins, Inc.</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80" w:type="dxa"/>
            <w:vAlign w:val="bottom"/>
            <w:gridSpan w:val="10"/>
          </w:tcPr>
          <w:p>
            <w:pPr>
              <w:jc w:val="center"/>
              <w:ind w:right="3020"/>
              <w:spacing w:after="0"/>
              <w:rPr>
                <w:sz w:val="20"/>
                <w:szCs w:val="20"/>
                <w:color w:val="auto"/>
              </w:rPr>
            </w:pPr>
            <w:r>
              <w:rPr>
                <w:rFonts w:ascii="Arial" w:cs="Arial" w:eastAsia="Arial" w:hAnsi="Arial"/>
                <w:sz w:val="18"/>
                <w:szCs w:val="18"/>
                <w:b w:val="1"/>
                <w:bCs w:val="1"/>
                <w:color w:val="auto"/>
                <w:w w:val="99"/>
              </w:rPr>
              <w:t>Annual Report on Form 10-K</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00" w:type="dxa"/>
            <w:vAlign w:val="bottom"/>
            <w:gridSpan w:val="11"/>
          </w:tcPr>
          <w:p>
            <w:pPr>
              <w:jc w:val="center"/>
              <w:ind w:right="2100"/>
              <w:spacing w:after="0"/>
              <w:rPr>
                <w:sz w:val="20"/>
                <w:szCs w:val="20"/>
                <w:color w:val="auto"/>
              </w:rPr>
            </w:pPr>
            <w:r>
              <w:rPr>
                <w:rFonts w:ascii="Arial" w:cs="Arial" w:eastAsia="Arial" w:hAnsi="Arial"/>
                <w:sz w:val="18"/>
                <w:szCs w:val="18"/>
                <w:b w:val="1"/>
                <w:bCs w:val="1"/>
                <w:color w:val="auto"/>
                <w:w w:val="99"/>
              </w:rPr>
              <w:t>For the Fiscal Year Ended March 28, 2021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8"/>
            <w:vMerge w:val="restart"/>
          </w:tcPr>
          <w:p>
            <w:pPr>
              <w:jc w:val="center"/>
              <w:ind w:right="366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gridSpan w:val="8"/>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8940" w:type="dxa"/>
            <w:vAlign w:val="bottom"/>
            <w:gridSpan w:val="2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Risk Factors</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1B.</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Unresolved Staff Comments</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8940" w:type="dxa"/>
            <w:vAlign w:val="bottom"/>
            <w:gridSpan w:val="22"/>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Properties</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Legal Proceedings</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8940" w:type="dxa"/>
            <w:vAlign w:val="bottom"/>
            <w:gridSpan w:val="22"/>
          </w:tcPr>
          <w:p>
            <w:pPr>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Mine Safety Disclosures</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8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40" w:type="dxa"/>
            <w:vAlign w:val="bottom"/>
            <w:gridSpan w:val="8"/>
            <w:shd w:val="clear" w:color="auto" w:fill="CCEEFF"/>
          </w:tcPr>
          <w:p>
            <w:pPr>
              <w:jc w:val="center"/>
              <w:ind w:right="3660"/>
              <w:spacing w:after="0"/>
              <w:rPr>
                <w:sz w:val="20"/>
                <w:szCs w:val="20"/>
                <w:color w:val="auto"/>
              </w:rPr>
            </w:pPr>
            <w:r>
              <w:rPr>
                <w:rFonts w:ascii="Arial" w:cs="Arial" w:eastAsia="Arial" w:hAnsi="Arial"/>
                <w:sz w:val="18"/>
                <w:szCs w:val="18"/>
                <w:b w:val="1"/>
                <w:bCs w:val="1"/>
                <w:color w:val="auto"/>
                <w:w w:val="96"/>
              </w:rPr>
              <w:t>PART II</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line="202" w:lineRule="exact"/>
              <w:rPr>
                <w:sz w:val="20"/>
                <w:szCs w:val="20"/>
                <w:color w:val="auto"/>
              </w:rPr>
            </w:pPr>
            <w:r>
              <w:rPr>
                <w:rFonts w:ascii="Arial" w:cs="Arial" w:eastAsia="Arial" w:hAnsi="Arial"/>
                <w:sz w:val="18"/>
                <w:szCs w:val="18"/>
                <w:color w:val="auto"/>
              </w:rPr>
              <w:t>ITEM 5.</w:t>
            </w:r>
          </w:p>
        </w:tc>
        <w:tc>
          <w:tcPr>
            <w:tcW w:w="8940" w:type="dxa"/>
            <w:vAlign w:val="bottom"/>
            <w:gridSpan w:val="22"/>
          </w:tcPr>
          <w:p>
            <w:pPr>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Market for the Company’s Common Equity, Related Shareholder Matters, and Issuer Purchases of Equity</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6"/>
              </w:rPr>
            </w:pPr>
            <w:hyperlink w:anchor="page15">
              <w:r>
                <w:rPr>
                  <w:rFonts w:ascii="Arial" w:cs="Arial" w:eastAsia="Arial" w:hAnsi="Arial"/>
                  <w:sz w:val="18"/>
                  <w:szCs w:val="18"/>
                  <w:color w:val="0000FF"/>
                  <w:w w:val="96"/>
                </w:rPr>
                <w:t>Securities</w:t>
              </w:r>
            </w:hyperlink>
          </w:p>
        </w:tc>
        <w:tc>
          <w:tcPr>
            <w:tcW w:w="600" w:type="dxa"/>
            <w:vAlign w:val="bottom"/>
            <w:tcBorders>
              <w:top w:val="single" w:sz="8" w:color="0000FF"/>
              <w:bottom w:val="single" w:sz="8" w:color="0000FF"/>
            </w:tcBorders>
            <w:gridSpan w:val="3"/>
          </w:tcPr>
          <w:p>
            <w:pPr>
              <w:spacing w:after="0"/>
              <w:rPr>
                <w:sz w:val="17"/>
                <w:szCs w:val="17"/>
                <w:color w:val="auto"/>
              </w:rPr>
            </w:pPr>
          </w:p>
        </w:tc>
        <w:tc>
          <w:tcPr>
            <w:tcW w:w="280" w:type="dxa"/>
            <w:vAlign w:val="bottom"/>
            <w:tcBorders>
              <w:top w:val="single" w:sz="8" w:color="0000FF"/>
              <w:bottom w:val="single" w:sz="8" w:color="0000FF"/>
            </w:tcBorders>
            <w:gridSpan w:val="2"/>
          </w:tcPr>
          <w:p>
            <w:pPr>
              <w:spacing w:after="0"/>
              <w:rPr>
                <w:sz w:val="17"/>
                <w:szCs w:val="17"/>
                <w:color w:val="auto"/>
              </w:rPr>
            </w:pPr>
          </w:p>
        </w:tc>
        <w:tc>
          <w:tcPr>
            <w:tcW w:w="320" w:type="dxa"/>
            <w:vAlign w:val="bottom"/>
            <w:tcBorders>
              <w:top w:val="single" w:sz="8" w:color="0000FF"/>
              <w:bottom w:val="single" w:sz="8" w:color="0000FF"/>
            </w:tcBorders>
            <w:gridSpan w:val="2"/>
          </w:tcPr>
          <w:p>
            <w:pPr>
              <w:spacing w:after="0"/>
              <w:rPr>
                <w:sz w:val="17"/>
                <w:szCs w:val="17"/>
                <w:color w:val="auto"/>
              </w:rPr>
            </w:pPr>
          </w:p>
        </w:tc>
        <w:tc>
          <w:tcPr>
            <w:tcW w:w="1180" w:type="dxa"/>
            <w:vAlign w:val="bottom"/>
            <w:tcBorders>
              <w:top w:val="single" w:sz="8" w:color="0000FF"/>
              <w:bottom w:val="single" w:sz="8" w:color="0000FF"/>
            </w:tcBorders>
            <w:gridSpan w:val="2"/>
          </w:tcPr>
          <w:p>
            <w:pPr>
              <w:spacing w:after="0"/>
              <w:rPr>
                <w:sz w:val="17"/>
                <w:szCs w:val="17"/>
                <w:color w:val="auto"/>
              </w:rPr>
            </w:pPr>
          </w:p>
        </w:tc>
        <w:tc>
          <w:tcPr>
            <w:tcW w:w="340" w:type="dxa"/>
            <w:vAlign w:val="bottom"/>
            <w:tcBorders>
              <w:top w:val="single" w:sz="8" w:color="0000FF"/>
              <w:bottom w:val="single" w:sz="8" w:color="0000FF"/>
            </w:tcBorders>
          </w:tcPr>
          <w:p>
            <w:pPr>
              <w:spacing w:after="0"/>
              <w:rPr>
                <w:sz w:val="17"/>
                <w:szCs w:val="17"/>
                <w:color w:val="auto"/>
              </w:rPr>
            </w:pPr>
          </w:p>
        </w:tc>
        <w:tc>
          <w:tcPr>
            <w:tcW w:w="200" w:type="dxa"/>
            <w:vAlign w:val="bottom"/>
            <w:tcBorders>
              <w:top w:val="single" w:sz="8" w:color="0000FF"/>
              <w:bottom w:val="single" w:sz="8" w:color="0000FF"/>
            </w:tcBorders>
          </w:tcPr>
          <w:p>
            <w:pPr>
              <w:spacing w:after="0"/>
              <w:rPr>
                <w:sz w:val="17"/>
                <w:szCs w:val="17"/>
                <w:color w:val="auto"/>
              </w:rPr>
            </w:pPr>
          </w:p>
        </w:tc>
        <w:tc>
          <w:tcPr>
            <w:tcW w:w="84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1380" w:type="dxa"/>
            <w:vAlign w:val="bottom"/>
            <w:tcBorders>
              <w:top w:val="single" w:sz="8" w:color="0000FF"/>
              <w:bottom w:val="single" w:sz="8" w:color="0000FF"/>
            </w:tcBorders>
          </w:tcPr>
          <w:p>
            <w:pPr>
              <w:spacing w:after="0"/>
              <w:rPr>
                <w:sz w:val="17"/>
                <w:szCs w:val="17"/>
                <w:color w:val="auto"/>
              </w:rPr>
            </w:pPr>
          </w:p>
        </w:tc>
        <w:tc>
          <w:tcPr>
            <w:tcW w:w="100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900" w:type="dxa"/>
            <w:vAlign w:val="bottom"/>
            <w:tcBorders>
              <w:top w:val="single" w:sz="8" w:color="0000FF"/>
              <w:bottom w:val="single" w:sz="8" w:color="0000FF"/>
            </w:tcBorders>
          </w:tcPr>
          <w:p>
            <w:pPr>
              <w:spacing w:after="0"/>
              <w:rPr>
                <w:sz w:val="17"/>
                <w:szCs w:val="17"/>
                <w:color w:val="auto"/>
              </w:rPr>
            </w:pPr>
          </w:p>
        </w:tc>
        <w:tc>
          <w:tcPr>
            <w:tcW w:w="320" w:type="dxa"/>
            <w:vAlign w:val="bottom"/>
            <w:tcBorders>
              <w:top w:val="single" w:sz="8" w:color="0000FF"/>
              <w:bottom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4"/>
          </w:tcPr>
          <w:p>
            <w:pPr>
              <w:jc w:val="right"/>
              <w:ind w:right="20"/>
              <w:spacing w:after="0" w:line="196"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080" w:type="dxa"/>
            <w:vAlign w:val="bottom"/>
            <w:tcBorders>
              <w:right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ITEM 6.</w:t>
            </w:r>
          </w:p>
        </w:tc>
        <w:tc>
          <w:tcPr>
            <w:tcW w:w="8940" w:type="dxa"/>
            <w:vAlign w:val="bottom"/>
            <w:gridSpan w:val="22"/>
            <w:shd w:val="clear" w:color="auto" w:fill="CCEEFF"/>
          </w:tcPr>
          <w:p>
            <w:pPr>
              <w:spacing w:after="0" w:line="193" w:lineRule="exact"/>
              <w:rPr>
                <w:rFonts w:ascii="Arial" w:cs="Arial" w:eastAsia="Arial" w:hAnsi="Arial"/>
                <w:sz w:val="18"/>
                <w:szCs w:val="18"/>
                <w:color w:val="0000FF"/>
              </w:rPr>
            </w:pPr>
            <w:hyperlink w:anchor="page15">
              <w:r>
                <w:rPr>
                  <w:rFonts w:ascii="Arial" w:cs="Arial" w:eastAsia="Arial" w:hAnsi="Arial"/>
                  <w:sz w:val="18"/>
                  <w:szCs w:val="18"/>
                  <w:color w:val="0000FF"/>
                </w:rPr>
                <w:t>Reserved</w:t>
              </w:r>
            </w:hyperlink>
          </w:p>
        </w:tc>
        <w:tc>
          <w:tcPr>
            <w:tcW w:w="1120" w:type="dxa"/>
            <w:vAlign w:val="bottom"/>
            <w:gridSpan w:val="4"/>
            <w:shd w:val="clear" w:color="auto" w:fill="CCEEFF"/>
          </w:tcPr>
          <w:p>
            <w:pPr>
              <w:jc w:val="right"/>
              <w:ind w:right="20"/>
              <w:spacing w:after="0" w:line="193"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7.</w:t>
            </w:r>
          </w:p>
        </w:tc>
        <w:tc>
          <w:tcPr>
            <w:tcW w:w="8940" w:type="dxa"/>
            <w:vAlign w:val="bottom"/>
            <w:gridSpan w:val="22"/>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7A.</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Quantitative and Qualitative Disclosures about Market Risk</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8.</w:t>
            </w:r>
          </w:p>
        </w:tc>
        <w:tc>
          <w:tcPr>
            <w:tcW w:w="8940" w:type="dxa"/>
            <w:vAlign w:val="bottom"/>
            <w:gridSpan w:val="22"/>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Financial Statements and Supplementary Data</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9.</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Changes in and Disagreements with Accountants on Accounting and Financial Disclosure</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9A.</w:t>
            </w:r>
          </w:p>
        </w:tc>
        <w:tc>
          <w:tcPr>
            <w:tcW w:w="8940" w:type="dxa"/>
            <w:vAlign w:val="bottom"/>
            <w:gridSpan w:val="22"/>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9B.</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29"/>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5240" w:type="dxa"/>
            <w:vAlign w:val="bottom"/>
            <w:tcBorders>
              <w:top w:val="single" w:sz="8" w:color="CCEEFF"/>
            </w:tcBorders>
            <w:gridSpan w:val="8"/>
          </w:tcPr>
          <w:p>
            <w:pPr>
              <w:jc w:val="center"/>
              <w:ind w:right="3660"/>
              <w:spacing w:after="0"/>
              <w:rPr>
                <w:sz w:val="20"/>
                <w:szCs w:val="20"/>
                <w:color w:val="auto"/>
              </w:rPr>
            </w:pPr>
            <w:r>
              <w:rPr>
                <w:rFonts w:ascii="Arial" w:cs="Arial" w:eastAsia="Arial" w:hAnsi="Arial"/>
                <w:sz w:val="18"/>
                <w:szCs w:val="18"/>
                <w:b w:val="1"/>
                <w:bCs w:val="1"/>
                <w:color w:val="auto"/>
                <w:w w:val="95"/>
              </w:rPr>
              <w:t>PART III</w:t>
            </w: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10.</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Directors, Executive Officers, and Corporate Governance</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1"/>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11.</w:t>
            </w:r>
          </w:p>
        </w:tc>
        <w:tc>
          <w:tcPr>
            <w:tcW w:w="8940" w:type="dxa"/>
            <w:vAlign w:val="bottom"/>
            <w:gridSpan w:val="22"/>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Executive Compensation</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80" w:type="dxa"/>
            <w:vAlign w:val="bottom"/>
            <w:tcBorders>
              <w:bottom w:val="single" w:sz="8" w:color="CCEEFF"/>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0"/>
            <w:shd w:val="clear" w:color="auto" w:fill="CCEEFF"/>
          </w:tcPr>
          <w:p>
            <w:pPr>
              <w:spacing w:after="0" w:line="182"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Security Ownership of Certain Beneficial Owners and Management And Related Stockholder Matters</w:t>
              </w:r>
            </w:hyperlink>
          </w:p>
        </w:tc>
        <w:tc>
          <w:tcPr>
            <w:tcW w:w="92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CCEEFF"/>
            </w:tcBorders>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8"/>
        </w:trPr>
        <w:tc>
          <w:tcPr>
            <w:tcW w:w="1080" w:type="dxa"/>
            <w:vAlign w:val="bottom"/>
            <w:tcBorders>
              <w:top w:val="single" w:sz="8" w:color="CCEEFF"/>
              <w:right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13.</w:t>
            </w:r>
          </w:p>
        </w:tc>
        <w:tc>
          <w:tcPr>
            <w:tcW w:w="8940" w:type="dxa"/>
            <w:vAlign w:val="bottom"/>
            <w:gridSpan w:val="22"/>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Certain Relationships and Related Transactions, and Director Independence</w:t>
              </w:r>
            </w:hyperlink>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14.</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Principal Accountant Fees and Services</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30"/>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5240" w:type="dxa"/>
            <w:vAlign w:val="bottom"/>
            <w:tcBorders>
              <w:top w:val="single" w:sz="8" w:color="CCEEFF"/>
            </w:tcBorders>
            <w:gridSpan w:val="8"/>
          </w:tcPr>
          <w:p>
            <w:pPr>
              <w:jc w:val="center"/>
              <w:ind w:right="3660"/>
              <w:spacing w:after="0"/>
              <w:rPr>
                <w:sz w:val="20"/>
                <w:szCs w:val="20"/>
                <w:color w:val="auto"/>
              </w:rPr>
            </w:pPr>
            <w:r>
              <w:rPr>
                <w:rFonts w:ascii="Arial" w:cs="Arial" w:eastAsia="Arial" w:hAnsi="Arial"/>
                <w:sz w:val="18"/>
                <w:szCs w:val="18"/>
                <w:b w:val="1"/>
                <w:bCs w:val="1"/>
                <w:color w:val="auto"/>
                <w:w w:val="98"/>
              </w:rPr>
              <w:t>PART IV</w:t>
            </w: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15.</w:t>
            </w:r>
          </w:p>
        </w:tc>
        <w:tc>
          <w:tcPr>
            <w:tcW w:w="8940" w:type="dxa"/>
            <w:vAlign w:val="bottom"/>
            <w:gridSpan w:val="22"/>
            <w:shd w:val="clear" w:color="auto" w:fill="CCEEFF"/>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Exhibits and Financial Statement Schedules</w:t>
              </w:r>
            </w:hyperlink>
          </w:p>
        </w:tc>
        <w:tc>
          <w:tcPr>
            <w:tcW w:w="11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ITEM 16.</w:t>
            </w:r>
          </w:p>
        </w:tc>
        <w:tc>
          <w:tcPr>
            <w:tcW w:w="1660" w:type="dxa"/>
            <w:vAlign w:val="bottom"/>
            <w:gridSpan w:val="8"/>
          </w:tcPr>
          <w:p>
            <w:pPr>
              <w:spacing w:after="0" w:line="189"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Form 10-K Summary</w:t>
              </w:r>
            </w:hyperlink>
          </w:p>
        </w:tc>
        <w:tc>
          <w:tcPr>
            <w:tcW w:w="7280" w:type="dxa"/>
            <w:vAlign w:val="bottom"/>
            <w:gridSpan w:val="14"/>
          </w:tcPr>
          <w:p>
            <w:pPr>
              <w:spacing w:after="0"/>
              <w:rPr>
                <w:sz w:val="16"/>
                <w:szCs w:val="16"/>
                <w:color w:val="auto"/>
              </w:rPr>
            </w:pPr>
          </w:p>
        </w:tc>
        <w:tc>
          <w:tcPr>
            <w:tcW w:w="1120" w:type="dxa"/>
            <w:vAlign w:val="bottom"/>
            <w:gridSpan w:val="4"/>
          </w:tcPr>
          <w:p>
            <w:pPr>
              <w:jc w:val="right"/>
              <w:ind w:right="2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distribute, blend and manufacture chemicals and specialty ingredients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and specialty ingredients, including manufacturing, blending and repackaging certain products. We believe that we create value for our customers through superb service and support, quality products, personalized applications and trustworthy, creative employees.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business in three segments: Industrial, Water Treatment, and Health and Nutrition.</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specializes in providing industrial chemicals, products and services to industries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agriculture, chemical processing, electronics, energy, food, pharmaceutical and plating. This group’s principal products are acids, alkalis and industrial and food-grade salts.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52" w:lineRule="exact"/>
        <w:rPr>
          <w:sz w:val="20"/>
          <w:szCs w:val="20"/>
          <w:color w:val="auto"/>
        </w:rPr>
      </w:pPr>
    </w:p>
    <w:p>
      <w:pPr>
        <w:ind w:left="420" w:hanging="169"/>
        <w:spacing w:after="0" w:line="261" w:lineRule="auto"/>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urea, phosphoric acid, aqua ammonia and potassium hydroxide;</w:t>
      </w:r>
    </w:p>
    <w:p>
      <w:pPr>
        <w:spacing w:after="0" w:line="224" w:lineRule="exact"/>
        <w:rPr>
          <w:rFonts w:ascii="Arial" w:cs="Arial" w:eastAsia="Arial" w:hAnsi="Arial"/>
          <w:sz w:val="18"/>
          <w:szCs w:val="18"/>
          <w:color w:val="auto"/>
        </w:rPr>
      </w:pPr>
    </w:p>
    <w:p>
      <w:pPr>
        <w:ind w:left="420" w:hanging="169"/>
        <w:spacing w:after="0" w:line="261" w:lineRule="auto"/>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224" w:lineRule="exact"/>
        <w:rPr>
          <w:rFonts w:ascii="Arial" w:cs="Arial" w:eastAsia="Arial" w:hAnsi="Arial"/>
          <w:sz w:val="18"/>
          <w:szCs w:val="18"/>
          <w:color w:val="auto"/>
        </w:rPr>
      </w:pPr>
    </w:p>
    <w:p>
      <w:pPr>
        <w:ind w:left="420" w:hanging="169"/>
        <w:spacing w:after="0" w:line="261" w:lineRule="auto"/>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Repackages water treatment chemicals for our Water Treatment Group and bulk industrial chemicals to sell in smaller quantities to our customers;</w:t>
      </w:r>
    </w:p>
    <w:p>
      <w:pPr>
        <w:spacing w:after="0" w:line="224" w:lineRule="exact"/>
        <w:rPr>
          <w:rFonts w:ascii="Arial" w:cs="Arial" w:eastAsia="Arial" w:hAnsi="Arial"/>
          <w:sz w:val="18"/>
          <w:szCs w:val="18"/>
          <w:color w:val="auto"/>
        </w:rPr>
      </w:pPr>
    </w:p>
    <w:p>
      <w:pPr>
        <w:ind w:left="380" w:hanging="129"/>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 and</w:t>
      </w:r>
    </w:p>
    <w:p>
      <w:pPr>
        <w:spacing w:after="0" w:line="252" w:lineRule="exact"/>
        <w:rPr>
          <w:rFonts w:ascii="Arial" w:cs="Arial" w:eastAsia="Arial" w:hAnsi="Arial"/>
          <w:sz w:val="18"/>
          <w:szCs w:val="18"/>
          <w:color w:val="auto"/>
        </w:rPr>
      </w:pPr>
    </w:p>
    <w:p>
      <w:pPr>
        <w:ind w:left="380" w:hanging="129"/>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group’s sales are concentrated primarily in the central United States, while the group’s products sold into the food and pharmaceutical markets are sold nationally. The Industrial Group relies on a specially trained sales staff that works directly with customers on their specific needs. The group conducts its business primarily through manufacturing locations and terminal operations. Agricultural sales within this group tend to be seasonal, with higher sales due to the application of fertilizer during the planting season of March through June given the regions of the country where we are located.</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equipment and solutions for potable water,</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and industrial wastewater, industrial process water, non-residential swimming pool water and agricultural water. This group has the resources and flexibility to treat systems ranging in size from a single small well to a multi-million-gallon-per-day facility.</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in that we are able to obtain a competitive cost position on many of the chemicals sold by the Water Treatment Group due to the volumes of these chemicals purchased by our Industrial Group. In addition, our Industrial and Water Treatment groups share certain resources, which leverage fixed costs across both groups.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Water Treatment group operates out of 33 warehouses supplying products and services to customers primarily in the central United States and Florida. In fiscal 2021, we added three locations, including two by acquisition and one through organic growth. We expect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both"/>
        <w:spacing w:after="0" w:line="261"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Our Health and Nutrition Group specializes in providing ingredient distribution, processing and formulation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manufacturers of nutraceutical, functional food and beverage, personal care, dietary supplement and other nutritional food, health and wellness products. This group offers a diverse product portfolio including minerals, vitamins and amino acids, excipients, joint products, botanicals and herbs, sweeteners and enzymes.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Health and Nutrition Group relies on a specially trained sales and product development staff that works directly with customers on their specific needs. The group’s extensive product portfolio combined with value-added services, including product formulation, sourcing and distribution, processing and blending and quality control and compliance, positions this group as a one-stop ingredient solutions provider to its customers. The group operates out of facilities in California and New York and its products are sold nationally and, in certain cases, internationally.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nutrition 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pursue, patents covering our products. We also have obtained certain trademarks for our products to distinguish them from our competitors’ products. We regard many of the formulas, information and processes that we generate and use in the conduct of our business as proprietary and protectable under applicable copyright, patent, trademark, trade secret and unfair competition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In fiscal 2021, none of our customers accounted for 10% or more of our total sales.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substantially all of the products we offer. Many of our competitors are larger than we are and may have greater financial resources, although no one competitor is dominant in all of the markets we serve. We compete by offering quality products with outstanding customer service at competitive prices coupled and with value-added services or product formulation where needed. Because of our long-standing relationships with many of our suppliers, we are often able to leverage those relationships to obtain products when supplies are limited or to obtain competitive pricing.</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Due to the nature of our operations, which includes purchases of large quantities of bulk chemicals, the timing of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can result in significant changes in working capital and the resulting operating cash flow. Historically, our cash requirements for working capital increase during the period from April through November as caustic soda inventory levels increase with most of our barges received during this period. Additionally, due to seasonality in the Water Treatment segment, our accounts receivable balance is generally higher during the period of April through September.</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Regulatory Matters. </w:t>
      </w:r>
      <w:r>
        <w:rPr>
          <w:rFonts w:ascii="Arial" w:cs="Arial" w:eastAsia="Arial" w:hAnsi="Arial"/>
          <w:sz w:val="18"/>
          <w:szCs w:val="18"/>
          <w:color w:val="auto"/>
        </w:rPr>
        <w:t>We are subject to numerous federal, state and local environmental, health and safety laws and regulations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w:t>
      </w:r>
    </w:p>
    <w:p>
      <w:pPr>
        <w:spacing w:after="0" w:line="23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we operate a fleet of more than 150 commercial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18"/>
          <w:szCs w:val="18"/>
          <w:color w:val="auto"/>
        </w:rPr>
        <w:t>The manufacture, packaging, labeling, advertising, promotion, distribution and sale of our food, pharmaceutical and health and nutrition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information related to government regulation applicable to our business is included in this Annual Report on Form 10-K, in Part I, Item 1A - Risk Factors.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Human Capital. </w:t>
      </w:r>
      <w:r>
        <w:rPr>
          <w:rFonts w:ascii="Arial" w:cs="Arial" w:eastAsia="Arial" w:hAnsi="Arial"/>
          <w:sz w:val="18"/>
          <w:szCs w:val="18"/>
          <w:color w:val="auto"/>
        </w:rPr>
        <w:t>Our team is a key to our success and we are committed to creating a workplace that attracts top talent and develops leaders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drives performance on behalf of our customers and shareholders.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recruit the best people for the job regardless of race, color, nationality, gender, age, disability, sexual orientation or any other status protected by law. It is our policy to comply fully with all applicable laws relating to discrimination in the workplace and are committed to advancing an inclusive, collaborative and respectful culture.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health and safety of our employees is our highest priority. We work to ensure our employees have a thorough understanding of health and safety precautions that need to be taken in all business functions. Specific safety initiatives include accident prevention work, improving process controls, safety training, safety committees, safety audits, incident investigation and improvement measures.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ensured the safety of our employees and our customers during the COVID-19 pandemic by implementing contingency and continuity plans to respond quickly and appropriately to identified risks, safe work practices in accordance with the guidance provided by the US Centers for Disease Control and Prevention ("CDC"), and flexible working policies. We leveraged technology to enable approximately 175 employees to transition to remote working and enhanced sanitation and hygiene practices at all of our facilities. Finally, we worked with a private company to offer our employees free, rapid testing for COVID-19 across the country. Through communication, enhanced resources and leadership, we were able to support our employees, serve our customers and keep our facilities clean and safe during the pandemic.</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provide employees with competitive wages commensurate with their skill levels, experience, knowledge and the regional market. Full-time employees are eligible for health, dental and vision insurance, paid and unpaid leaves, 401(K) plan, retirement plans, life and disability/accident coverage and our employee assistance program.</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28, 2021, we had 742 employees on a full-time equivalent basis across the United States. Approximately 37% of our employees were female or racially and ethnically diverse, and approximately 10% were covered by a collective bargaining agreement. Of the seven members of our Board of Directors, two are female, five are male, one is Asian American and six are white.</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Available Information. </w:t>
      </w:r>
      <w:r>
        <w:rPr>
          <w:rFonts w:ascii="Arial" w:cs="Arial" w:eastAsia="Arial" w:hAnsi="Arial"/>
          <w:sz w:val="18"/>
          <w:szCs w:val="18"/>
          <w:color w:val="auto"/>
        </w:rPr>
        <w:t>Our Internet address is www.hawkinsinc.com. We have made available, free of charge, our Annual Reports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You should consider carefully the following material factors regarding risks relating to an investment in our securities and when reading the information, including the financial information, contained in this Annual Report on Form 10-K. Shareholders are cautioned that these and other factors may affect future performance and cause actual results to differ materially from those that may be anticipated. Additionally, the impact of the global coronavirus (“COVID-19”) pandemic could further exacerbate many of the risk factors as described below or elsewhere in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AND REPUTATIONAL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from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2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Adverse publicity or negative public perception regarding particular ingredients or products or the nutraceuticals industry in general could adversely affect the financial performance of those portions of our business.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Purchasing decisions made by consumers of products that contain our ingredients may be affected by adverse publicity or negative public perception regarding particular ingredients or products or the nutraceuticals industry in general. This negative public perception may include publicity regarding the risks, efficacy,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dietary supplements or food ingredients may also result in increased regulatory scrutiny of our industry. Adverse publicity may have a material adverse effect on our business, financial condition, results of operations and cash flows.</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businesses expose us to potential product liability claims and recalls, which could adversely affect our financial condition and performance.</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jc w:val="both"/>
        <w:spacing w:after="0" w:line="287" w:lineRule="auto"/>
        <w:rPr>
          <w:sz w:val="20"/>
          <w:szCs w:val="20"/>
          <w:color w:val="auto"/>
        </w:rPr>
      </w:pPr>
      <w:r>
        <w:rPr>
          <w:rFonts w:ascii="Arial" w:cs="Arial" w:eastAsia="Arial" w:hAnsi="Arial"/>
          <w:sz w:val="18"/>
          <w:szCs w:val="18"/>
          <w:b w:val="1"/>
          <w:bCs w:val="1"/>
          <w:i w:val="1"/>
          <w:iCs w:val="1"/>
          <w:color w:val="auto"/>
        </w:rPr>
        <w:t>Changes in our customers’ needs or failure of our products to meet customers’ specifications could adversely affect our sales and profitability.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are used for a broad range of applications by our customers. Changes in our customers’ product needs or processes, or reductions in demand for their end products, may enable or require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or comply with applicable laws or regulations,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Information technology system failures, network disruptions and breaches of data security due to internal or external factors including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 have taken steps to address these concerns by implementing network security and internal control measures, including employee training, comprehensive monitoring of our networks and systems, maintenance of backup and protective systems and disaster recovery and incident response plans, our employees, systems, networks, products, facilities and services remain potentially vulnerable to sophisticated cyber-assault, especially while certain employees are working remotely during the COVID-19 pandemic, and, as such, there can be no assurance that a system failure, network disruption or data security breach will not have a material adverse effect on our business, financial condition, operating results or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INDUSTRY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experience regular and recurring fluctuations in the pricing of our raw materials. Those fluctuations can be significant and occur rapidly. The cyclicality of commodity markets, such as the market for caustic soda, primarily results from changes in the balance between supply and demand and the level of general economic activity. We cannot predict whether the markets for our raw materials will favorably impact or negatively impact the margins we can realize.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prices we pay for our principal chemical raw materials generally lag the market prices of the underlying raw material and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In addition, due to the extreme pressures of the current economic environment driven by the COVID-19 pandemic, even markets that had seemed stable may no longer be stable and may experience significant downturns and variability in demand for our products. Downturns in these industries could adversely affect our sales and our financial results by affecting demand for and pricing of our products. As the country emerges from the COVID-19 pandemic, our business results, particularly in our Health and Nutrition segment, could be adversely impacted if demand for health and immunity products that contain our ingredients decreases.</w:t>
      </w:r>
    </w:p>
    <w:p>
      <w:pPr>
        <w:spacing w:after="0" w:line="2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or the absence of personnel due to pandemics or other disasters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any of our facilities could result in significant unexpected costs.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conduct of our operations, we have handled and do handle materials that are considered hazardous, toxic or volatile under federal, state and local laws. The accidental release of such products cannot be completely eliminated. In addition, we operate or own facilities located on or near real property that was formerly owned and operated by others. These properties may have been used in ways that involved hazardous materials. Contaminates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both"/>
        <w:spacing w:after="0" w:line="287"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within our Industrial Group are also seasonal, primarily corresponding with the planting season.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and adverse weather conditions have disrupted or delayed rail shipments in the past and could do so in the future. Barge shipments are delayed or impossible under certain circumstances, including during times of high or low water levels, when waterways are frozen and when locks and dams are inoperable. Truck transportation has been negatively impacted by a number of factors, including limited availability of qualified drivers and equipment, and limitations on drivers’ hours of service.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dispositions or integrate acquisitions into our business, which could result in unanticipated expenses and losses.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In addition, we may seek to divest of businesses that are underperforming or not core to our future business. The expense incurred in consummating transactions, the time it takes to integrate an acquisition or our failure to integrate businesses successfully could result in unanticipated expenses and losses. Furthermore, we may not be able to realize the anticipated benefits from acquisitions.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four times since the spring of 2010, including most recently the spring of 2019. We can give no assurance that flooding or other natural disasters will not recur or that there will not be material damage or interruption to our operations in the future from such disasters.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occurrence of extraordinary events, including future terrorist attacks, global health developments and pandemics (including the COVID-19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lease the land where our three main terminals are located and where another significant manufacturing plant is located. These leases, including all renewal periods, have expiration dates from 2023 to 2044.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8"/>
          <w:szCs w:val="18"/>
          <w:color w:val="auto"/>
        </w:rPr>
        <w:t>In addition, we operate a fleet of more than 150 commercial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food, pharmaceutical and health and nutrition products are subject to government regulation, both in the United States and abroad, which could increase our costs significantly and limit or prevent the sale of such products.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manufacture, packaging, labeling, advertising, promotion, distribution and sale of our food, pharmaceutical and health and nutrition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our products.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including:</w:t>
      </w:r>
    </w:p>
    <w:p>
      <w:pPr>
        <w:spacing w:after="0" w:line="238"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particular, the FDA’s current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these areas. There can be no assurance that the regulatory environment in which we operate will not change or that such regulatory environment, or any specific action taken against us, will not result in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lines of commercial insurance, such as property, general liability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food or health and nutrition products industries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covenants under our credit facility may have a material adverse effect.</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credit agreement (the “Credit Agreement”) with U.S. Bank National Association and other lenders (collectively, the “Lenders”), which includes secured revolving credit facilities (the “Revolving Loan Facility”) totaling $150.0 million. The Revolving Loan Facility includes a $5.0 million letter of credit subfacility and $15.0 million swingline subfacility. At March 28, 2021, we had $99.0 million outstanding under the Revolving Loan Facility.</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make payments on the Revolving Loan Facility from time to time. If we are unable to generate sufficient cash flow or otherwise obtain funds necessary to make payments on our credit facilities, we could be in default when the facilities become due in 2023. We are also required to comply with several financial covenants under the Credit Agreement. Our ability to comply with these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December 29, 2020 for fiscal 2021. Goodwill impairment testing is at the reporting unit level. For each of our reporting units, we performed an analysis of qualitative factors to determine if it is more likely than not that the fair value of the reporting unit is less than its carrying amount. If that qualitative analysis indicates that an impairment may exist, then we would calculate the amount of the impairment by comparing the fair value of the assets and liabilities to the fair value of the reporting unit. For each of our reporting units, this qualitative analysis did not indicate an impairment, and therefore additional analysis was not performed. In fiscal 2018, however, we recorded an impairment charge in our Health and Nutrition reporting unit of $39.1 million.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 resulting impairment charge in the future could have a material adverse effect on our financial condition and consolidated results of operations.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material to our operations consist of our locations described below. In addition to the facilities listed below, our Water Treatment group operates out of 30 additional warehouse locations, the majority of which are owned by us. We believe that our facilities are adequate and suitable for the purposes they serve. Unless noted, each facility is owned by us and is primarily used as office and warehouse space. We believe that we carry customary levels of insurance covering the replacement of damaged property.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Group</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400" w:type="dxa"/>
            <w:vAlign w:val="bottom"/>
            <w:vMerge w:val="restart"/>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Approx.</w:t>
            </w:r>
          </w:p>
        </w:tc>
        <w:tc>
          <w:tcPr>
            <w:tcW w:w="0" w:type="dxa"/>
            <w:vAlign w:val="bottom"/>
          </w:tcPr>
          <w:p>
            <w:pPr>
              <w:spacing w:after="0"/>
              <w:rPr>
                <w:sz w:val="1"/>
                <w:szCs w:val="1"/>
                <w:color w:val="auto"/>
              </w:rPr>
            </w:pPr>
          </w:p>
        </w:tc>
      </w:tr>
      <w:tr>
        <w:trPr>
          <w:trHeight w:val="176"/>
        </w:trPr>
        <w:tc>
          <w:tcPr>
            <w:tcW w:w="618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vMerge w:val="continue"/>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 headquarters</w:t>
            </w:r>
          </w:p>
        </w:tc>
        <w:tc>
          <w:tcPr>
            <w:tcW w:w="2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Roseville, MN</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50,000</w:t>
            </w:r>
          </w:p>
        </w:tc>
        <w:tc>
          <w:tcPr>
            <w:tcW w:w="0" w:type="dxa"/>
            <w:vAlign w:val="bottom"/>
          </w:tcPr>
          <w:p>
            <w:pPr>
              <w:spacing w:after="0"/>
              <w:rPr>
                <w:sz w:val="1"/>
                <w:szCs w:val="1"/>
                <w:color w:val="auto"/>
              </w:rPr>
            </w:pPr>
          </w:p>
        </w:tc>
      </w:tr>
      <w:tr>
        <w:trPr>
          <w:trHeight w:val="230"/>
        </w:trPr>
        <w:tc>
          <w:tcPr>
            <w:tcW w:w="6180" w:type="dxa"/>
            <w:vAlign w:val="bottom"/>
          </w:tcPr>
          <w:p>
            <w:pPr>
              <w:ind w:left="640"/>
              <w:spacing w:after="0"/>
              <w:rPr>
                <w:sz w:val="20"/>
                <w:szCs w:val="20"/>
                <w:color w:val="auto"/>
              </w:rPr>
            </w:pPr>
            <w:r>
              <w:rPr>
                <w:rFonts w:ascii="Arial" w:cs="Arial" w:eastAsia="Arial" w:hAnsi="Arial"/>
                <w:sz w:val="18"/>
                <w:szCs w:val="18"/>
                <w:color w:val="auto"/>
              </w:rPr>
              <w:t>Health and Nutrition</w:t>
            </w:r>
          </w:p>
        </w:tc>
        <w:tc>
          <w:tcPr>
            <w:tcW w:w="2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Fullerton, CA (1)</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55,800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rPr>
              <w:t>Florida, NY (2)</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107,000</w:t>
            </w:r>
          </w:p>
        </w:tc>
        <w:tc>
          <w:tcPr>
            <w:tcW w:w="0" w:type="dxa"/>
            <w:vAlign w:val="bottom"/>
          </w:tcPr>
          <w:p>
            <w:pPr>
              <w:spacing w:after="0"/>
              <w:rPr>
                <w:sz w:val="1"/>
                <w:szCs w:val="1"/>
                <w:color w:val="auto"/>
              </w:rPr>
            </w:pPr>
          </w:p>
        </w:tc>
      </w:tr>
      <w:tr>
        <w:trPr>
          <w:trHeight w:val="230"/>
        </w:trPr>
        <w:tc>
          <w:tcPr>
            <w:tcW w:w="6180" w:type="dxa"/>
            <w:vAlign w:val="bottom"/>
          </w:tcPr>
          <w:p>
            <w:pPr>
              <w:ind w:left="640"/>
              <w:spacing w:after="0"/>
              <w:rPr>
                <w:sz w:val="20"/>
                <w:szCs w:val="20"/>
                <w:color w:val="auto"/>
              </w:rPr>
            </w:pPr>
            <w:r>
              <w:rPr>
                <w:rFonts w:ascii="Arial" w:cs="Arial" w:eastAsia="Arial" w:hAnsi="Arial"/>
                <w:sz w:val="18"/>
                <w:szCs w:val="18"/>
                <w:color w:val="auto"/>
              </w:rPr>
              <w:t>Industrial</w:t>
            </w:r>
          </w:p>
        </w:tc>
        <w:tc>
          <w:tcPr>
            <w:tcW w:w="2700" w:type="dxa"/>
            <w:vAlign w:val="bottom"/>
            <w:gridSpan w:val="2"/>
          </w:tcPr>
          <w:p>
            <w:pPr>
              <w:jc w:val="center"/>
              <w:ind w:right="400"/>
              <w:spacing w:after="0"/>
              <w:rPr>
                <w:sz w:val="20"/>
                <w:szCs w:val="20"/>
                <w:color w:val="auto"/>
              </w:rPr>
            </w:pPr>
            <w:r>
              <w:rPr>
                <w:rFonts w:ascii="Arial" w:cs="Arial" w:eastAsia="Arial" w:hAnsi="Arial"/>
                <w:sz w:val="18"/>
                <w:szCs w:val="18"/>
                <w:color w:val="auto"/>
              </w:rPr>
              <w:t>Minneapolis, MN (3)</w:t>
            </w:r>
          </w:p>
        </w:tc>
        <w:tc>
          <w:tcPr>
            <w:tcW w:w="1980" w:type="dxa"/>
            <w:vAlign w:val="bottom"/>
          </w:tcPr>
          <w:p>
            <w:pPr>
              <w:jc w:val="center"/>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Camanche, IA</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95,000</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19"/>
                <w:szCs w:val="19"/>
                <w:color w:val="auto"/>
              </w:rPr>
            </w:pPr>
          </w:p>
        </w:tc>
        <w:tc>
          <w:tcPr>
            <w:tcW w:w="2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Centralia, IL (4)</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77,000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8"/>
              </w:rPr>
              <w:t>Dupo, IL (5)</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64,000</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19"/>
                <w:szCs w:val="19"/>
                <w:color w:val="auto"/>
              </w:rPr>
            </w:pPr>
          </w:p>
        </w:tc>
        <w:tc>
          <w:tcPr>
            <w:tcW w:w="2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St. Paul, MN (6)</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32,000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rPr>
              <w:t>Rosemount, MN (7)</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6180" w:type="dxa"/>
            <w:vAlign w:val="bottom"/>
          </w:tcPr>
          <w:p>
            <w:pPr>
              <w:ind w:left="640"/>
              <w:spacing w:after="0"/>
              <w:rPr>
                <w:sz w:val="20"/>
                <w:szCs w:val="20"/>
                <w:color w:val="auto"/>
              </w:rPr>
            </w:pPr>
            <w:r>
              <w:rPr>
                <w:rFonts w:ascii="Arial" w:cs="Arial" w:eastAsia="Arial" w:hAnsi="Arial"/>
                <w:sz w:val="18"/>
                <w:szCs w:val="18"/>
                <w:color w:val="auto"/>
              </w:rPr>
              <w:t>Industrial and Water Treatment</w:t>
            </w:r>
          </w:p>
        </w:tc>
        <w:tc>
          <w:tcPr>
            <w:tcW w:w="2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St. Paul, MN (8)</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59,000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Memphis, TN</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41,000</w:t>
            </w:r>
          </w:p>
        </w:tc>
        <w:tc>
          <w:tcPr>
            <w:tcW w:w="0" w:type="dxa"/>
            <w:vAlign w:val="bottom"/>
          </w:tcPr>
          <w:p>
            <w:pPr>
              <w:spacing w:after="0"/>
              <w:rPr>
                <w:sz w:val="1"/>
                <w:szCs w:val="1"/>
                <w:color w:val="auto"/>
              </w:rPr>
            </w:pPr>
          </w:p>
        </w:tc>
      </w:tr>
      <w:tr>
        <w:trPr>
          <w:trHeight w:val="230"/>
        </w:trPr>
        <w:tc>
          <w:tcPr>
            <w:tcW w:w="6180" w:type="dxa"/>
            <w:vAlign w:val="bottom"/>
          </w:tcPr>
          <w:p>
            <w:pPr>
              <w:ind w:left="640"/>
              <w:spacing w:after="0"/>
              <w:rPr>
                <w:sz w:val="20"/>
                <w:szCs w:val="20"/>
                <w:color w:val="auto"/>
              </w:rPr>
            </w:pPr>
            <w:r>
              <w:rPr>
                <w:rFonts w:ascii="Arial" w:cs="Arial" w:eastAsia="Arial" w:hAnsi="Arial"/>
                <w:sz w:val="18"/>
                <w:szCs w:val="18"/>
                <w:color w:val="auto"/>
              </w:rPr>
              <w:t>Water Treatment</w:t>
            </w:r>
          </w:p>
        </w:tc>
        <w:tc>
          <w:tcPr>
            <w:tcW w:w="2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Apopka, FL</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32,100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0" w:hanging="349"/>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2026.</w:t>
      </w:r>
    </w:p>
    <w:p>
      <w:pPr>
        <w:spacing w:after="0" w:line="103" w:lineRule="exact"/>
        <w:rPr>
          <w:rFonts w:ascii="Arial" w:cs="Arial" w:eastAsia="Arial" w:hAnsi="Arial"/>
          <w:sz w:val="18"/>
          <w:szCs w:val="18"/>
          <w:color w:val="auto"/>
        </w:rPr>
      </w:pPr>
    </w:p>
    <w:p>
      <w:pPr>
        <w:ind w:left="580" w:hanging="329"/>
        <w:spacing w:after="0" w:line="261" w:lineRule="auto"/>
        <w:tabs>
          <w:tab w:leader="none" w:pos="5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comprised of (i) a 79,000 square foot manufacturing plant which sits on approximately 16 acres and (ii) a leased 28,000 square foot warehouse located in close proximity that is leased until December 2022.</w:t>
      </w:r>
    </w:p>
    <w:p>
      <w:pPr>
        <w:spacing w:after="0" w:line="62" w:lineRule="exact"/>
        <w:rPr>
          <w:rFonts w:ascii="Arial" w:cs="Arial" w:eastAsia="Arial" w:hAnsi="Arial"/>
          <w:sz w:val="18"/>
          <w:szCs w:val="18"/>
          <w:color w:val="auto"/>
        </w:rPr>
      </w:pPr>
    </w:p>
    <w:p>
      <w:pPr>
        <w:ind w:left="600" w:hanging="349"/>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manufacturing location sits on approximately 11 acres of land.</w:t>
      </w:r>
    </w:p>
    <w:p>
      <w:pPr>
        <w:spacing w:after="0" w:line="103" w:lineRule="exact"/>
        <w:rPr>
          <w:rFonts w:ascii="Arial" w:cs="Arial" w:eastAsia="Arial" w:hAnsi="Arial"/>
          <w:sz w:val="18"/>
          <w:szCs w:val="18"/>
          <w:color w:val="auto"/>
        </w:rPr>
      </w:pPr>
    </w:p>
    <w:p>
      <w:pPr>
        <w:ind w:left="600" w:hanging="349"/>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manufacturing facility includes 10 acres of land owned by the Company.</w:t>
      </w:r>
    </w:p>
    <w:p>
      <w:pPr>
        <w:spacing w:after="0" w:line="103" w:lineRule="exact"/>
        <w:rPr>
          <w:rFonts w:ascii="Arial" w:cs="Arial" w:eastAsia="Arial" w:hAnsi="Arial"/>
          <w:sz w:val="18"/>
          <w:szCs w:val="18"/>
          <w:color w:val="auto"/>
        </w:rPr>
      </w:pPr>
    </w:p>
    <w:p>
      <w:pPr>
        <w:ind w:left="600" w:hanging="349"/>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jc w:val="both"/>
        <w:ind w:left="580" w:hanging="329"/>
        <w:spacing w:after="0" w:line="254" w:lineRule="auto"/>
        <w:tabs>
          <w:tab w:leader="none" w:pos="5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One of the applicable leases runs through 2033, while the other one runs through 2044 including all available lease extensions.</w:t>
      </w:r>
    </w:p>
    <w:p>
      <w:pPr>
        <w:spacing w:after="0" w:line="82" w:lineRule="exact"/>
        <w:rPr>
          <w:rFonts w:ascii="Arial" w:cs="Arial" w:eastAsia="Arial" w:hAnsi="Arial"/>
          <w:sz w:val="18"/>
          <w:szCs w:val="18"/>
          <w:color w:val="auto"/>
        </w:rPr>
      </w:pPr>
    </w:p>
    <w:p>
      <w:pPr>
        <w:ind w:left="580" w:hanging="329"/>
        <w:spacing w:after="0" w:line="261" w:lineRule="auto"/>
        <w:tabs>
          <w:tab w:leader="none" w:pos="5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includes two adjacent facilities comprising a total of 56 acres of land owned by the Company. These manufacturing facilities have outside storage tanks for the storage of bulk chemicals, as well as numerous smaller tanks for storing and mixing chemicals.</w:t>
      </w:r>
    </w:p>
    <w:p>
      <w:pPr>
        <w:spacing w:after="0" w:line="76" w:lineRule="exact"/>
        <w:rPr>
          <w:rFonts w:ascii="Arial" w:cs="Arial" w:eastAsia="Arial" w:hAnsi="Arial"/>
          <w:sz w:val="18"/>
          <w:szCs w:val="18"/>
          <w:color w:val="auto"/>
        </w:rPr>
      </w:pPr>
    </w:p>
    <w:p>
      <w:pPr>
        <w:jc w:val="both"/>
        <w:ind w:left="580" w:hanging="329"/>
        <w:spacing w:after="0" w:line="256" w:lineRule="auto"/>
        <w:tabs>
          <w:tab w:leader="none" w:pos="5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runs until 2029.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300" w:hanging="1295"/>
        <w:spacing w:after="0" w:line="28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common shares are listed on the Nasdaq Global Select Market under the symbol “HWKN.” As of May 28, 2021, shares of our common shares were held by approximately 399 shareholders of record.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of Directors authorized the repurchase of up to 1.6 million shares of our outstanding common shares. The shares may be repurchased on the open market or in privately negotiated transactions subject to applicable securities laws and regulations. The following table sets forth information concerning purchases of our common shares for three months ended March 28, 2021:</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Total Number of Shares</w:t>
            </w:r>
          </w:p>
        </w:tc>
        <w:tc>
          <w:tcPr>
            <w:tcW w:w="2200" w:type="dxa"/>
            <w:vAlign w:val="bottom"/>
          </w:tcPr>
          <w:p>
            <w:pPr>
              <w:ind w:left="40"/>
              <w:spacing w:after="0"/>
              <w:rPr>
                <w:sz w:val="20"/>
                <w:szCs w:val="20"/>
                <w:color w:val="auto"/>
              </w:rPr>
            </w:pPr>
            <w:r>
              <w:rPr>
                <w:rFonts w:ascii="Arial" w:cs="Arial" w:eastAsia="Arial" w:hAnsi="Arial"/>
                <w:sz w:val="18"/>
                <w:szCs w:val="18"/>
                <w:color w:val="auto"/>
              </w:rPr>
              <w:t>Maximum Number of</w:t>
            </w:r>
          </w:p>
        </w:tc>
      </w:tr>
      <w:tr>
        <w:trPr>
          <w:trHeight w:val="175"/>
        </w:trPr>
        <w:tc>
          <w:tcPr>
            <w:tcW w:w="16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580" w:type="dxa"/>
            <w:vAlign w:val="bottom"/>
          </w:tcPr>
          <w:p>
            <w:pPr>
              <w:ind w:left="180"/>
              <w:spacing w:after="0" w:line="176" w:lineRule="exact"/>
              <w:rPr>
                <w:sz w:val="20"/>
                <w:szCs w:val="20"/>
                <w:color w:val="auto"/>
              </w:rPr>
            </w:pPr>
            <w:r>
              <w:rPr>
                <w:rFonts w:ascii="Arial" w:cs="Arial" w:eastAsia="Arial" w:hAnsi="Arial"/>
                <w:sz w:val="18"/>
                <w:szCs w:val="18"/>
                <w:color w:val="auto"/>
              </w:rPr>
              <w:t>Purchased as Part of Publicly</w:t>
            </w:r>
          </w:p>
        </w:tc>
        <w:tc>
          <w:tcPr>
            <w:tcW w:w="2200" w:type="dxa"/>
            <w:vAlign w:val="bottom"/>
          </w:tcPr>
          <w:p>
            <w:pPr>
              <w:ind w:left="40"/>
              <w:spacing w:after="0" w:line="176" w:lineRule="exact"/>
              <w:rPr>
                <w:sz w:val="20"/>
                <w:szCs w:val="20"/>
                <w:color w:val="auto"/>
              </w:rPr>
            </w:pPr>
            <w:r>
              <w:rPr>
                <w:rFonts w:ascii="Arial" w:cs="Arial" w:eastAsia="Arial" w:hAnsi="Arial"/>
                <w:sz w:val="18"/>
                <w:szCs w:val="18"/>
                <w:color w:val="auto"/>
              </w:rPr>
              <w:t>Shares that May Yet be</w:t>
            </w:r>
          </w:p>
        </w:tc>
      </w:tr>
      <w:tr>
        <w:trPr>
          <w:trHeight w:val="176"/>
        </w:trPr>
        <w:tc>
          <w:tcPr>
            <w:tcW w:w="1600" w:type="dxa"/>
            <w:vAlign w:val="bottom"/>
          </w:tcPr>
          <w:p>
            <w:pPr>
              <w:spacing w:after="0"/>
              <w:rPr>
                <w:sz w:val="15"/>
                <w:szCs w:val="15"/>
                <w:color w:val="auto"/>
              </w:rPr>
            </w:pPr>
          </w:p>
        </w:tc>
        <w:tc>
          <w:tcPr>
            <w:tcW w:w="2800" w:type="dxa"/>
            <w:vAlign w:val="bottom"/>
          </w:tcPr>
          <w:p>
            <w:pPr>
              <w:ind w:left="1060"/>
              <w:spacing w:after="0" w:line="176" w:lineRule="exact"/>
              <w:rPr>
                <w:sz w:val="20"/>
                <w:szCs w:val="20"/>
                <w:color w:val="auto"/>
              </w:rPr>
            </w:pPr>
            <w:r>
              <w:rPr>
                <w:rFonts w:ascii="Arial" w:cs="Arial" w:eastAsia="Arial" w:hAnsi="Arial"/>
                <w:sz w:val="18"/>
                <w:szCs w:val="18"/>
                <w:color w:val="auto"/>
              </w:rPr>
              <w:t>Total Number of</w:t>
            </w:r>
          </w:p>
        </w:tc>
        <w:tc>
          <w:tcPr>
            <w:tcW w:w="1980" w:type="dxa"/>
            <w:vAlign w:val="bottom"/>
          </w:tcPr>
          <w:p>
            <w:pPr>
              <w:ind w:left="260"/>
              <w:spacing w:after="0" w:line="176" w:lineRule="exact"/>
              <w:rPr>
                <w:sz w:val="20"/>
                <w:szCs w:val="20"/>
                <w:color w:val="auto"/>
              </w:rPr>
            </w:pPr>
            <w:r>
              <w:rPr>
                <w:rFonts w:ascii="Arial" w:cs="Arial" w:eastAsia="Arial" w:hAnsi="Arial"/>
                <w:sz w:val="18"/>
                <w:szCs w:val="18"/>
                <w:color w:val="auto"/>
              </w:rPr>
              <w:t>Average Price Paid</w:t>
            </w:r>
          </w:p>
        </w:tc>
        <w:tc>
          <w:tcPr>
            <w:tcW w:w="2580" w:type="dxa"/>
            <w:vAlign w:val="bottom"/>
          </w:tcPr>
          <w:p>
            <w:pPr>
              <w:ind w:left="180"/>
              <w:spacing w:after="0" w:line="176" w:lineRule="exact"/>
              <w:rPr>
                <w:sz w:val="20"/>
                <w:szCs w:val="20"/>
                <w:color w:val="auto"/>
              </w:rPr>
            </w:pPr>
            <w:r>
              <w:rPr>
                <w:rFonts w:ascii="Arial" w:cs="Arial" w:eastAsia="Arial" w:hAnsi="Arial"/>
                <w:sz w:val="18"/>
                <w:szCs w:val="18"/>
                <w:color w:val="auto"/>
              </w:rPr>
              <w:t>Announced Plans or</w:t>
            </w:r>
          </w:p>
        </w:tc>
        <w:tc>
          <w:tcPr>
            <w:tcW w:w="2200" w:type="dxa"/>
            <w:vAlign w:val="bottom"/>
          </w:tcPr>
          <w:p>
            <w:pPr>
              <w:ind w:left="40"/>
              <w:spacing w:after="0" w:line="176" w:lineRule="exact"/>
              <w:rPr>
                <w:sz w:val="20"/>
                <w:szCs w:val="20"/>
                <w:color w:val="auto"/>
              </w:rPr>
            </w:pPr>
            <w:r>
              <w:rPr>
                <w:rFonts w:ascii="Arial" w:cs="Arial" w:eastAsia="Arial" w:hAnsi="Arial"/>
                <w:sz w:val="18"/>
                <w:szCs w:val="18"/>
                <w:color w:val="auto"/>
                <w:w w:val="98"/>
              </w:rPr>
              <w:t>Purchased under the Plans</w:t>
            </w: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Period</w:t>
            </w:r>
          </w:p>
        </w:tc>
        <w:tc>
          <w:tcPr>
            <w:tcW w:w="2800" w:type="dxa"/>
            <w:vAlign w:val="bottom"/>
          </w:tcPr>
          <w:p>
            <w:pPr>
              <w:ind w:left="1060"/>
              <w:spacing w:after="0"/>
              <w:rPr>
                <w:sz w:val="20"/>
                <w:szCs w:val="20"/>
                <w:color w:val="auto"/>
              </w:rPr>
            </w:pPr>
            <w:r>
              <w:rPr>
                <w:rFonts w:ascii="Arial" w:cs="Arial" w:eastAsia="Arial" w:hAnsi="Arial"/>
                <w:sz w:val="18"/>
                <w:szCs w:val="18"/>
                <w:color w:val="auto"/>
              </w:rPr>
              <w:t>Shares Purchased</w:t>
            </w:r>
          </w:p>
        </w:tc>
        <w:tc>
          <w:tcPr>
            <w:tcW w:w="1980" w:type="dxa"/>
            <w:vAlign w:val="bottom"/>
          </w:tcPr>
          <w:p>
            <w:pPr>
              <w:ind w:left="260"/>
              <w:spacing w:after="0"/>
              <w:rPr>
                <w:sz w:val="20"/>
                <w:szCs w:val="20"/>
                <w:color w:val="auto"/>
              </w:rPr>
            </w:pPr>
            <w:r>
              <w:rPr>
                <w:rFonts w:ascii="Arial" w:cs="Arial" w:eastAsia="Arial" w:hAnsi="Arial"/>
                <w:sz w:val="18"/>
                <w:szCs w:val="18"/>
                <w:color w:val="auto"/>
              </w:rPr>
              <w:t>Per Share</w:t>
            </w:r>
          </w:p>
        </w:tc>
        <w:tc>
          <w:tcPr>
            <w:tcW w:w="258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200" w:type="dxa"/>
            <w:vAlign w:val="bottom"/>
          </w:tcPr>
          <w:p>
            <w:pPr>
              <w:ind w:left="40"/>
              <w:spacing w:after="0"/>
              <w:rPr>
                <w:sz w:val="20"/>
                <w:szCs w:val="20"/>
                <w:color w:val="auto"/>
              </w:rPr>
            </w:pPr>
            <w:r>
              <w:rPr>
                <w:rFonts w:ascii="Arial" w:cs="Arial" w:eastAsia="Arial" w:hAnsi="Arial"/>
                <w:sz w:val="18"/>
                <w:szCs w:val="18"/>
                <w:color w:val="auto"/>
              </w:rPr>
              <w:t>or Programs</w:t>
            </w: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640" w:type="dxa"/>
            <w:vAlign w:val="bottom"/>
          </w:tcPr>
          <w:p>
            <w:pPr>
              <w:spacing w:after="0"/>
              <w:rPr>
                <w:sz w:val="20"/>
                <w:szCs w:val="20"/>
                <w:color w:val="auto"/>
              </w:rPr>
            </w:pPr>
            <w:r>
              <w:rPr>
                <w:rFonts w:ascii="Arial" w:cs="Arial" w:eastAsia="Arial" w:hAnsi="Arial"/>
                <w:sz w:val="18"/>
                <w:szCs w:val="18"/>
                <w:color w:val="auto"/>
              </w:rPr>
              <w:t>12/28/2020 - 1/24/2021</w:t>
            </w: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2080" w:type="dxa"/>
            <w:vAlign w:val="bottom"/>
          </w:tcPr>
          <w:p>
            <w:pPr>
              <w:ind w:left="760"/>
              <w:spacing w:after="0"/>
              <w:rPr>
                <w:sz w:val="20"/>
                <w:szCs w:val="20"/>
                <w:color w:val="auto"/>
              </w:rPr>
            </w:pPr>
            <w:r>
              <w:rPr>
                <w:rFonts w:ascii="Arial" w:cs="Arial" w:eastAsia="Arial" w:hAnsi="Arial"/>
                <w:sz w:val="18"/>
                <w:szCs w:val="18"/>
                <w:color w:val="auto"/>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551,506</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1/25/2021 - 2/21/2021</w:t>
            </w: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2080" w:type="dxa"/>
            <w:vAlign w:val="bottom"/>
          </w:tcPr>
          <w:p>
            <w:pPr>
              <w:ind w:left="760"/>
              <w:spacing w:after="0"/>
              <w:rPr>
                <w:sz w:val="20"/>
                <w:szCs w:val="20"/>
                <w:color w:val="auto"/>
              </w:rPr>
            </w:pPr>
            <w:r>
              <w:rPr>
                <w:rFonts w:ascii="Arial" w:cs="Arial" w:eastAsia="Arial" w:hAnsi="Arial"/>
                <w:sz w:val="18"/>
                <w:szCs w:val="18"/>
                <w:color w:val="auto"/>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551,506</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2/22/2021 - 3/28/2021</w:t>
            </w:r>
          </w:p>
        </w:tc>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551,506</w:t>
            </w:r>
          </w:p>
        </w:tc>
      </w:tr>
      <w:tr>
        <w:trPr>
          <w:trHeight w:val="223"/>
        </w:trPr>
        <w:tc>
          <w:tcPr>
            <w:tcW w:w="2640" w:type="dxa"/>
            <w:vAlign w:val="bottom"/>
          </w:tcPr>
          <w:p>
            <w:pPr>
              <w:ind w:left="460"/>
              <w:spacing w:after="0"/>
              <w:rPr>
                <w:sz w:val="20"/>
                <w:szCs w:val="20"/>
                <w:color w:val="auto"/>
              </w:rPr>
            </w:pPr>
            <w:r>
              <w:rPr>
                <w:rFonts w:ascii="Arial" w:cs="Arial" w:eastAsia="Arial" w:hAnsi="Arial"/>
                <w:sz w:val="18"/>
                <w:szCs w:val="18"/>
                <w:color w:val="auto"/>
              </w:rPr>
              <w:t>Total</w:t>
            </w: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19"/>
                <w:szCs w:val="19"/>
                <w:color w:val="auto"/>
              </w:rPr>
            </w:pPr>
          </w:p>
        </w:tc>
      </w:tr>
    </w:tbl>
    <w:p>
      <w:pPr>
        <w:spacing w:after="0" w:line="3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April 3, 2016,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52705</wp:posOffset>
            </wp:positionV>
            <wp:extent cx="5254625" cy="3711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2021 and 2020. This discussion should be read in conjunction with the Consolidated Financial Statements and Notes to Consolidated Financial Statements included in Item 8 of this Annual Report on Form 10-K.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omitted discussion of the earliest of the three years covered by our consolidated financial statements presented in this report because that disclosure was already included in our Annual Report on Form 10-K for fiscal 2020, filed with the SEC on May 20, 2020. You are encouraged to reference Part II, Item 7, within that report, for a discussion of our financial condition and result of operations for fiscal 2019 compared to fiscal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2021 is provided below:</w:t>
      </w:r>
    </w:p>
    <w:p>
      <w:pPr>
        <w:spacing w:after="0" w:line="252" w:lineRule="exact"/>
        <w:rPr>
          <w:sz w:val="20"/>
          <w:szCs w:val="20"/>
          <w:color w:val="auto"/>
        </w:rPr>
      </w:pPr>
    </w:p>
    <w:p>
      <w:pPr>
        <w:ind w:left="620" w:hanging="36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$596.9 million, a 10% increase from fiscal 2020;</w:t>
      </w:r>
    </w:p>
    <w:p>
      <w:pPr>
        <w:spacing w:after="0" w:line="252" w:lineRule="exact"/>
        <w:rPr>
          <w:rFonts w:ascii="Arial" w:cs="Arial" w:eastAsia="Arial" w:hAnsi="Arial"/>
          <w:sz w:val="18"/>
          <w:szCs w:val="18"/>
          <w:color w:val="auto"/>
        </w:rPr>
      </w:pPr>
    </w:p>
    <w:p>
      <w:pPr>
        <w:ind w:left="620" w:hanging="36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of $123.8 million, an increase of $22.8 million, or 23% from fiscal 2020;</w:t>
      </w:r>
    </w:p>
    <w:p>
      <w:pPr>
        <w:spacing w:after="0" w:line="252" w:lineRule="exact"/>
        <w:rPr>
          <w:rFonts w:ascii="Arial" w:cs="Arial" w:eastAsia="Arial" w:hAnsi="Arial"/>
          <w:sz w:val="18"/>
          <w:szCs w:val="18"/>
          <w:color w:val="auto"/>
        </w:rPr>
      </w:pPr>
    </w:p>
    <w:p>
      <w:pPr>
        <w:ind w:left="660" w:right="40" w:hanging="409"/>
        <w:spacing w:after="0" w:line="261"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increased $8.6 million year over year, and were relatively flat as a percentage of sales from fiscal 2020;</w:t>
      </w:r>
    </w:p>
    <w:p>
      <w:pPr>
        <w:spacing w:after="0" w:line="224" w:lineRule="exact"/>
        <w:rPr>
          <w:rFonts w:ascii="Arial" w:cs="Arial" w:eastAsia="Arial" w:hAnsi="Arial"/>
          <w:sz w:val="18"/>
          <w:szCs w:val="18"/>
          <w:color w:val="auto"/>
        </w:rPr>
      </w:pPr>
    </w:p>
    <w:p>
      <w:pPr>
        <w:ind w:left="620" w:hanging="36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of $43.8 million, as compared to $58.9 million for fiscal 2020.</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prices rise and fall. The costs for certain of our raw materials can rise or fall rapidly, causing fluctuations in gross profit as a percentage of sales.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last in, first out (“LIFO”) method of valuing the inventory in our Industrial and Water Treatment segments, which causes the most recent product costs to be recognized in our income statement. The LIFO inventory valuation method and the resulting cost of sales are consistent with our business practices of pricing to current chemical raw material prices. Inventories in our Health and Nutrition segment are valued using the first-in, first-out (“FIFO”) method.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Property Acquisitions</w:t>
      </w:r>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the fourth quarter of fiscal 2021, we acquired substantially all the assets of C &amp; L Aqua Professionals, Inc. and LC Blending, Inc. (together, “C&amp;L Aqua”) under the terms of an asset purchase agreement among us, C&amp;L Aqua and its shareholders. C&amp;L Aqua was a water treatment</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chemical distribution company operating primarily in Louisiana. The results of operations since the acquisition date are included in our Water Treatment segment.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In the third quarter of fiscal 2021, we acquired a manufacturing facility to allow further expansion and growth in both our Industrial and Water Treatment segments. This site is adjacent to our facility in Rosemount, Minnesota, adding 40,000 square feet of manufacturing and warehouse space on 28 acres of land to bring us to a total of 105,000 square feet of space on 56 acres of land, with rail access at both of the sites. The expansion will allow for future growth and provide supply chain flexibility on certain raw materials to better serve our customers.</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second quarter of fiscal 2021, we acquired substantially all the assets of American Development Corporation of Tennessee, Inc. (“ADC”) under the terms of an asset purchase agreement among us, ADC and its shareholders. ADC was a water treatment chemical</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distribution company operating primarily in Tennessee, Georgia and Kentucky. The results of operations since the acquisition date are included in our Water Treatment segment.</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aggregate annual revenue from C&amp;L Aqua and ADC in the twelve months prior to each acquisition date totaled approximately $25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1, 2021, we effected a two-for-one split of our common stock, and adjusted the par value from $.05 per share to $0.01 per share. At the same time, we increased the number of authorized shares from 30 million to 60 million. Our consolidated financial statements, related notes, and other financial data contained in this report have been adjusted to give retroactive effect to the stock split for all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pandemic caused by COVID-19 has resulted in federal, state and local governments around the world implementing stringent measures to help control the spread of the virus, including, from time to time, quarantines, “shelter in place” and “stay at home” orders, travel restrictions or bans, business curtailments, school closures, and other protective measures. While many restrictions have eased since the start of the COVID-19 pandemic, certain restrictions remain in place or new restrictions may be implemented in the future. Certain restrictions may remain in place for some time.</w:t>
      </w:r>
    </w:p>
    <w:p>
      <w:pPr>
        <w:spacing w:after="0" w:line="23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All of our manufacturing facilities have qualified as essential operations (or the equivalent) under applicable federal and state orders. As a result, all of our manufacturing sites and facilities have continued to operate, with no significant impact to our output levels.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this public health crisis, we have remained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 Our manufacturing sites have continued to operate during the COVID-19 pandemic, with no significant impact to manufacturing.</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impact of the COVID-19 pandemic to our company has been mixed, as sales to certain end-markets such as food, bottled bleach and health and nutrition have benefited our reporting segments, while decreased sales to other end-markets such as ethanol, pools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resorts have negatively impacted them. In addition, certain expenses, such as travel and entertainment and trade show expenses, were lower than historical levels during fiscal 2021. We expect mixed results to continue until conditions normalize following the end of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720" w:type="dxa"/>
            <w:vAlign w:val="bottom"/>
            <w:gridSpan w:val="2"/>
          </w:tcPr>
          <w:p>
            <w:pPr>
              <w:ind w:left="420"/>
              <w:spacing w:after="0"/>
              <w:rPr>
                <w:sz w:val="20"/>
                <w:szCs w:val="20"/>
                <w:color w:val="auto"/>
              </w:rPr>
            </w:pPr>
            <w:r>
              <w:rPr>
                <w:rFonts w:ascii="Arial" w:cs="Arial" w:eastAsia="Arial" w:hAnsi="Arial"/>
                <w:sz w:val="14"/>
                <w:szCs w:val="14"/>
                <w:b w:val="1"/>
                <w:bCs w:val="1"/>
                <w:color w:val="auto"/>
              </w:rPr>
              <w:t>Fiscal 2021</w:t>
            </w:r>
          </w:p>
        </w:tc>
        <w:tc>
          <w:tcPr>
            <w:tcW w:w="1620" w:type="dxa"/>
            <w:vAlign w:val="bottom"/>
          </w:tcPr>
          <w:p>
            <w:pPr>
              <w:jc w:val="right"/>
              <w:ind w:right="332"/>
              <w:spacing w:after="0"/>
              <w:rPr>
                <w:sz w:val="20"/>
                <w:szCs w:val="20"/>
                <w:color w:val="auto"/>
              </w:rPr>
            </w:pPr>
            <w:r>
              <w:rPr>
                <w:rFonts w:ascii="Arial" w:cs="Arial" w:eastAsia="Arial" w:hAnsi="Arial"/>
                <w:sz w:val="14"/>
                <w:szCs w:val="14"/>
                <w:b w:val="1"/>
                <w:bCs w:val="1"/>
                <w:color w:val="auto"/>
              </w:rPr>
              <w:t>Fiscal 2020</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r>
      <w:tr>
        <w:trPr>
          <w:trHeight w:val="20"/>
        </w:trPr>
        <w:tc>
          <w:tcPr>
            <w:tcW w:w="7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Compared to Fiscal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Sales were $596.9 million for fiscal 2021, an increase of $56.7 million, or 10%, from sales of $540.2 million for fiscal 2020.</w:t>
      </w:r>
    </w:p>
    <w:p>
      <w:pPr>
        <w:spacing w:after="0" w:line="2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$1.9 million, or 1%, to $ 273.4 million for fiscal 2021, as compared to $275.2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2020. Sales of bulk commodity products in the Industrial segment were approximately 14% of sales dollars in fiscal 2021 and 18% of sales dollars in fiscal 2020. Increased sales resulting from a product mix shift to more sales of certain of our higher-priced manufactured, blended and repackaged products, in particular certain of our food ingredient and agricultural products, as well as increased sales of our bleach products, was more than offset by decreased sales into the ethanol industry in the first half of fiscal 2021, due largely to weakened economic conditions in that industry.</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$10.1 million, or 6%, to $170.0 million for fiscal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$159.9 million for fiscal 2020. Sales of bulk commodity products in the Water Treatment segment were approximately 9% of sales dollars in fiscal 2021 and 12% of sales dollars in fiscal 2020. The increase in sales dollars resulted from the added sales from the acquisition of ADC and C&amp;L Aqua as well as increased sales of certain manufactured, blended and re-packaged products in our legacy business, partially offset by a first quarter sales decline as a result of COVID-19 which reduced sales to certain end markets, primarily swimming pools.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segment increased $48.4 million, or 46%, to $ 153.5 million for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$105.1 million for fiscal 2020. The increase in sales was driven by increased sales of both our manufactured and specialty distributed products largely as a result of increased demand for health and immunity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increased $22.8 million, or 23%, to $123.8 million, or 21% of sales, for fiscal 2021, from $100.9 million, or 19% of sales, for fiscal 2020. During fiscal 2021, the LIFO reserve decreased, and gross profits increased, by $0.1 million. In fiscal 2020, the LIFO reserve increased, and gross profits decreased, by $0.6 million.</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$4.4 million, or 11%, to $43.3 million, or 16% of sales, for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$38.9 million, or 14% of sales, for fiscal 2020. During fiscal 2021, the LIFO reserve decreased, and gross profits increased, by $0.2 million. In fiscal 2020, the LIFO reserve increased, and gross profits decreased, by $0.6 million. Total gross profit, and gross profit as a percentage of sales, increased due to a product mix shift to more sales of certain higher-margin manufactured, blended and re-packaged products, partially offset by higher operating costs.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8" w:name="page19"/>
    <w:bookmarkEnd w:id="18"/>
    <w:p>
      <w:pPr>
        <w:jc w:val="both"/>
        <w:spacing w:after="0" w:line="25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$4.9 million, or 12%, to $46.8 million, or 28%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2021, from $41.9 million, or 26% of sales, for fiscal 2020. During fiscal 2021, the LIFO reserve increased, and gross profits decreased, by $0.1 million. During fiscal 2020, the LIFO reserve had a nominal impact on gross profit. Gross profit increased as a result of the added gross profit from sales in the acquired businesses of ADC and C&amp;L Aqua. Gross profit, and gross profit as a percentage of sales, also increased as a result of a product mix shift to more sales of certain of our manufactured, blended and repackaged products in our legacy business.</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increased $13.6 million, or 68% to $33.6 million, or 22%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fiscal 2021, from $20.1 million, or 19% of sales, for fiscal 2020. The increase in gross profit was a result of higher sales compared to the prior year. Gross profit as a percentage of sales increased primarily as a result of product mix changes.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SG&amp;A expenses increased $8.6 million to $67.9 million, or 11% of sales, for fiscal 2021, from $59.2 million, or 11% of sales, for fiscal 2020. Expenses increased primarily due to increased variable pay, the added costs from the acquired businesses of ADC and C&amp;L Aqua, including $0.8 million expense for amortization of intangibles, and a year-over-year increase in compensation expense related to our non-qualified deferred compensation plan, with the expense offset in other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income was $55.9 million, or 9% of sales, for fiscal 2021, as compared to $41.7 million, or 8% of sales, for fiscal 2020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Interest expense was $1.5 million for fiscal 2021, a decrease of $1.0 million from interest expense of $2.5 million for fiscal 2020. The additional interest cost as a result of the increase in outstanding borrowings was more than offset by lower borrowing rates compared to the prior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effective tax rate was approximately 27% for both fiscal 2021 and fiscal 2020. The effective tax rate is impacted by projected levels of annual taxable income, permanent items, and state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2021</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5"/>
                <w:szCs w:val="15"/>
                <w:color w:val="auto"/>
              </w:rPr>
            </w:pPr>
          </w:p>
        </w:tc>
        <w:tc>
          <w:tcPr>
            <w:tcW w:w="1220" w:type="dxa"/>
            <w:vAlign w:val="bottom"/>
          </w:tcPr>
          <w:p>
            <w:pPr>
              <w:jc w:val="right"/>
              <w:ind w:right="45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162,971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31,750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0.56</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0.38</w:t>
            </w:r>
          </w:p>
        </w:tc>
        <w:tc>
          <w:tcPr>
            <w:tcW w:w="12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405"/>
        </w:trPr>
        <w:tc>
          <w:tcPr>
            <w:tcW w:w="4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2020</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5"/>
                <w:szCs w:val="15"/>
                <w:color w:val="auto"/>
              </w:rPr>
            </w:pPr>
          </w:p>
        </w:tc>
        <w:tc>
          <w:tcPr>
            <w:tcW w:w="1220" w:type="dxa"/>
            <w:vAlign w:val="bottom"/>
          </w:tcPr>
          <w:p>
            <w:pPr>
              <w:jc w:val="right"/>
              <w:ind w:right="45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147,336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140,043</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120,406</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132,413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459"/>
        </w:trPr>
        <w:tc>
          <w:tcPr>
            <w:tcW w:w="4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2019</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5"/>
                <w:szCs w:val="15"/>
                <w:color w:val="auto"/>
              </w:rPr>
            </w:pPr>
          </w:p>
        </w:tc>
        <w:tc>
          <w:tcPr>
            <w:tcW w:w="1220" w:type="dxa"/>
            <w:vAlign w:val="bottom"/>
          </w:tcPr>
          <w:p>
            <w:pPr>
              <w:jc w:val="right"/>
              <w:ind w:right="45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133,051</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0.35</w:t>
            </w:r>
          </w:p>
        </w:tc>
        <w:tc>
          <w:tcPr>
            <w:tcW w:w="10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0.19</w:t>
            </w:r>
          </w:p>
        </w:tc>
        <w:tc>
          <w:tcPr>
            <w:tcW w:w="12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may not equal the face of the Consolidated Statements of Income (Loss) due to rounding.</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provided by operating activities in fiscal 2021 was $43.8 million compared to $58.9 million in fiscal 2020. The decrease in cash provided by operating activities in fiscal 2021 as compared to fiscal 2020 was primarily driven by increases in customer receivables, resulting from higher sales, as well as higher inventory levels, partially offset by an increase in net income. Increased customer demand in our Health and Nutrition segment resulted in an increase in on-hand inventory due to increased stocking levels to fill the increased demand and to offset longer lead times from our suppliers for many products.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most of our barges are received during this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18"/>
          <w:szCs w:val="18"/>
          <w:color w:val="auto"/>
        </w:rPr>
        <w:t>Cash used in investing activities was $ 71.4 million in fiscal 2021 compared to $24.2 million in fiscal 2020. Capital expenditures were $20.8 million in fiscal 2021 and $24.5 million in fiscal 2020. Total cash used in investing activities in fiscal 2021 included an aggregate of $51.0 million for the acquisitions of ADC, C&amp;L Aqua and the purchase of the manufacturing facility in Rosemount, Minnesota. Capital expenditures in fiscal 2021 included $ 7.8 million of facility improvements, including $4.3 million to expand our pharmaceutical product manufacturing capabilities, vehicles and trucks of $4.7 million, the purchase of a previously leased Water Treatment branch facility for $0.9 million, along with other new and replacement equipment. Capital expenditures in fiscal 2020 included $9.5 million in the aggregate for the purchase of our previously leased corporate headquarters and a previously leased Water Treatment branch facility as well as the purchase of a facility for a Water Treatment branch expansion.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financing activities was $26.4 million in fiscal 2021, as compared to cash used in financing activities of $39.6 million in fiscal 2020. Cash provided by financing activities included net debt borrowings of $39.0 million in fiscal 2021 to partially fund the acquisitions in fiscal 2021, compared to net debt repayments of $ 25.0 million in fiscal 2020. We also paid out cash dividends of $10.0 million in fiscal 2021 and $9.8 million in fiscal 2020. In fiscal 2021, we used $4.1 million to repurchase shares under our board-authorized share repurchase program, and in fiscal 2020, we used $5.9 million to repurchase shares under the program.</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cash balance was $3.0 million at March 28, 2021, a decrease of $1.3 million as compared with March 29, 2020. Cash flows generated by operations and financing activities during fiscal 2021 were offset by the cash expended for acquisitions in fiscal 2021, capital expenditures and dividend payments.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as Sole Lead Arranger and Sole Book Runner, and other lenders from time to time party thereto (collectively, the “Lenders”), whereby U.S. Bank is also serving as Administrative Agent. The Credit Agreement refinanced the term and revolving loans under the Prior Credit Agreement and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between 0.85% and 1.35%, depending on our leverage ratio. The base rate margin is between 0.00% and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March 28, 2021, the effective interest rate on our borrowings was 1.1%.</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March 28, 2021, the unamortized balance of these costs was $0.3 million, and is reflected as a reduction of debt on our balance sheet.</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March 28, 2021 and expect to remain in compliance with all covenants for the next 12 months.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4"/>
                <w:szCs w:val="14"/>
                <w:b w:val="1"/>
                <w:bCs w:val="1"/>
                <w:color w:val="auto"/>
              </w:rPr>
              <w:t>Payments Due by Fiscal Period</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40" w:type="dxa"/>
            <w:vAlign w:val="bottom"/>
          </w:tcPr>
          <w:p>
            <w:pPr>
              <w:spacing w:after="0"/>
              <w:rPr>
                <w:sz w:val="12"/>
                <w:szCs w:val="12"/>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2"/>
                <w:szCs w:val="12"/>
                <w:color w:val="auto"/>
              </w:rPr>
            </w:pPr>
          </w:p>
        </w:tc>
        <w:tc>
          <w:tcPr>
            <w:tcW w:w="9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More than</w:t>
            </w:r>
          </w:p>
        </w:tc>
        <w:tc>
          <w:tcPr>
            <w:tcW w:w="34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5 Years</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Arial" w:cs="Arial" w:eastAsia="Arial" w:hAnsi="Arial"/>
                <w:sz w:val="18"/>
                <w:szCs w:val="18"/>
                <w:color w:val="auto"/>
              </w:rPr>
              <w:t>Senior secured revolver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99,000</w:t>
            </w:r>
          </w:p>
        </w:tc>
        <w:tc>
          <w:tcPr>
            <w:tcW w:w="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Interest payments (2)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1,256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1,256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1,256</w:t>
            </w:r>
          </w:p>
        </w:tc>
        <w:tc>
          <w:tcPr>
            <w:tcW w:w="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Operating lease obligations (3)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1,831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1,707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1,355</w:t>
            </w:r>
          </w:p>
        </w:tc>
        <w:tc>
          <w:tcPr>
            <w:tcW w:w="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1,304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6,280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13,728</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467</w:t>
            </w:r>
          </w:p>
        </w:tc>
        <w:tc>
          <w:tcPr>
            <w:tcW w:w="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467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3,505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340" w:right="540" w:hanging="332"/>
        <w:spacing w:after="0" w:line="250"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balance outstanding as of March 28, 2021, and assumes such amount remains outstanding until its maturity date, as periodic payments are not required under the terms of our Credit Agreement. However, it is our intention to pay down our debt with available excess cash flow. See Note 9 of our consolidated Financial Statements for further information.</w:t>
      </w:r>
    </w:p>
    <w:p>
      <w:pPr>
        <w:spacing w:after="0" w:line="1" w:lineRule="exact"/>
        <w:rPr>
          <w:rFonts w:ascii="Arial" w:cs="Arial" w:eastAsia="Arial" w:hAnsi="Arial"/>
          <w:sz w:val="18"/>
          <w:szCs w:val="18"/>
          <w:color w:val="auto"/>
        </w:rPr>
      </w:pPr>
    </w:p>
    <w:p>
      <w:pPr>
        <w:ind w:left="340" w:right="220" w:hanging="332"/>
        <w:spacing w:after="0" w:line="250"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revolver, and assumes interest rates remain unchanged from the rate as of March 28, 2021.</w:t>
      </w: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reported under ASC Topic 842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relates to our withdrawal from a multiemployer pension plan. Payments on this obligation will continue through 2034.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and Infinite-life Intangible Assets </w:t>
      </w:r>
      <w:r>
        <w:rPr>
          <w:rFonts w:ascii="Arial" w:cs="Arial" w:eastAsia="Arial" w:hAnsi="Arial"/>
          <w:sz w:val="18"/>
          <w:szCs w:val="18"/>
          <w:color w:val="auto"/>
        </w:rPr>
        <w:t>- Goodwill represents the excess of the cost of acquired businesses over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December 28, 2020 for fiscal 2021. For each of our reporting units, we performed an analysis of qualitative factors to determine whether it is more likely than not that the fair value of any of our reporting units is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any of our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8"/>
          <w:szCs w:val="18"/>
          <w:i w:val="1"/>
          <w:iCs w:val="1"/>
          <w:color w:val="auto"/>
        </w:rPr>
        <w:t xml:space="preserve">Business Acquisitions - </w:t>
      </w:r>
      <w:r>
        <w:rPr>
          <w:rFonts w:ascii="Arial" w:cs="Arial" w:eastAsia="Arial" w:hAnsi="Arial"/>
          <w:sz w:val="18"/>
          <w:szCs w:val="18"/>
          <w:color w:val="auto"/>
        </w:rPr>
        <w:t>We account for acquired businesses using the acquisition method of accounting which requires that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be recorded at the date of acquisition at their respective fair values. The judgments made in determining the estimated fair value assigned to each class of assets acquired and liabilities assumed, as well as asset lives, can materially impact net income.</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1 to the consolidated financial statements included in Item 8 of this Form 10-K for a full description of recent accounting pronouncements, including expected dates of adoption and estimated effects on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25-basis point change in interest rates on the variable-rate portion of debt not covered by the interest rate swap would potentially increase or decrease annual interest expense by approximately $0.2 million. Other types of market risk, such as foreign currency risk, do not arise in the normal course of our business activities.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internal control over financial reporting of Hawkins, Inc. (a Minnesota corporation) and subsidiaries (the “Company”) as of March 28, 2021,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March 28, 2021, based on criteria established in the 2013 Internal Control—Integrated Framework issued by COSO.</w:t>
      </w:r>
    </w:p>
    <w:p>
      <w:pPr>
        <w:spacing w:after="0" w:line="2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March 28, 2021, and our report dated June 2, 2021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5"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 of, and opinion on, the Company’s internal control over financial reporting does not include the internal control over financial reporting of C&amp;L Aqua Professionals, Inc and LC Blending, Inc., two wholly-owned subsidiaries, whose financial statements reflect total assets and revenues constituting 3.5 and less than 1 percent, respectively, of the related consolidated financial statement amounts as of and for the year ended March 28, 2021. As indicated in Management’s Report, C&amp;L Aqua Professionals, Inc and LC Blending, Inc. were acquired during 2021. Management’s assertion on the effectiveness of the Company’s internal control over financial reporting excluded internal control over financial reporting C&amp;L Aqua Professionals, Inc and LC Blending,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2021</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w:t>
      </w:r>
      <w:r>
        <w:rPr>
          <w:rFonts w:ascii="Arial" w:cs="Arial" w:eastAsia="Arial" w:hAnsi="Arial"/>
          <w:sz w:val="18"/>
          <w:szCs w:val="18"/>
          <w:b w:val="1"/>
          <w:bCs w:val="1"/>
          <w:color w:val="auto"/>
        </w:rPr>
        <w:t>s</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audited the accompanying consolidated balance sheet of Hawkins, Inc. (a Minnesota corporation) and subsidiaries (the “Company”) as of March 28, 2021, and the related consolidated statements of income, comprehensive income, shareholders’ equity, and cash flows for year then ended, and the related notes and financial statement schedule included under Item 15(a) (collectively referred to as the “financial statements”). In our opinion, the financial statements present fairly, in all material respects, the financial position of the Company as of March 28, 2021, and the results of its operations and its cash flows for the year then ended, in conformity with accounting principles generally accepted in the United States of America.</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28, 2021, based on criteria established in the 2013 Internal Control— Integrated Framework issued by the Committee of Sponsoring Organizations of the Treadway Commission (“COSO”), and our report dated June 2, 2021 expressed an unqualified opinion.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31"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have audited the accompanying consolidated balance sheet of Hawkins, Inc. and subsidiaries (the Company) as of March 29, 2020, the related consolidated statements of income, comprehensive income, shareholders’ equity, and cash flows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March 29, 2020, and the related notes and financial statement schedule II (collectively, the consolidated financial statements). In our opinion, the consolidated financial statements present fairly, in all material respects, the financial position of the Company as of March 29, 2020, and the results of its operations and its cash flows for each of the years in the two</w:t>
      </w:r>
      <w:r>
        <w:rPr>
          <w:rFonts w:ascii="MS PGothic" w:cs="MS PGothic" w:eastAsia="MS PGothic" w:hAnsi="MS PGothic"/>
          <w:sz w:val="18"/>
          <w:szCs w:val="18"/>
          <w:color w:val="auto"/>
        </w:rPr>
        <w:t>‑</w:t>
      </w:r>
      <w:r>
        <w:rPr>
          <w:rFonts w:ascii="Arial" w:cs="Arial" w:eastAsia="Arial" w:hAnsi="Arial"/>
          <w:sz w:val="18"/>
          <w:szCs w:val="18"/>
          <w:color w:val="auto"/>
        </w:rPr>
        <w:t>year period ended March 29, 2020, in conformity with U.S. generally accepted accounting principles.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leases as of April 1, 2019 due to the adoption of Accounting Standards Update 2016-02, Leases (Topic 842), and related amendments.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2009 to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 2020, except as to the stock split and par value adjustments as described in Note 1, which are as of June 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ind w:left="120"/>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29, 2020</w:t>
            </w: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90,603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67,391</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54,436</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4,927</w:t>
            </w:r>
          </w:p>
        </w:tc>
      </w:tr>
      <w:tr>
        <w:trPr>
          <w:trHeight w:val="207"/>
        </w:trPr>
        <w:tc>
          <w:tcPr>
            <w:tcW w:w="6860" w:type="dxa"/>
            <w:vAlign w:val="bottom"/>
          </w:tcPr>
          <w:p>
            <w:pPr>
              <w:ind w:left="11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163,007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131,031</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11,045</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Buildings and improvements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108,175</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98,171</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equipment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32,737</w:t>
            </w:r>
          </w:p>
        </w:tc>
      </w:tr>
      <w:tr>
        <w:trPr>
          <w:trHeight w:val="213"/>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Office furniture and equipment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17,093</w:t>
            </w:r>
          </w:p>
        </w:tc>
      </w:tr>
      <w:tr>
        <w:trPr>
          <w:trHeight w:val="212"/>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267,221</w:t>
            </w:r>
          </w:p>
        </w:tc>
      </w:tr>
      <w:tr>
        <w:trPr>
          <w:trHeight w:val="213"/>
        </w:trPr>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140,877</w:t>
            </w:r>
          </w:p>
        </w:tc>
      </w:tr>
      <w:tr>
        <w:trPr>
          <w:trHeight w:val="213"/>
        </w:trPr>
        <w:tc>
          <w:tcPr>
            <w:tcW w:w="6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property, plant, and equipment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126,344</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58,440</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60,653</w:t>
            </w:r>
          </w:p>
        </w:tc>
      </w:tr>
      <w:tr>
        <w:trPr>
          <w:trHeight w:val="213"/>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w:t>
            </w:r>
          </w:p>
        </w:tc>
      </w:tr>
      <w:tr>
        <w:trPr>
          <w:trHeight w:val="213"/>
        </w:trPr>
        <w:tc>
          <w:tcPr>
            <w:tcW w:w="6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131,953</w:t>
            </w:r>
          </w:p>
        </w:tc>
      </w:tr>
      <w:tr>
        <w:trPr>
          <w:trHeight w:val="207"/>
        </w:trPr>
        <w:tc>
          <w:tcPr>
            <w:tcW w:w="6860" w:type="dxa"/>
            <w:vAlign w:val="bottom"/>
          </w:tcPr>
          <w:p>
            <w:pPr>
              <w:ind w:left="11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389,328</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34,129</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13,538</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Short-term lease liability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1,523</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Container deposits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r>
      <w:tr>
        <w:trPr>
          <w:trHeight w:val="213"/>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r>
      <w:tr>
        <w:trPr>
          <w:trHeight w:val="212"/>
        </w:trPr>
        <w:tc>
          <w:tcPr>
            <w:tcW w:w="6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62,220</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49,751</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4,978</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25,106</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DEFERRED COMPENSATION LIABILITY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5,026</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07"/>
        </w:trPr>
        <w:tc>
          <w:tcPr>
            <w:tcW w:w="6860" w:type="dxa"/>
            <w:vAlign w:val="bottom"/>
          </w:tcPr>
          <w:p>
            <w:pPr>
              <w:ind w:left="11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207,304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155,844</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0"/>
        </w:trPr>
        <w:tc>
          <w:tcPr>
            <w:tcW w:w="68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shares; authorized: 60,000,000 shares of $0.01 par value; 20,969,746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1"/>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21,024,458 shares issued and outstanding for 2021 and 2020, respectively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50,405</w:t>
            </w:r>
          </w:p>
        </w:tc>
      </w:tr>
      <w:tr>
        <w:trPr>
          <w:trHeight w:val="219"/>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182,947</w:t>
            </w: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686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233,484</w:t>
            </w:r>
          </w:p>
        </w:tc>
      </w:tr>
      <w:tr>
        <w:trPr>
          <w:trHeight w:val="206"/>
        </w:trPr>
        <w:tc>
          <w:tcPr>
            <w:tcW w:w="6860" w:type="dxa"/>
            <w:vAlign w:val="bottom"/>
          </w:tcPr>
          <w:p>
            <w:pPr>
              <w:ind w:left="11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389,328</w:t>
            </w:r>
          </w:p>
        </w:tc>
      </w:tr>
      <w:tr>
        <w:trPr>
          <w:trHeight w:val="24"/>
        </w:trPr>
        <w:tc>
          <w:tcPr>
            <w:tcW w:w="6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60"/>
          </w:cols>
          <w:pgMar w:left="860" w:top="117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860" w:top="1170" w:right="8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 2021</w:t>
            </w:r>
          </w:p>
        </w:tc>
        <w:tc>
          <w:tcPr>
            <w:tcW w:w="20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29, 2020</w:t>
            </w:r>
          </w:p>
        </w:tc>
        <w:tc>
          <w:tcPr>
            <w:tcW w:w="240" w:type="dxa"/>
            <w:vAlign w:val="bottom"/>
          </w:tcPr>
          <w:p>
            <w:pPr>
              <w:spacing w:after="0"/>
              <w:rPr>
                <w:sz w:val="15"/>
                <w:szCs w:val="15"/>
                <w:color w:val="auto"/>
              </w:rPr>
            </w:pPr>
          </w:p>
        </w:tc>
        <w:tc>
          <w:tcPr>
            <w:tcW w:w="150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556,326</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(460,390)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95,936</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(59,118)</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36,818</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(3,361)</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38,956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33,530</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21,024,344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21,159,978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21,309,774</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21,452,352</w:t>
            </w:r>
          </w:p>
        </w:tc>
      </w:tr>
      <w:tr>
        <w:trPr>
          <w:trHeight w:val="270"/>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5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0.47125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0.46125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0.34000</w:t>
            </w: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Pr>
          <w:p>
            <w:pPr>
              <w:spacing w:after="0"/>
              <w:rPr>
                <w:sz w:val="15"/>
                <w:szCs w:val="15"/>
                <w:color w:val="auto"/>
              </w:rPr>
            </w:pPr>
          </w:p>
        </w:tc>
        <w:tc>
          <w:tcPr>
            <w:tcW w:w="144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60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40,980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24,433</w:t>
            </w:r>
          </w:p>
        </w:tc>
      </w:tr>
      <w:tr>
        <w:trPr>
          <w:trHeight w:val="22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060" w:type="dxa"/>
            <w:vAlign w:val="bottom"/>
          </w:tcPr>
          <w:p>
            <w:pPr>
              <w:ind w:left="160"/>
              <w:spacing w:after="0"/>
              <w:rPr>
                <w:sz w:val="20"/>
                <w:szCs w:val="20"/>
                <w:color w:val="auto"/>
              </w:rPr>
            </w:pPr>
            <w:r>
              <w:rPr>
                <w:rFonts w:ascii="Arial" w:cs="Arial" w:eastAsia="Arial" w:hAnsi="Arial"/>
                <w:sz w:val="18"/>
                <w:szCs w:val="18"/>
                <w:color w:val="auto"/>
              </w:rPr>
              <w:t>Unrealized gain (loss) on interest rate swap</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post-retirement liability</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91"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17780</wp:posOffset>
            </wp:positionV>
            <wp:extent cx="16287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3" w:lineRule="exact"/>
        <w:rPr>
          <w:sz w:val="20"/>
          <w:szCs w:val="20"/>
          <w:color w:val="auto"/>
        </w:rPr>
      </w:pPr>
    </w:p>
    <w:p>
      <w:pPr>
        <w:jc w:val="both"/>
        <w:ind w:left="3460"/>
        <w:spacing w:after="0"/>
        <w:tabs>
          <w:tab w:leader="none" w:pos="47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Additional</w:t>
            </w:r>
          </w:p>
        </w:tc>
        <w:tc>
          <w:tcPr>
            <w:tcW w:w="1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1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040" w:type="dxa"/>
            <w:vAlign w:val="bottom"/>
            <w:vMerge w:val="continue"/>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Retained</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jc w:val="center"/>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240" w:type="dxa"/>
            <w:vAlign w:val="bottom"/>
            <w:vMerge w:val="continue"/>
          </w:tcPr>
          <w:p>
            <w:pPr>
              <w:spacing w:after="0"/>
              <w:rPr>
                <w:sz w:val="11"/>
                <w:szCs w:val="11"/>
                <w:color w:val="auto"/>
              </w:rPr>
            </w:pPr>
          </w:p>
        </w:tc>
        <w:tc>
          <w:tcPr>
            <w:tcW w:w="156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6"/>
        </w:trPr>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rPr>
              <w:t>Capital</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1180" w:type="dxa"/>
            <w:vAlign w:val="bottom"/>
          </w:tcPr>
          <w:p>
            <w:pPr>
              <w:jc w:val="center"/>
              <w:ind w:lef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00" w:space="720"/>
            <w:col w:w="5200"/>
          </w:cols>
          <w:pgMar w:left="320" w:top="927" w:right="359" w:bottom="1440" w:gutter="0" w:footer="0" w:header="0"/>
        </w:sectPr>
      </w:pPr>
    </w:p>
    <w:tbl>
      <w:tblPr>
        <w:tblLayout w:type="fixed"/>
        <w:tblInd w:w="0" w:type="dxa"/>
        <w:tblCellMar>
          <w:top w:w="0" w:type="dxa"/>
          <w:left w:w="0" w:type="dxa"/>
          <w:bottom w:w="0" w:type="dxa"/>
          <w:right w:w="0" w:type="dxa"/>
        </w:tblCellMar>
      </w:tblPr>
      <w:tr>
        <w:trPr>
          <w:trHeight w:val="23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April 1, 2018</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21,263,984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202,247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Cash dividends declared</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1340" w:type="dxa"/>
            <w:vAlign w:val="bottom"/>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840" w:type="dxa"/>
            <w:vAlign w:val="bottom"/>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7"/>
                <w:szCs w:val="17"/>
                <w:color w:val="auto"/>
              </w:rPr>
              <w:t>(7,270)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960" w:type="dxa"/>
            <w:vAlign w:val="bottom"/>
          </w:tcPr>
          <w:p>
            <w:pPr>
              <w:jc w:val="right"/>
              <w:spacing w:after="0" w:line="188" w:lineRule="exact"/>
              <w:rPr>
                <w:sz w:val="20"/>
                <w:szCs w:val="20"/>
                <w:color w:val="auto"/>
              </w:rPr>
            </w:pPr>
            <w:r>
              <w:rPr>
                <w:rFonts w:ascii="Arial" w:cs="Arial" w:eastAsia="Arial" w:hAnsi="Arial"/>
                <w:sz w:val="17"/>
                <w:szCs w:val="17"/>
                <w:color w:val="auto"/>
              </w:rPr>
              <w:t>(7,270)</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360"/>
              <w:spacing w:after="0" w:line="172" w:lineRule="exact"/>
              <w:rPr>
                <w:sz w:val="20"/>
                <w:szCs w:val="20"/>
                <w:color w:val="auto"/>
              </w:rPr>
            </w:pPr>
            <w:r>
              <w:rPr>
                <w:rFonts w:ascii="Arial" w:cs="Arial" w:eastAsia="Arial" w:hAnsi="Arial"/>
                <w:sz w:val="17"/>
                <w:szCs w:val="17"/>
                <w:color w:val="auto"/>
              </w:rPr>
              <w:t>Share-based compensation</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expense</w:t>
            </w:r>
          </w:p>
        </w:tc>
        <w:tc>
          <w:tcPr>
            <w:tcW w:w="13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360"/>
              <w:spacing w:after="0"/>
              <w:rPr>
                <w:sz w:val="20"/>
                <w:szCs w:val="20"/>
                <w:color w:val="auto"/>
              </w:rPr>
            </w:pPr>
            <w:r>
              <w:rPr>
                <w:rFonts w:ascii="Arial" w:cs="Arial" w:eastAsia="Arial" w:hAnsi="Arial"/>
                <w:sz w:val="17"/>
                <w:szCs w:val="17"/>
                <w:color w:val="auto"/>
              </w:rPr>
              <w:t>Vesting of restricted stock</w:t>
            </w:r>
          </w:p>
        </w:tc>
        <w:tc>
          <w:tcPr>
            <w:tcW w:w="1240" w:type="dxa"/>
            <w:vAlign w:val="bottom"/>
          </w:tcPr>
          <w:p>
            <w:pPr>
              <w:jc w:val="right"/>
              <w:spacing w:after="0"/>
              <w:rPr>
                <w:sz w:val="20"/>
                <w:szCs w:val="20"/>
                <w:color w:val="auto"/>
              </w:rPr>
            </w:pPr>
            <w:r>
              <w:rPr>
                <w:rFonts w:ascii="Arial" w:cs="Arial" w:eastAsia="Arial" w:hAnsi="Arial"/>
                <w:sz w:val="17"/>
                <w:szCs w:val="17"/>
                <w:color w:val="auto"/>
              </w:rPr>
              <w:t>66,102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360"/>
              <w:spacing w:after="0" w:line="172" w:lineRule="exact"/>
              <w:rPr>
                <w:sz w:val="20"/>
                <w:szCs w:val="20"/>
                <w:color w:val="auto"/>
              </w:rPr>
            </w:pPr>
            <w:r>
              <w:rPr>
                <w:rFonts w:ascii="Arial" w:cs="Arial" w:eastAsia="Arial" w:hAnsi="Arial"/>
                <w:sz w:val="17"/>
                <w:szCs w:val="17"/>
                <w:color w:val="auto"/>
              </w:rPr>
              <w:t>Shares surrendered for payroll</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(16,210)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taxes</w:t>
            </w: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360"/>
              <w:spacing w:after="0"/>
              <w:rPr>
                <w:sz w:val="20"/>
                <w:szCs w:val="20"/>
                <w:color w:val="auto"/>
              </w:rPr>
            </w:pPr>
            <w:r>
              <w:rPr>
                <w:rFonts w:ascii="Arial" w:cs="Arial" w:eastAsia="Arial" w:hAnsi="Arial"/>
                <w:sz w:val="17"/>
                <w:szCs w:val="17"/>
                <w:color w:val="auto"/>
              </w:rPr>
              <w:t>ESPP shares issued</w:t>
            </w:r>
          </w:p>
        </w:tc>
        <w:tc>
          <w:tcPr>
            <w:tcW w:w="1240" w:type="dxa"/>
            <w:vAlign w:val="bottom"/>
          </w:tcPr>
          <w:p>
            <w:pPr>
              <w:jc w:val="right"/>
              <w:spacing w:after="0"/>
              <w:rPr>
                <w:sz w:val="20"/>
                <w:szCs w:val="20"/>
                <w:color w:val="auto"/>
              </w:rPr>
            </w:pPr>
            <w:r>
              <w:rPr>
                <w:rFonts w:ascii="Arial" w:cs="Arial" w:eastAsia="Arial" w:hAnsi="Arial"/>
                <w:sz w:val="17"/>
                <w:szCs w:val="17"/>
                <w:color w:val="auto"/>
              </w:rPr>
              <w:t>87,356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1,338</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repurchased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w:t>
            </w:r>
          </w:p>
        </w:tc>
        <w:tc>
          <w:tcPr>
            <w:tcW w:w="0" w:type="dxa"/>
            <w:vAlign w:val="bottom"/>
          </w:tcPr>
          <w:p>
            <w:pPr>
              <w:spacing w:after="0"/>
              <w:rPr>
                <w:sz w:val="1"/>
                <w:szCs w:val="1"/>
                <w:color w:val="auto"/>
              </w:rPr>
            </w:pPr>
          </w:p>
        </w:tc>
      </w:tr>
      <w:tr>
        <w:trPr>
          <w:trHeight w:val="169"/>
        </w:trPr>
        <w:tc>
          <w:tcPr>
            <w:tcW w:w="3080" w:type="dxa"/>
            <w:vAlign w:val="bottom"/>
          </w:tcPr>
          <w:p>
            <w:pPr>
              <w:ind w:left="360"/>
              <w:spacing w:after="0" w:line="169" w:lineRule="exact"/>
              <w:rPr>
                <w:sz w:val="20"/>
                <w:szCs w:val="20"/>
                <w:color w:val="auto"/>
              </w:rPr>
            </w:pPr>
            <w:r>
              <w:rPr>
                <w:rFonts w:ascii="Arial" w:cs="Arial" w:eastAsia="Arial" w:hAnsi="Arial"/>
                <w:sz w:val="17"/>
                <w:szCs w:val="17"/>
                <w:color w:val="auto"/>
              </w:rPr>
              <w:t>Other comprehensive loss, net of</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7"/>
        </w:trPr>
        <w:tc>
          <w:tcPr>
            <w:tcW w:w="3080" w:type="dxa"/>
            <w:vAlign w:val="bottom"/>
          </w:tcPr>
          <w:p>
            <w:pPr>
              <w:ind w:left="360"/>
              <w:spacing w:after="0"/>
              <w:rPr>
                <w:sz w:val="20"/>
                <w:szCs w:val="20"/>
                <w:color w:val="auto"/>
              </w:rPr>
            </w:pPr>
            <w:r>
              <w:rPr>
                <w:rFonts w:ascii="Arial" w:cs="Arial" w:eastAsia="Arial" w:hAnsi="Arial"/>
                <w:sz w:val="17"/>
                <w:szCs w:val="17"/>
                <w:color w:val="auto"/>
              </w:rPr>
              <w:t>tax</w:t>
            </w:r>
          </w:p>
        </w:tc>
        <w:tc>
          <w:tcPr>
            <w:tcW w:w="1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24,433</w:t>
            </w:r>
          </w:p>
        </w:tc>
        <w:tc>
          <w:tcPr>
            <w:tcW w:w="0" w:type="dxa"/>
            <w:vAlign w:val="bottom"/>
          </w:tcPr>
          <w:p>
            <w:pPr>
              <w:spacing w:after="0"/>
              <w:rPr>
                <w:sz w:val="1"/>
                <w:szCs w:val="1"/>
                <w:color w:val="auto"/>
              </w:rPr>
            </w:pPr>
          </w:p>
        </w:tc>
      </w:tr>
      <w:tr>
        <w:trPr>
          <w:trHeight w:val="208"/>
        </w:trPr>
        <w:tc>
          <w:tcPr>
            <w:tcW w:w="3080" w:type="dxa"/>
            <w:vAlign w:val="bottom"/>
          </w:tcPr>
          <w:p>
            <w:pPr>
              <w:ind w:left="20"/>
              <w:spacing w:after="0" w:line="192" w:lineRule="exact"/>
              <w:rPr>
                <w:sz w:val="20"/>
                <w:szCs w:val="20"/>
                <w:color w:val="auto"/>
              </w:rPr>
            </w:pPr>
            <w:r>
              <w:rPr>
                <w:rFonts w:ascii="Arial" w:cs="Arial" w:eastAsia="Arial" w:hAnsi="Arial"/>
                <w:sz w:val="17"/>
                <w:szCs w:val="17"/>
                <w:color w:val="auto"/>
              </w:rPr>
              <w:t>BALANCE — March 31, 2019</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21,184,900</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52,927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164,405</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217,861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80" w:type="dxa"/>
            <w:vAlign w:val="bottom"/>
            <w:shd w:val="clear" w:color="auto" w:fill="CCEEFF"/>
          </w:tcPr>
          <w:p>
            <w:pPr>
              <w:ind w:left="360"/>
              <w:spacing w:after="0" w:line="185" w:lineRule="exact"/>
              <w:rPr>
                <w:sz w:val="20"/>
                <w:szCs w:val="20"/>
                <w:color w:val="auto"/>
              </w:rPr>
            </w:pPr>
            <w:r>
              <w:rPr>
                <w:rFonts w:ascii="Arial" w:cs="Arial" w:eastAsia="Arial" w:hAnsi="Arial"/>
                <w:sz w:val="17"/>
                <w:szCs w:val="17"/>
                <w:color w:val="auto"/>
              </w:rPr>
              <w:t>Cash dividends declared and paid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(9,825)</w:t>
            </w:r>
          </w:p>
        </w:tc>
        <w:tc>
          <w:tcPr>
            <w:tcW w:w="0" w:type="dxa"/>
            <w:vAlign w:val="bottom"/>
          </w:tcPr>
          <w:p>
            <w:pPr>
              <w:spacing w:after="0"/>
              <w:rPr>
                <w:sz w:val="1"/>
                <w:szCs w:val="1"/>
                <w:color w:val="auto"/>
              </w:rPr>
            </w:pPr>
          </w:p>
        </w:tc>
      </w:tr>
      <w:tr>
        <w:trPr>
          <w:trHeight w:val="169"/>
        </w:trPr>
        <w:tc>
          <w:tcPr>
            <w:tcW w:w="3080" w:type="dxa"/>
            <w:vAlign w:val="bottom"/>
          </w:tcPr>
          <w:p>
            <w:pPr>
              <w:ind w:left="360"/>
              <w:spacing w:after="0" w:line="169" w:lineRule="exact"/>
              <w:rPr>
                <w:sz w:val="20"/>
                <w:szCs w:val="20"/>
                <w:color w:val="auto"/>
              </w:rPr>
            </w:pPr>
            <w:r>
              <w:rPr>
                <w:rFonts w:ascii="Arial" w:cs="Arial" w:eastAsia="Arial" w:hAnsi="Arial"/>
                <w:sz w:val="17"/>
                <w:szCs w:val="17"/>
                <w:color w:val="auto"/>
              </w:rPr>
              <w:t>Share-based compensation</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2,273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2,273</w:t>
            </w:r>
          </w:p>
        </w:tc>
        <w:tc>
          <w:tcPr>
            <w:tcW w:w="0" w:type="dxa"/>
            <w:vAlign w:val="bottom"/>
          </w:tcPr>
          <w:p>
            <w:pPr>
              <w:spacing w:after="0"/>
              <w:rPr>
                <w:sz w:val="1"/>
                <w:szCs w:val="1"/>
                <w:color w:val="auto"/>
              </w:rPr>
            </w:pPr>
          </w:p>
        </w:tc>
      </w:tr>
      <w:tr>
        <w:trPr>
          <w:trHeight w:val="207"/>
        </w:trPr>
        <w:tc>
          <w:tcPr>
            <w:tcW w:w="3080" w:type="dxa"/>
            <w:vAlign w:val="bottom"/>
          </w:tcPr>
          <w:p>
            <w:pPr>
              <w:ind w:left="360"/>
              <w:spacing w:after="0"/>
              <w:rPr>
                <w:sz w:val="20"/>
                <w:szCs w:val="20"/>
                <w:color w:val="auto"/>
              </w:rPr>
            </w:pPr>
            <w:r>
              <w:rPr>
                <w:rFonts w:ascii="Arial" w:cs="Arial" w:eastAsia="Arial" w:hAnsi="Arial"/>
                <w:sz w:val="17"/>
                <w:szCs w:val="17"/>
                <w:color w:val="auto"/>
              </w:rPr>
              <w:t>expense</w:t>
            </w:r>
          </w:p>
        </w:tc>
        <w:tc>
          <w:tcPr>
            <w:tcW w:w="1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Vesting of restricted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3080" w:type="dxa"/>
            <w:vAlign w:val="bottom"/>
          </w:tcPr>
          <w:p>
            <w:pPr>
              <w:ind w:left="360"/>
              <w:spacing w:after="0" w:line="169" w:lineRule="exact"/>
              <w:rPr>
                <w:sz w:val="20"/>
                <w:szCs w:val="20"/>
                <w:color w:val="auto"/>
              </w:rPr>
            </w:pPr>
            <w:r>
              <w:rPr>
                <w:rFonts w:ascii="Arial" w:cs="Arial" w:eastAsia="Arial" w:hAnsi="Arial"/>
                <w:sz w:val="17"/>
                <w:szCs w:val="17"/>
                <w:color w:val="auto"/>
              </w:rPr>
              <w:t>Shares surrendered for payroll</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(18,320)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07"/>
        </w:trPr>
        <w:tc>
          <w:tcPr>
            <w:tcW w:w="3080" w:type="dxa"/>
            <w:vAlign w:val="bottom"/>
          </w:tcPr>
          <w:p>
            <w:pPr>
              <w:ind w:left="360"/>
              <w:spacing w:after="0"/>
              <w:rPr>
                <w:sz w:val="20"/>
                <w:szCs w:val="20"/>
                <w:color w:val="auto"/>
              </w:rPr>
            </w:pPr>
            <w:r>
              <w:rPr>
                <w:rFonts w:ascii="Arial" w:cs="Arial" w:eastAsia="Arial" w:hAnsi="Arial"/>
                <w:sz w:val="17"/>
                <w:szCs w:val="17"/>
                <w:color w:val="auto"/>
              </w:rPr>
              <w:t>taxes</w:t>
            </w: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ESPP shares issued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214"/>
        </w:trPr>
        <w:tc>
          <w:tcPr>
            <w:tcW w:w="3080" w:type="dxa"/>
            <w:vAlign w:val="bottom"/>
          </w:tcPr>
          <w:p>
            <w:pPr>
              <w:ind w:left="360"/>
              <w:spacing w:after="0"/>
              <w:rPr>
                <w:sz w:val="20"/>
                <w:szCs w:val="20"/>
                <w:color w:val="auto"/>
              </w:rPr>
            </w:pPr>
            <w:r>
              <w:rPr>
                <w:rFonts w:ascii="Arial" w:cs="Arial" w:eastAsia="Arial" w:hAnsi="Arial"/>
                <w:sz w:val="17"/>
                <w:szCs w:val="17"/>
                <w:color w:val="auto"/>
              </w:rPr>
              <w:t>Shares repurchased</w:t>
            </w:r>
          </w:p>
        </w:tc>
        <w:tc>
          <w:tcPr>
            <w:tcW w:w="1240" w:type="dxa"/>
            <w:vAlign w:val="bottom"/>
          </w:tcPr>
          <w:p>
            <w:pPr>
              <w:jc w:val="right"/>
              <w:spacing w:after="0"/>
              <w:rPr>
                <w:sz w:val="20"/>
                <w:szCs w:val="20"/>
                <w:color w:val="auto"/>
              </w:rPr>
            </w:pPr>
            <w:r>
              <w:rPr>
                <w:rFonts w:ascii="Arial" w:cs="Arial" w:eastAsia="Arial" w:hAnsi="Arial"/>
                <w:sz w:val="17"/>
                <w:szCs w:val="17"/>
                <w:color w:val="auto"/>
              </w:rPr>
              <w:t>(291,166)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(5,853)</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360"/>
              <w:spacing w:after="0" w:line="172" w:lineRule="exact"/>
              <w:rPr>
                <w:sz w:val="20"/>
                <w:szCs w:val="20"/>
                <w:color w:val="auto"/>
              </w:rPr>
            </w:pPr>
            <w:r>
              <w:rPr>
                <w:rFonts w:ascii="Arial" w:cs="Arial" w:eastAsia="Arial" w:hAnsi="Arial"/>
                <w:sz w:val="17"/>
                <w:szCs w:val="17"/>
                <w:color w:val="auto"/>
              </w:rPr>
              <w:t>Other comprehensive loss, net of</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tax</w:t>
            </w:r>
          </w:p>
        </w:tc>
        <w:tc>
          <w:tcPr>
            <w:tcW w:w="13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680"/>
              <w:spacing w:after="0"/>
              <w:rPr>
                <w:sz w:val="20"/>
                <w:szCs w:val="20"/>
                <w:color w:val="auto"/>
              </w:rPr>
            </w:pPr>
            <w:r>
              <w:rPr>
                <w:rFonts w:ascii="Arial" w:cs="Arial" w:eastAsia="Arial" w:hAnsi="Arial"/>
                <w:sz w:val="17"/>
                <w:szCs w:val="17"/>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28,367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28,367</w:t>
            </w:r>
          </w:p>
        </w:tc>
        <w:tc>
          <w:tcPr>
            <w:tcW w:w="0" w:type="dxa"/>
            <w:vAlign w:val="bottom"/>
          </w:tcPr>
          <w:p>
            <w:pPr>
              <w:spacing w:after="0"/>
              <w:rPr>
                <w:sz w:val="1"/>
                <w:szCs w:val="1"/>
                <w:color w:val="auto"/>
              </w:rPr>
            </w:pPr>
          </w:p>
        </w:tc>
      </w:tr>
      <w:tr>
        <w:trPr>
          <w:trHeight w:val="234"/>
        </w:trPr>
        <w:tc>
          <w:tcPr>
            <w:tcW w:w="308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BALANCE — March 29,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21,024,458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233,484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Cash dividends declared and paid</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34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84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7"/>
                <w:szCs w:val="17"/>
                <w:color w:val="auto"/>
              </w:rPr>
              <w:t>(10,029)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960" w:type="dxa"/>
            <w:vAlign w:val="bottom"/>
          </w:tcPr>
          <w:p>
            <w:pPr>
              <w:jc w:val="right"/>
              <w:spacing w:after="0" w:line="190" w:lineRule="exact"/>
              <w:rPr>
                <w:sz w:val="20"/>
                <w:szCs w:val="20"/>
                <w:color w:val="auto"/>
              </w:rPr>
            </w:pPr>
            <w:r>
              <w:rPr>
                <w:rFonts w:ascii="Arial" w:cs="Arial" w:eastAsia="Arial" w:hAnsi="Arial"/>
                <w:sz w:val="17"/>
                <w:szCs w:val="17"/>
                <w:color w:val="auto"/>
              </w:rPr>
              <w:t>(10,029)</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360"/>
              <w:spacing w:after="0" w:line="172" w:lineRule="exact"/>
              <w:rPr>
                <w:sz w:val="20"/>
                <w:szCs w:val="20"/>
                <w:color w:val="auto"/>
              </w:rPr>
            </w:pPr>
            <w:r>
              <w:rPr>
                <w:rFonts w:ascii="Arial" w:cs="Arial" w:eastAsia="Arial" w:hAnsi="Arial"/>
                <w:sz w:val="17"/>
                <w:szCs w:val="17"/>
                <w:color w:val="auto"/>
              </w:rPr>
              <w:t>Share-based compensation</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expense</w:t>
            </w:r>
          </w:p>
        </w:tc>
        <w:tc>
          <w:tcPr>
            <w:tcW w:w="13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360"/>
              <w:spacing w:after="0"/>
              <w:rPr>
                <w:sz w:val="20"/>
                <w:szCs w:val="20"/>
                <w:color w:val="auto"/>
              </w:rPr>
            </w:pPr>
            <w:r>
              <w:rPr>
                <w:rFonts w:ascii="Arial" w:cs="Arial" w:eastAsia="Arial" w:hAnsi="Arial"/>
                <w:sz w:val="17"/>
                <w:szCs w:val="17"/>
                <w:color w:val="auto"/>
              </w:rPr>
              <w:t>Vesting of restricted stock</w:t>
            </w:r>
          </w:p>
        </w:tc>
        <w:tc>
          <w:tcPr>
            <w:tcW w:w="1240" w:type="dxa"/>
            <w:vAlign w:val="bottom"/>
          </w:tcPr>
          <w:p>
            <w:pPr>
              <w:jc w:val="right"/>
              <w:spacing w:after="0"/>
              <w:rPr>
                <w:sz w:val="20"/>
                <w:szCs w:val="20"/>
                <w:color w:val="auto"/>
              </w:rPr>
            </w:pPr>
            <w:r>
              <w:rPr>
                <w:rFonts w:ascii="Arial" w:cs="Arial" w:eastAsia="Arial" w:hAnsi="Arial"/>
                <w:sz w:val="17"/>
                <w:szCs w:val="17"/>
                <w:color w:val="auto"/>
              </w:rPr>
              <w:t>26,542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360"/>
              <w:spacing w:after="0" w:line="172" w:lineRule="exact"/>
              <w:rPr>
                <w:sz w:val="20"/>
                <w:szCs w:val="20"/>
                <w:color w:val="auto"/>
              </w:rPr>
            </w:pPr>
            <w:r>
              <w:rPr>
                <w:rFonts w:ascii="Arial" w:cs="Arial" w:eastAsia="Arial" w:hAnsi="Arial"/>
                <w:sz w:val="17"/>
                <w:szCs w:val="17"/>
                <w:color w:val="auto"/>
              </w:rPr>
              <w:t>Shares surrendered for payroll</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(3,314)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taxes</w:t>
            </w: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360"/>
              <w:spacing w:after="0"/>
              <w:rPr>
                <w:sz w:val="20"/>
                <w:szCs w:val="20"/>
                <w:color w:val="auto"/>
              </w:rPr>
            </w:pPr>
            <w:r>
              <w:rPr>
                <w:rFonts w:ascii="Arial" w:cs="Arial" w:eastAsia="Arial" w:hAnsi="Arial"/>
                <w:sz w:val="17"/>
                <w:szCs w:val="17"/>
                <w:color w:val="auto"/>
              </w:rPr>
              <w:t>ESPP shares issued</w:t>
            </w:r>
          </w:p>
        </w:tc>
        <w:tc>
          <w:tcPr>
            <w:tcW w:w="1240" w:type="dxa"/>
            <w:vAlign w:val="bottom"/>
          </w:tcPr>
          <w:p>
            <w:pPr>
              <w:jc w:val="right"/>
              <w:spacing w:after="0"/>
              <w:rPr>
                <w:sz w:val="20"/>
                <w:szCs w:val="20"/>
                <w:color w:val="auto"/>
              </w:rPr>
            </w:pPr>
            <w:r>
              <w:rPr>
                <w:rFonts w:ascii="Arial" w:cs="Arial" w:eastAsia="Arial" w:hAnsi="Arial"/>
                <w:sz w:val="17"/>
                <w:szCs w:val="17"/>
                <w:color w:val="auto"/>
              </w:rPr>
              <w:t>88,148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repurchased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0" w:type="dxa"/>
            <w:vAlign w:val="bottom"/>
          </w:tcPr>
          <w:p>
            <w:pPr>
              <w:spacing w:after="0"/>
              <w:rPr>
                <w:sz w:val="1"/>
                <w:szCs w:val="1"/>
                <w:color w:val="auto"/>
              </w:rPr>
            </w:pPr>
          </w:p>
        </w:tc>
      </w:tr>
      <w:tr>
        <w:trPr>
          <w:trHeight w:val="169"/>
        </w:trPr>
        <w:tc>
          <w:tcPr>
            <w:tcW w:w="3080" w:type="dxa"/>
            <w:vAlign w:val="bottom"/>
          </w:tcPr>
          <w:p>
            <w:pPr>
              <w:ind w:left="360"/>
              <w:spacing w:after="0" w:line="169" w:lineRule="exact"/>
              <w:rPr>
                <w:sz w:val="20"/>
                <w:szCs w:val="20"/>
                <w:color w:val="auto"/>
              </w:rPr>
            </w:pPr>
            <w:r>
              <w:rPr>
                <w:rFonts w:ascii="Arial" w:cs="Arial" w:eastAsia="Arial" w:hAnsi="Arial"/>
                <w:sz w:val="17"/>
                <w:szCs w:val="17"/>
                <w:color w:val="auto"/>
              </w:rPr>
              <w:t>Other comprehensive income, net</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7"/>
        </w:trPr>
        <w:tc>
          <w:tcPr>
            <w:tcW w:w="3080" w:type="dxa"/>
            <w:vAlign w:val="bottom"/>
          </w:tcPr>
          <w:p>
            <w:pPr>
              <w:ind w:left="360"/>
              <w:spacing w:after="0"/>
              <w:rPr>
                <w:sz w:val="20"/>
                <w:szCs w:val="20"/>
                <w:color w:val="auto"/>
              </w:rPr>
            </w:pPr>
            <w:r>
              <w:rPr>
                <w:rFonts w:ascii="Arial" w:cs="Arial" w:eastAsia="Arial" w:hAnsi="Arial"/>
                <w:sz w:val="17"/>
                <w:szCs w:val="17"/>
                <w:color w:val="auto"/>
              </w:rPr>
              <w:t>of tax</w:t>
            </w:r>
          </w:p>
        </w:tc>
        <w:tc>
          <w:tcPr>
            <w:tcW w:w="13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40,980</w:t>
            </w:r>
          </w:p>
        </w:tc>
        <w:tc>
          <w:tcPr>
            <w:tcW w:w="0" w:type="dxa"/>
            <w:vAlign w:val="bottom"/>
          </w:tcPr>
          <w:p>
            <w:pPr>
              <w:spacing w:after="0"/>
              <w:rPr>
                <w:sz w:val="1"/>
                <w:szCs w:val="1"/>
                <w:color w:val="auto"/>
              </w:rPr>
            </w:pPr>
          </w:p>
        </w:tc>
      </w:tr>
      <w:tr>
        <w:trPr>
          <w:trHeight w:val="208"/>
        </w:trPr>
        <w:tc>
          <w:tcPr>
            <w:tcW w:w="3080" w:type="dxa"/>
            <w:vAlign w:val="bottom"/>
          </w:tcPr>
          <w:p>
            <w:pPr>
              <w:ind w:left="20"/>
              <w:spacing w:after="0" w:line="192" w:lineRule="exact"/>
              <w:rPr>
                <w:sz w:val="20"/>
                <w:szCs w:val="20"/>
                <w:color w:val="auto"/>
              </w:rPr>
            </w:pPr>
            <w:r>
              <w:rPr>
                <w:rFonts w:ascii="Arial" w:cs="Arial" w:eastAsia="Arial" w:hAnsi="Arial"/>
                <w:sz w:val="17"/>
                <w:szCs w:val="17"/>
                <w:color w:val="auto"/>
              </w:rPr>
              <w:t>BALANCE — March 28, 2021</w:t>
            </w:r>
          </w:p>
        </w:tc>
        <w:tc>
          <w:tcPr>
            <w:tcW w:w="1240" w:type="dxa"/>
            <w:vAlign w:val="bottom"/>
          </w:tcPr>
          <w:p>
            <w:pPr>
              <w:jc w:val="right"/>
              <w:spacing w:after="0"/>
              <w:rPr>
                <w:sz w:val="20"/>
                <w:szCs w:val="20"/>
                <w:color w:val="auto"/>
              </w:rPr>
            </w:pPr>
            <w:r>
              <w:rPr>
                <w:rFonts w:ascii="Arial" w:cs="Arial" w:eastAsia="Arial" w:hAnsi="Arial"/>
                <w:sz w:val="17"/>
                <w:szCs w:val="17"/>
                <w:color w:val="auto"/>
              </w:rPr>
              <w:t>20,969,746</w:t>
            </w:r>
          </w:p>
        </w:tc>
        <w:tc>
          <w:tcPr>
            <w:tcW w:w="100" w:type="dxa"/>
            <w:vAlign w:val="bottom"/>
          </w:tcPr>
          <w:p>
            <w:pPr>
              <w:spacing w:after="0"/>
              <w:rPr>
                <w:sz w:val="18"/>
                <w:szCs w:val="18"/>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51,138</w:t>
            </w:r>
          </w:p>
        </w:tc>
        <w:tc>
          <w:tcPr>
            <w:tcW w:w="1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213,898</w:t>
            </w:r>
          </w:p>
        </w:tc>
        <w:tc>
          <w:tcPr>
            <w:tcW w:w="100" w:type="dxa"/>
            <w:vAlign w:val="bottom"/>
          </w:tcPr>
          <w:p>
            <w:pPr>
              <w:spacing w:after="0"/>
              <w:rPr>
                <w:sz w:val="18"/>
                <w:szCs w:val="18"/>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265,246</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3"/>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2021</w:t>
            </w: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15"/>
                <w:szCs w:val="15"/>
                <w:color w:val="auto"/>
              </w:rPr>
            </w:pPr>
          </w:p>
        </w:tc>
        <w:tc>
          <w:tcPr>
            <w:tcW w:w="1360" w:type="dxa"/>
            <w:vAlign w:val="bottom"/>
          </w:tcPr>
          <w:p>
            <w:pPr>
              <w:jc w:val="right"/>
              <w:ind w:right="179"/>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40,980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28,367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24,433</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Reconciliation to cash flows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524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21,756</w:t>
            </w:r>
          </w:p>
        </w:tc>
      </w:tr>
      <w:tr>
        <w:trPr>
          <w:trHeight w:val="219"/>
        </w:trPr>
        <w:tc>
          <w:tcPr>
            <w:tcW w:w="5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660"/>
              <w:spacing w:after="0"/>
              <w:rPr>
                <w:sz w:val="20"/>
                <w:szCs w:val="20"/>
                <w:color w:val="auto"/>
              </w:rPr>
            </w:pPr>
            <w:r>
              <w:rPr>
                <w:rFonts w:ascii="Arial" w:cs="Arial" w:eastAsia="Arial" w:hAnsi="Arial"/>
                <w:sz w:val="16"/>
                <w:szCs w:val="16"/>
                <w:color w:val="auto"/>
              </w:rPr>
              <w:t>(Gain) loss on deferred compensation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5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3"/>
        </w:trPr>
        <w:tc>
          <w:tcPr>
            <w:tcW w:w="5240" w:type="dxa"/>
            <w:vAlign w:val="bottom"/>
          </w:tcPr>
          <w:p>
            <w:pPr>
              <w:ind w:left="66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2,010</w:t>
            </w:r>
          </w:p>
        </w:tc>
      </w:tr>
      <w:tr>
        <w:trPr>
          <w:trHeight w:val="219"/>
        </w:trPr>
        <w:tc>
          <w:tcPr>
            <w:tcW w:w="5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177"/>
        </w:trPr>
        <w:tc>
          <w:tcPr>
            <w:tcW w:w="5240" w:type="dxa"/>
            <w:vAlign w:val="bottom"/>
          </w:tcPr>
          <w:p>
            <w:pPr>
              <w:ind w:left="820"/>
              <w:spacing w:after="0" w:line="178" w:lineRule="exact"/>
              <w:rPr>
                <w:sz w:val="20"/>
                <w:szCs w:val="20"/>
                <w:color w:val="auto"/>
              </w:rPr>
            </w:pPr>
            <w:r>
              <w:rPr>
                <w:rFonts w:ascii="Arial" w:cs="Arial" w:eastAsia="Arial" w:hAnsi="Arial"/>
                <w:sz w:val="16"/>
                <w:szCs w:val="16"/>
                <w:color w:val="auto"/>
              </w:rPr>
              <w:t>Changes in operating accounts (using) providing cash, net</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8"/>
        </w:trPr>
        <w:tc>
          <w:tcPr>
            <w:tcW w:w="5240" w:type="dxa"/>
            <w:vAlign w:val="bottom"/>
          </w:tcPr>
          <w:p>
            <w:pPr>
              <w:ind w:left="820"/>
              <w:spacing w:after="0"/>
              <w:rPr>
                <w:sz w:val="20"/>
                <w:szCs w:val="20"/>
                <w:color w:val="auto"/>
              </w:rPr>
            </w:pPr>
            <w:r>
              <w:rPr>
                <w:rFonts w:ascii="Arial" w:cs="Arial" w:eastAsia="Arial" w:hAnsi="Arial"/>
                <w:sz w:val="16"/>
                <w:szCs w:val="16"/>
                <w:color w:val="auto"/>
              </w:rPr>
              <w:t>of acquisitions: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5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Trade receivables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13"/>
        </w:trPr>
        <w:tc>
          <w:tcPr>
            <w:tcW w:w="5240" w:type="dxa"/>
            <w:vAlign w:val="bottom"/>
          </w:tcPr>
          <w:p>
            <w:pPr>
              <w:ind w:left="11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5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r>
      <w:tr>
        <w:trPr>
          <w:trHeight w:val="213"/>
        </w:trPr>
        <w:tc>
          <w:tcPr>
            <w:tcW w:w="5240" w:type="dxa"/>
            <w:vAlign w:val="bottom"/>
          </w:tcPr>
          <w:p>
            <w:pPr>
              <w:ind w:left="110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4,752</w:t>
            </w:r>
          </w:p>
        </w:tc>
      </w:tr>
      <w:tr>
        <w:trPr>
          <w:trHeight w:val="219"/>
        </w:trPr>
        <w:tc>
          <w:tcPr>
            <w:tcW w:w="5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Lease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110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2,116</w:t>
            </w:r>
          </w:p>
        </w:tc>
      </w:tr>
      <w:tr>
        <w:trPr>
          <w:trHeight w:val="219"/>
        </w:trPr>
        <w:tc>
          <w:tcPr>
            <w:tcW w:w="52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r>
      <w:tr>
        <w:trPr>
          <w:trHeight w:val="207"/>
        </w:trPr>
        <w:tc>
          <w:tcPr>
            <w:tcW w:w="5240" w:type="dxa"/>
            <w:vAlign w:val="bottom"/>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58,902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47,990</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524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(20,794)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(12,618)</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13"/>
        </w:trPr>
        <w:tc>
          <w:tcPr>
            <w:tcW w:w="52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(12,343)</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(11,975)</w:t>
            </w:r>
          </w:p>
        </w:tc>
      </w:tr>
      <w:tr>
        <w:trPr>
          <w:trHeight w:val="213"/>
        </w:trPr>
        <w:tc>
          <w:tcPr>
            <w:tcW w:w="5240" w:type="dxa"/>
            <w:vAlign w:val="bottom"/>
          </w:tcPr>
          <w:p>
            <w:pPr>
              <w:ind w:left="340"/>
              <w:spacing w:after="0"/>
              <w:rPr>
                <w:sz w:val="20"/>
                <w:szCs w:val="20"/>
                <w:color w:val="auto"/>
              </w:rPr>
            </w:pPr>
            <w:r>
              <w:rPr>
                <w:rFonts w:ascii="Arial" w:cs="Arial" w:eastAsia="Arial" w:hAnsi="Arial"/>
                <w:sz w:val="16"/>
                <w:szCs w:val="16"/>
                <w:color w:val="auto"/>
              </w:rPr>
              <w:t>New shares issued</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3"/>
        </w:trPr>
        <w:tc>
          <w:tcPr>
            <w:tcW w:w="524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(4,352)</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debt issuance costs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5240" w:type="dxa"/>
            <w:vAlign w:val="bottom"/>
          </w:tcPr>
          <w:p>
            <w:pPr>
              <w:ind w:left="340"/>
              <w:spacing w:after="0"/>
              <w:rPr>
                <w:sz w:val="20"/>
                <w:szCs w:val="20"/>
                <w:color w:val="auto"/>
              </w:rPr>
            </w:pPr>
            <w:r>
              <w:rPr>
                <w:rFonts w:ascii="Arial" w:cs="Arial" w:eastAsia="Arial" w:hAnsi="Arial"/>
                <w:sz w:val="16"/>
                <w:szCs w:val="16"/>
                <w:color w:val="auto"/>
              </w:rPr>
              <w:t>Payments on senior secured term loan</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senior secured revolving credit facility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w:t>
            </w:r>
          </w:p>
        </w:tc>
      </w:tr>
      <w:tr>
        <w:trPr>
          <w:trHeight w:val="213"/>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revolver borrowings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93,000</w:t>
            </w:r>
          </w:p>
        </w:tc>
      </w:tr>
      <w:tr>
        <w:trPr>
          <w:trHeight w:val="213"/>
        </w:trPr>
        <w:tc>
          <w:tcPr>
            <w:tcW w:w="52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(31,438)</w:t>
            </w:r>
          </w:p>
        </w:tc>
      </w:tr>
      <w:tr>
        <w:trPr>
          <w:trHeight w:val="157"/>
        </w:trPr>
        <w:tc>
          <w:tcPr>
            <w:tcW w:w="5240" w:type="dxa"/>
            <w:vAlign w:val="bottom"/>
          </w:tcPr>
          <w:p>
            <w:pPr>
              <w:ind w:left="180"/>
              <w:spacing w:after="0" w:line="158" w:lineRule="exact"/>
              <w:rPr>
                <w:sz w:val="20"/>
                <w:szCs w:val="20"/>
                <w:color w:val="auto"/>
              </w:rPr>
            </w:pPr>
            <w:r>
              <w:rPr>
                <w:rFonts w:ascii="Arial" w:cs="Arial" w:eastAsia="Arial" w:hAnsi="Arial"/>
                <w:sz w:val="16"/>
                <w:szCs w:val="16"/>
                <w:color w:val="auto"/>
              </w:rPr>
              <w:t>NET (DECREASE) INCREASE IN CASH AND CASH</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8"/>
        </w:trPr>
        <w:tc>
          <w:tcPr>
            <w:tcW w:w="5240" w:type="dxa"/>
            <w:vAlign w:val="bottom"/>
          </w:tcPr>
          <w:p>
            <w:pPr>
              <w:ind w:left="180"/>
              <w:spacing w:after="0"/>
              <w:rPr>
                <w:sz w:val="20"/>
                <w:szCs w:val="20"/>
                <w:color w:val="auto"/>
              </w:rPr>
            </w:pPr>
            <w:r>
              <w:rPr>
                <w:rFonts w:ascii="Arial" w:cs="Arial" w:eastAsia="Arial" w:hAnsi="Arial"/>
                <w:sz w:val="16"/>
                <w:szCs w:val="16"/>
                <w:color w:val="auto"/>
              </w:rPr>
              <w:t>EQUIVALENTS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4,209</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 -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w:t>
            </w:r>
          </w:p>
        </w:tc>
      </w:tr>
      <w:tr>
        <w:trPr>
          <w:trHeight w:val="206"/>
        </w:trPr>
        <w:tc>
          <w:tcPr>
            <w:tcW w:w="5240" w:type="dxa"/>
            <w:vAlign w:val="bottom"/>
          </w:tcPr>
          <w:p>
            <w:pPr>
              <w:ind w:left="340"/>
              <w:spacing w:after="0"/>
              <w:rPr>
                <w:sz w:val="20"/>
                <w:szCs w:val="20"/>
                <w:color w:val="auto"/>
              </w:rPr>
            </w:pPr>
            <w:r>
              <w:rPr>
                <w:rFonts w:ascii="Arial" w:cs="Arial" w:eastAsia="Arial" w:hAnsi="Arial"/>
                <w:sz w:val="16"/>
                <w:szCs w:val="16"/>
                <w:color w:val="auto"/>
              </w:rPr>
              <w:t>CASH AND CASH EQUIVALENTS -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47"/>
        </w:trPr>
        <w:tc>
          <w:tcPr>
            <w:tcW w:w="5240" w:type="dxa"/>
            <w:vAlign w:val="bottom"/>
            <w:shd w:val="clear" w:color="auto" w:fill="CCEEFF"/>
          </w:tcPr>
          <w:p>
            <w:pPr>
              <w:ind w:left="180"/>
              <w:spacing w:after="0" w:line="148" w:lineRule="exact"/>
              <w:rPr>
                <w:sz w:val="20"/>
                <w:szCs w:val="20"/>
                <w:color w:val="auto"/>
              </w:rPr>
            </w:pPr>
            <w:r>
              <w:rPr>
                <w:rFonts w:ascii="Arial" w:cs="Arial" w:eastAsia="Arial" w:hAnsi="Arial"/>
                <w:sz w:val="16"/>
                <w:szCs w:val="16"/>
                <w:color w:val="auto"/>
              </w:rPr>
              <w:t>SUPPLEMENTAL DISCLOSURES OF CASH FLOW</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01"/>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INFORMATION-</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240" w:type="dxa"/>
            <w:vAlign w:val="bottom"/>
          </w:tcPr>
          <w:p>
            <w:pPr>
              <w:ind w:left="340"/>
              <w:spacing w:after="0"/>
              <w:rPr>
                <w:sz w:val="20"/>
                <w:szCs w:val="20"/>
                <w:color w:val="auto"/>
              </w:rPr>
            </w:pPr>
            <w:r>
              <w:rPr>
                <w:rFonts w:ascii="Arial" w:cs="Arial" w:eastAsia="Arial" w:hAnsi="Arial"/>
                <w:sz w:val="16"/>
                <w:szCs w:val="16"/>
                <w:color w:val="auto"/>
              </w:rPr>
              <w:t>Cash paid during the year for income taxes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15,783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11,415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7,589</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r>
      <w:tr>
        <w:trPr>
          <w:trHeight w:val="177"/>
        </w:trPr>
        <w:tc>
          <w:tcPr>
            <w:tcW w:w="5240" w:type="dxa"/>
            <w:vAlign w:val="bottom"/>
          </w:tcPr>
          <w:p>
            <w:pPr>
              <w:ind w:left="340"/>
              <w:spacing w:after="0" w:line="178" w:lineRule="exact"/>
              <w:rPr>
                <w:sz w:val="20"/>
                <w:szCs w:val="20"/>
                <w:color w:val="auto"/>
              </w:rPr>
            </w:pPr>
            <w:r>
              <w:rPr>
                <w:rFonts w:ascii="Arial" w:cs="Arial" w:eastAsia="Arial" w:hAnsi="Arial"/>
                <w:sz w:val="16"/>
                <w:szCs w:val="16"/>
                <w:color w:val="auto"/>
              </w:rPr>
              <w:t>Noncash investing activities - Capital expenditures in accounts</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5"/>
        </w:trPr>
        <w:tc>
          <w:tcPr>
            <w:tcW w:w="5240" w:type="dxa"/>
            <w:vAlign w:val="bottom"/>
          </w:tcPr>
          <w:p>
            <w:pPr>
              <w:ind w:left="340"/>
              <w:spacing w:after="0"/>
              <w:rPr>
                <w:sz w:val="20"/>
                <w:szCs w:val="20"/>
                <w:color w:val="auto"/>
              </w:rPr>
            </w:pPr>
            <w:r>
              <w:rPr>
                <w:rFonts w:ascii="Arial" w:cs="Arial" w:eastAsia="Arial" w:hAnsi="Arial"/>
                <w:sz w:val="16"/>
                <w:szCs w:val="16"/>
                <w:color w:val="auto"/>
              </w:rPr>
              <w:t>payable</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495</w:t>
            </w:r>
          </w:p>
        </w:tc>
      </w:tr>
    </w:tbl>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960" w:top="684" w:right="9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Nature of Business - </w:t>
      </w:r>
      <w:r>
        <w:rPr>
          <w:rFonts w:ascii="Arial" w:cs="Arial" w:eastAsia="Arial" w:hAnsi="Arial"/>
          <w:sz w:val="18"/>
          <w:szCs w:val="18"/>
          <w:color w:val="auto"/>
        </w:rPr>
        <w:t>We have three reportable segments: Industrial, Water Treatment and Health and Nutrition. The Industrial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specializes in providing industrial chemicals, products and services to industries such as agriculture, chemical processing, electronics, energy, food, pharmaceutical and plating. This group also manufactures and sells certain food-grade products, including liquid phosphates, lactates and other blended products. The Water Treatment Group specializes in providing chemicals, equipment and solutions for potable water, municipal and industrial wastewater, industrial process water and non-residential swimming pool water. This group has the resources and flexibility to treat systems ranging in size from a single small well to a multi-million-gallon-per-day facility.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years ended March 28,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2021”), March 29, 2020 (“fiscal 2020”) and March 31, 2019 (“fiscal 2019”) were 52 weeks. The fiscal year ending April 3, 2022 (“fiscal 2022”) will be 53 weeks.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All intercompany transactions and accounts have been eliminated.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Estimates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in conformity with U.S. generally accepted accounting principles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 </w:t>
      </w:r>
      <w:r>
        <w:rPr>
          <w:rFonts w:ascii="Arial" w:cs="Arial" w:eastAsia="Arial" w:hAnsi="Arial"/>
          <w:sz w:val="18"/>
          <w:szCs w:val="18"/>
          <w:color w:val="auto"/>
        </w:rPr>
        <w:t>Revenue is measured as the amount of consideration we expect to receive in exchange for transferring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recognized when we satisfy our performance obligations under the contract. We recognize revenue upon transfer of control of the promised products to the customer, with revenue recognized at the point in time the customer obtains control of the products. Net sales include products and shipping charges, net of estimates for product returns and any related sales rebates.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shipping and the handling of products are included in cost of sales.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interest rate swap and marketable securities. There are no fair value measurements with respect to nonfinancial assets or liabilities that are recognized or disclosed at fair value in our consolidated financial statements on a recurring basis.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on quoted prices in active markets for identical assets or liabilities.</w:t>
      </w:r>
    </w:p>
    <w:p>
      <w:pPr>
        <w:spacing w:after="0" w:line="252" w:lineRule="exact"/>
        <w:rPr>
          <w:sz w:val="20"/>
          <w:szCs w:val="20"/>
          <w:color w:val="auto"/>
        </w:rPr>
      </w:pPr>
    </w:p>
    <w:p>
      <w:pPr>
        <w:jc w:val="both"/>
        <w:ind w:left="220" w:firstLine="243"/>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quoted prices in active markets for similar assets or liabilities, or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observable or can be corroborated by observable market data for the asset or liability.</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7" w:lineRule="exact"/>
        <w:rPr>
          <w:sz w:val="20"/>
          <w:szCs w:val="20"/>
          <w:color w:val="auto"/>
        </w:rPr>
      </w:pPr>
    </w:p>
    <w:p>
      <w:pPr>
        <w:jc w:val="both"/>
        <w:ind w:left="220" w:firstLine="243"/>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unobservable inputs for the asset or liability that are supported by little or no market activity.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determined using pricing models for which the assumptions utilize management’s estimates or market participant assumptions.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original maturity of three months or less. The cash balances, maintained at large commercial banking institutions with strong credit ratings, may, at times, exceed federally insured limits.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Trade Receivables and Concentrations of Credit Risk - </w:t>
      </w:r>
      <w:r>
        <w:rPr>
          <w:rFonts w:ascii="Arial" w:cs="Arial" w:eastAsia="Arial" w:hAnsi="Arial"/>
          <w:sz w:val="18"/>
          <w:szCs w:val="18"/>
          <w:color w:val="auto"/>
        </w:rPr>
        <w:t>Financial instruments, which potentially subject us to a concentration of credit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principally consist of trade receivables. We sell our principal products to a large number of customers in many different industries. As of March 28, 2021, we had a significant concentration of credit risk, with a single customer representing approximately 20% of our total trade receivables. There are no other concentrations of credit risk with other single customers from a particular service or geographic area that would significantly impact us in the near term.</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reduce credit risk, we routinely assess the financial strength of our customers. Receivables are reported net of an allowance for credit losses as determined by management at the end of each reporting period. Our receivable allowance in based on an estimate of expected credit losses, with the estimate based on a number of qualitative and quantitative factors that, based on collection experience, may have an impact on repayment risk and ability to collect.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68% of our inventory determined using the last-in, first-out (“LIFO”) method. Cost for the other 32% of our total inventory is determined using the first-in, first-out (“FIFO”) method.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determines if an arrangement is a lease at inception. Right-of-use ("ROU") assets include operating leases.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for operating leases are classified in "short-term lease liabilities" and "long-term lease liabilities" in our condensed consolidated balance sheet.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ROU assets and related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Lease terms may include options to extend or terminate the lease when it is reasonably certain that we will exercise that option. Lease expense for lease payments is recognized on a straight-line basis over the lease term.</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Estimated lives are: 10 to 40 years for buildings and improvements; 3 to 20 years for machinery and equipment; and 3 to 10 years for transportation equipment and office furniture and equipment including computer systems. Leasehold improvements are amortized over the lesser of their estimated useful lives or the remaining lease term. Depreciation and amortization expense is recorded in our Consolidated Statement of Income within cost of goods sold and selling, general and administrative expense, depending on the use of the underlying asset. We recorded depreciation expense of $16.8 million for fiscal 2021, $16.5 million for fiscal 2020 and $16.3 million for fiscal 2019,</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asset group.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We incurred asset write-off charges of $0.2 million during fiscal 2021 and $0.6 million during fiscal 2020.</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Goodwill and Identifiable Intangible Assets - </w:t>
      </w:r>
      <w:r>
        <w:rPr>
          <w:rFonts w:ascii="Arial" w:cs="Arial" w:eastAsia="Arial" w:hAnsi="Arial"/>
          <w:sz w:val="18"/>
          <w:szCs w:val="18"/>
          <w:color w:val="auto"/>
        </w:rPr>
        <w:t>Goodwill represents the excess of the cost of acquired businesses over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December 28, 2020, we performed an analysis of qualitative factors for our Industrial, Water Treatment and Health and Nutrition reporting units to determine whether it is more likely than not that the fair value of either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any of these reporting units.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impairment assessments were also completed in the fourth quarters of fiscal 2020 and 2019 and similarly, we did not record a goodwill impairment charge.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primary identifiable intangible assets include customer lists, trade secrets, non-competition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No such events or changes in circumstances occurred during fiscal 2021, 2020 or 2019.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an annual quantitative impairment test for fiscal 2021. Impairment assessments were also completed in the fourth quarters of fiscal 2020 and 2019 which resulted in no impairment charges for either of these fiscal years.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tax expense in the period that includes the enactment date. The deferred tax assets and liabilities are analyzed regularly, and management assesses the likelihood that deferred tax assets will be recovered from future taxable income. We record any interest and penalties related to income taxes as income tax expense in the consolidated statements of income.</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effects of income tax positions are recognized only if those positions are more likely than not of being sustained. Changes in recognition or measurement are made as facts and circumstances change.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award is recognized in expense over the requisite service period (generally the vesting period). Non-vested share awards are recorded as expense over the requisite service periods based on the stock price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EPS are computed by dividing net income by the weighted-average number of common shares outstanding including the incremental shares assumed to be issued as performance units and restricted stock. Basic and diluted EPS were calculated using the following: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28, 2021</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29, 2020</w:t>
            </w:r>
          </w:p>
        </w:tc>
        <w:tc>
          <w:tcPr>
            <w:tcW w:w="170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21,024,344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21,159,978</w:t>
            </w:r>
          </w:p>
        </w:tc>
        <w:tc>
          <w:tcPr>
            <w:tcW w:w="1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21,309,774</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stock performance units and restricted stock</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235,952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148,822</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142,578</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21,260,296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21,308,800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21,452,352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There were no shares or stock options excluded from the calculation of weighted average common shares for diluted EPS for fiscal 2021, 2020 or 2019.</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Stock Split - </w:t>
      </w:r>
      <w:r>
        <w:rPr>
          <w:rFonts w:ascii="Arial" w:cs="Arial" w:eastAsia="Arial" w:hAnsi="Arial"/>
          <w:sz w:val="18"/>
          <w:szCs w:val="18"/>
          <w:color w:val="auto"/>
        </w:rPr>
        <w:t>On March 1, 2021, we effected a two-for-one stock split of our common stock and adjusted the par value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$.01 par value. Our consolidated financial statements, related notes, and other financial data contained in this report have been adjusted to give retroactive effect to the stock split for all periods presented.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are subject to interest rate risk associated with our variable rate debt. We had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swap agreement which was designated as a cash flow hedge, the purpose of which was to eliminate the cash flow impact of interest rate changes on a portion of our variable-rate debt. The interest rate swap agreement terminated on December 23, 2020. The hedge was measured at fair value on the contract date and was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Statement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 Simplifying the Accounting for Income Taxes</w:t>
      </w:r>
      <w:r>
        <w:rPr>
          <w:rFonts w:ascii="Arial" w:cs="Arial" w:eastAsia="Arial" w:hAnsi="Arial"/>
          <w:sz w:val="18"/>
          <w:szCs w:val="18"/>
          <w:color w:val="auto"/>
        </w:rPr>
        <w:t>, removing certain exceptions for investments, intra-period allocations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calculations and adding guidance to reduce complexity in accounting for income taxes. The accounting standard will be effective for reporting periods beginning after December 15, 2020. Early adoption of this guidance is permitted. The accounting standard is effective for reporting periods beginning after December 15, 2020 and is not expected to have a material impact on the Company's consolidated financial position, results of operations and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that any other recently issued accounting pronouncements will have a material effect on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The amendments in this update replaced the incurred loss impairment methodology in previous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on instruments within its scope, including trade receivables. This update is intended to provide financial statement users with more decision-useful information about the expected credit losses. We adopted this guidance on March 30, 2020. Our adoption of this ASU impacted our method for calculating and estimating our allowance for doubtful accounts but did not have a material impact to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Acquisition of American Development Corporation of Tennessee, Inc.</w:t>
      </w:r>
      <w:r>
        <w:rPr>
          <w:rFonts w:ascii="Arial" w:cs="Arial" w:eastAsia="Arial" w:hAnsi="Arial"/>
          <w:sz w:val="18"/>
          <w:szCs w:val="18"/>
          <w:color w:val="auto"/>
        </w:rPr>
        <w:t>: On July 28, 2020, we acquired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Development Corporation of Tennessee, Inc. (“ADC”) under the terms of an asset purchase agreement among us, ADC and its shareholders. We paid $25 million for the acquisition, using funds available under our revolving credit facility with U.S. Bank National Association to fund the acquisition. ADC was a water treatment chemical distribution company operating primarily in Tennessee, Georgia and Kentucky.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acquisition has been accounted for as a business combination, under which the total purchase price is allocated to the net tangible and intangible assets and liabilities of ADC acquired in connection with the acquisition based on their estimated fair values. We estimated the fair values of the assets acquired and liabilities assumed using a discounted cash flow analysis (income approach). Of the $25 million purchase price, we allocated $13.3 million to finite-lived intangible assets, primarily customer relationships to be amortized over 17 years, $1.6 million to property, plant and equipment, and $ 0.9 million to net working capital. The residual amount of $9.2 million was allocated to goodwill. The goodwill recognized as a result of this acquisition is primarily attributable to strategic and synergistic benefits, as well as the assembled workforce. Such goodwill is expected to be deductible for tax purposes. The purchase price allocation is final.</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Acquisition of Property</w:t>
      </w:r>
      <w:r>
        <w:rPr>
          <w:rFonts w:ascii="Arial" w:cs="Arial" w:eastAsia="Arial" w:hAnsi="Arial"/>
          <w:sz w:val="18"/>
          <w:szCs w:val="18"/>
          <w:color w:val="auto"/>
        </w:rPr>
        <w:t>: On December 16, 2020, we acquired a manufacturing facility on 28 acres located adjacent to our facility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Rosemount, Minnesota to allow further expansion and growth in both our Industrial and Water Treatment segments. We paid $10 million for the property. The purchase of this facility adds approximately 40,000 square feet of manufacturing and warehouse space to bring us to a total of 105,000 square feet of space on 56 acres of land in the area, with rail access at both of the sites to allow for future growth and provide for supply chain flexibility on certain raw materials to better serve our customers.</w:t>
      </w:r>
    </w:p>
    <w:p>
      <w:pPr>
        <w:spacing w:after="0" w:line="22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This acquisition has been accounted for as an asset acquisition, under which the total purchase price is allocated to the net tangible assets acquired based on their estimated fair values. Of the $10 million purchase price, $4.6 million was allocated to buildings, $3.7 million was allocated to land, $1.4 million was allocated to equipment, and $0.3 million was allocated to site improvements.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Acquisition of C&amp;L Aqua Professionals, Inc. and LC Blending, Inc.</w:t>
      </w:r>
      <w:r>
        <w:rPr>
          <w:rFonts w:ascii="Arial" w:cs="Arial" w:eastAsia="Arial" w:hAnsi="Arial"/>
          <w:sz w:val="18"/>
          <w:szCs w:val="18"/>
          <w:color w:val="auto"/>
        </w:rPr>
        <w:t>: On December 30, 2020, we acquired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C&amp;L Aqua Professionals, Inc. and LC Blending, Inc. (together, "C&amp;L Aqua") under the terms of an asset purchase agreement among us, C&amp;L Aqua and its shareholders. We paid $16 million for the acquisition, using funds available under our revolving credit facility with U.S. Bank National Association to fund the acquisition. C&amp;L Aqua was a water treatment chemical distribution company operating primarily in Louisiana.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acquisition has been accounted for as a business combination, under which the total purchase price is allocated to the net tangible and intangible assets and liabilities of C&amp;L Aqua acquired in connection with the acquisition based on their estimated fair values. We estimated the fair values of the assets acquired and liabilities assumed using a discounted cash flow analysis (income approach). Of the $16 million purchase price, we preliminarily allocated $8.2 million to finite-lived intangible assets, primarily customer relationships to be amortized over 18 years, $ 3.6 million to property, plant and equipment, and $1.1 million to net working capital. The residual amount of $3.1 million was allocated to goodwill. The goodwill recognized as a result of this acquisition is primarily attributable to strategic and synergistic benefits, as well as the assembled workforce. Such goodwill is expected to be deductible for tax purposes. The purchase price allocation is preliminary pending finalization of a construction project at the acquired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NOTES TO CONSOLIDATED FINANCIAL STATEMENTS</w:t>
      </w:r>
      <w:r>
        <w:rPr>
          <w:rFonts w:ascii="Arial" w:cs="Arial" w:eastAsia="Arial" w:hAnsi="Arial"/>
          <w:sz w:val="17"/>
          <w:szCs w:val="17"/>
          <w:b w:val="1"/>
          <w:bCs w:val="1"/>
          <w:color w:val="auto"/>
        </w:rPr>
        <w:t xml:space="preserve"> — (Continued)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0" w:lineRule="exact"/>
        <w:rPr>
          <w:sz w:val="20"/>
          <w:szCs w:val="20"/>
          <w:color w:val="auto"/>
        </w:rPr>
      </w:pPr>
    </w:p>
    <w:p>
      <w:pPr>
        <w:ind w:left="20" w:right="560"/>
        <w:spacing w:after="0" w:line="224"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0" w:lineRule="exact"/>
        <w:rPr>
          <w:sz w:val="20"/>
          <w:szCs w:val="20"/>
          <w:color w:val="auto"/>
        </w:rPr>
      </w:pPr>
    </w:p>
    <w:p>
      <w:pPr>
        <w:ind w:left="20" w:right="560"/>
        <w:spacing w:after="0" w:line="224"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0" w:lineRule="exact"/>
        <w:rPr>
          <w:sz w:val="20"/>
          <w:szCs w:val="20"/>
          <w:color w:val="auto"/>
        </w:rPr>
      </w:pPr>
    </w:p>
    <w:p>
      <w:pPr>
        <w:ind w:left="20" w:right="560"/>
        <w:spacing w:after="0" w:line="224"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Fiscal Year Ended March 28,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38,378</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115,317</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169,762</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231,427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152,694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422,391</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596,871</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-479425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-187960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Fiscal Year Ended March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-125095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49,864</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18,481</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90,065</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158,410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222,161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376,848</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275,224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540,198</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-633730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-333375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-16510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Fiscal Year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20320</wp:posOffset>
            </wp:positionV>
            <wp:extent cx="7132320" cy="266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60,947</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109,067</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191,827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216,874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358,775</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281,860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149,490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124,976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556,326</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-479425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-187960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60"/>
          </w:cols>
          <w:pgMar w:left="320" w:top="118" w:right="339" w:bottom="1440" w:gutter="0" w:footer="0" w:header="0"/>
          <w:type w:val="continuous"/>
        </w:sectPr>
      </w:pPr>
    </w:p>
    <w:p>
      <w:pPr>
        <w:spacing w:after="0" w:line="396" w:lineRule="exact"/>
        <w:rPr>
          <w:sz w:val="20"/>
          <w:szCs w:val="20"/>
          <w:color w:val="auto"/>
        </w:rPr>
      </w:pPr>
    </w:p>
    <w:p>
      <w:pPr>
        <w:jc w:val="both"/>
        <w:ind w:left="660" w:hanging="328"/>
        <w:spacing w:after="0" w:line="246" w:lineRule="auto"/>
        <w:tabs>
          <w:tab w:leader="none" w:pos="66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6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previously had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$20 million swap agreement terminated on December 23, 2020. We had designated this swap as a cash flow hedge and determined that it qualified for hedge accounting treatment. For so long as the hedge was effective, changes in fair value of the cash flow hedge were recorded in other comprehensive income or loss (net of tax) until income or loss from the cash flows of the hedged item was realized.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March 28, 2021, we recorded $0.1 million in other comprehensive income related to unrealized gains (net of tax) on the cash flow hedge. For the years ended March 29, 2020 and March 31, 2019, we recorded $0.4 million and $0.3 million in other comprehensive income related to unrealized losses (net of tax) on the cash flow hedge described above. Included in other current liabilities on our condensed consolidated balance sheet was $0.1 million as of March 29, 2020. Included in other long-term assets on our condensed consolidated balance sheet was $0.4 million as of March 31, 2019.</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While the interest rate swap was in effect, we did not anticipate nonperformance by the counterparty.</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which term ended in fiscal 2021, and assets held in a deferred compensation retirement plan. As of March 28, 2021, the assets held in a deferred compensation retirement plan is classified as other long-term assets on our balance sheet, with the portion of the plan assets expected to be paid within twelve months classified as current assets. As of March 29, 2020, the assets held in a deferred compensation retirement plan is classified as other long-term assets on our balance sheet, with the portion of the plan assets expected to be paid within twelve months classified as current assets and the interest rate swap is classified as other current liabilities on our balance sheet. The fair value of the interest rate swap was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balances of assets or liabilities measured at fair value on a recurring basis as of March 28, 2021 and March 29,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March 28, 2021</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March 29, 2020</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Deferred compensation plan assets</w:t>
            </w:r>
          </w:p>
        </w:tc>
        <w:tc>
          <w:tcPr>
            <w:tcW w:w="2560" w:type="dxa"/>
            <w:vAlign w:val="bottom"/>
          </w:tcPr>
          <w:p>
            <w:pPr>
              <w:ind w:left="1720"/>
              <w:spacing w:after="0"/>
              <w:rPr>
                <w:sz w:val="20"/>
                <w:szCs w:val="20"/>
                <w:color w:val="auto"/>
              </w:rPr>
            </w:pPr>
            <w:r>
              <w:rPr>
                <w:rFonts w:ascii="Arial" w:cs="Arial" w:eastAsia="Arial" w:hAnsi="Arial"/>
                <w:sz w:val="14"/>
                <w:szCs w:val="14"/>
                <w:color w:val="auto"/>
              </w:rPr>
              <w:t>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5,946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3,564</w:t>
            </w:r>
          </w:p>
        </w:tc>
      </w:tr>
      <w:tr>
        <w:trPr>
          <w:trHeight w:val="270"/>
        </w:trPr>
        <w:tc>
          <w:tcPr>
            <w:tcW w:w="478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w:t>
            </w:r>
          </w:p>
        </w:tc>
        <w:tc>
          <w:tcPr>
            <w:tcW w:w="25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Level 2</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Assets Held for Sale</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assets held for sale as of March 28, 2021 is $0.7 million for an office building in St. Louis, Missouri currently utilized in the administration of our Industrial segment, which is expected to be sold in the first quarter of fiscal 2022, and $ 0.2 million for a water treatment branch located in Eldridge, Iowa, which has been relocated to another owned facility and was sold in the first quarter of fiscal 2022. At March 29, 2020, $0.9 million was included in assets held for sale pertaining to the St. Louis building. These amounts are recorded as assets held for sale within prepaid expenses and other current assets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March 28, 2021 and March 29, 2020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r>
      <w:tr>
        <w:trPr>
          <w:trHeight w:val="183"/>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60,090</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FIFO value of inventories accounted for under the LIFO method was $46.8 million at March 28, 2021 and $43.3 million at March 29, 2020.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Identifiable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each of our three reportable segments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1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Industrial</w:t>
            </w:r>
          </w:p>
        </w:tc>
        <w:tc>
          <w:tcPr>
            <w:tcW w:w="1380" w:type="dxa"/>
            <w:vAlign w:val="bottom"/>
            <w:gridSpan w:val="4"/>
            <w:vMerge w:val="restart"/>
          </w:tcPr>
          <w:p>
            <w:pPr>
              <w:jc w:val="right"/>
              <w:ind w:right="30"/>
              <w:spacing w:after="0"/>
              <w:rPr>
                <w:sz w:val="20"/>
                <w:szCs w:val="20"/>
                <w:color w:val="auto"/>
              </w:rPr>
            </w:pPr>
            <w:r>
              <w:rPr>
                <w:rFonts w:ascii="Arial" w:cs="Arial" w:eastAsia="Arial" w:hAnsi="Arial"/>
                <w:sz w:val="14"/>
                <w:szCs w:val="14"/>
                <w:b w:val="1"/>
                <w:bCs w:val="1"/>
                <w:color w:val="auto"/>
              </w:rPr>
              <w:t>Water Treatment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Health and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780" w:type="dxa"/>
            <w:vAlign w:val="bottom"/>
            <w:tcBorders>
              <w:bottom w:val="single" w:sz="8" w:color="CCEEFF"/>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Nutrition</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2019 and March 29,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58,440</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Addition due to acquisitions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28,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70,720</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520" w:type="dxa"/>
            <w:vAlign w:val="bottom"/>
            <w:gridSpan w:val="8"/>
          </w:tcPr>
          <w:p>
            <w:pPr>
              <w:spacing w:after="0"/>
              <w:rPr>
                <w:sz w:val="20"/>
                <w:szCs w:val="20"/>
                <w:color w:val="auto"/>
              </w:rPr>
            </w:pPr>
            <w:r>
              <w:rPr>
                <w:rFonts w:ascii="Arial" w:cs="Arial" w:eastAsia="Arial" w:hAnsi="Arial"/>
                <w:sz w:val="18"/>
                <w:szCs w:val="18"/>
                <w:color w:val="auto"/>
              </w:rPr>
              <w:t>The following is a summary of our identifiable intangible assets as of March 28, 2021 and March 29, 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Gross 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99,588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(26,522)</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73,066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finite-life intangible assets</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(3,693)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75,141</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Indefinite-life intangible assets</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(34,490)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1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Gross 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78,383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(21,400)</w:t>
            </w:r>
          </w:p>
        </w:tc>
        <w:tc>
          <w:tcPr>
            <w:tcW w:w="4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finite-life intangible assets</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89,303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$5.8 million during fiscal 2021, $5.1 million during fiscal 2020, and $5.5 million during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52"/>
              <w:spacing w:after="0"/>
              <w:rPr>
                <w:sz w:val="20"/>
                <w:szCs w:val="20"/>
                <w:color w:val="auto"/>
              </w:rPr>
            </w:pPr>
            <w:r>
              <w:rPr>
                <w:rFonts w:ascii="Arial" w:cs="Arial" w:eastAsia="Arial" w:hAnsi="Arial"/>
                <w:sz w:val="16"/>
                <w:szCs w:val="16"/>
                <w:b w:val="1"/>
                <w:bCs w:val="1"/>
                <w:color w:val="auto"/>
              </w:rPr>
              <w:t>Intangible</w:t>
            </w:r>
          </w:p>
        </w:tc>
      </w:tr>
      <w:tr>
        <w:trPr>
          <w:trHeight w:val="216"/>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Assets</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6,159</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6,112</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30"/>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44,511</w:t>
            </w: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6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have in place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 We may use the Revolving Loan Facility for working capital, capital expenditures, share repurchases, restricted payments and acquisitions permitted under the Credit Agreement, and other general corporate purposes.</w:t>
      </w:r>
    </w:p>
    <w:p>
      <w:pPr>
        <w:spacing w:after="0" w:line="21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At March 28, 2021, the effective interest rate on our borrowings was 1.1%. 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23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Debt issuance costs of $0.2 million paid to the lenders in connection with the Credit Agreement, as well as unamortized debt issuance costs of $0.3 million paid in connection with the previous credit facility, are reflected as a reduction of debt and are being amortized as interest expense over the term of the Revolving Loan Facility.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Debt at March 28, 2021 and March 29, 2020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28, 2021</w:t>
            </w:r>
          </w:p>
        </w:tc>
        <w:tc>
          <w:tcPr>
            <w:tcW w:w="160" w:type="dxa"/>
            <w:vAlign w:val="bottom"/>
          </w:tcPr>
          <w:p>
            <w:pPr>
              <w:spacing w:after="0"/>
              <w:rPr>
                <w:sz w:val="14"/>
                <w:szCs w:val="14"/>
                <w:color w:val="auto"/>
              </w:rPr>
            </w:pPr>
          </w:p>
        </w:tc>
        <w:tc>
          <w:tcPr>
            <w:tcW w:w="1320" w:type="dxa"/>
            <w:vAlign w:val="bottom"/>
          </w:tcPr>
          <w:p>
            <w:pPr>
              <w:jc w:val="right"/>
              <w:ind w:right="153"/>
              <w:spacing w:after="0"/>
              <w:rPr>
                <w:sz w:val="20"/>
                <w:szCs w:val="20"/>
                <w:color w:val="auto"/>
              </w:rPr>
            </w:pPr>
            <w:r>
              <w:rPr>
                <w:rFonts w:ascii="Arial" w:cs="Arial" w:eastAsia="Arial" w:hAnsi="Arial"/>
                <w:sz w:val="14"/>
                <w:szCs w:val="14"/>
                <w:b w:val="1"/>
                <w:bCs w:val="1"/>
                <w:color w:val="auto"/>
              </w:rPr>
              <w:t>March 29, 2020</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Senior secured revolving loan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99,000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20" w:type="dxa"/>
            <w:vAlign w:val="bottom"/>
          </w:tcPr>
          <w:p>
            <w:pPr>
              <w:spacing w:after="0"/>
              <w:rPr>
                <w:sz w:val="19"/>
                <w:szCs w:val="19"/>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Total debt, net of debt issuance costs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59,658</w:t>
            </w: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This performance-based arrangement provides for the grant of performance-based restricted stock units that represent a possible future issuance of restricted shares of our common shares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124,770 shares in the aggregate for fiscal 2021. The restricted shares issued, if any, will fully vest two years after the end of the fiscal year on which the performance is based. We record the compensation expense for the outstanding performance share units and then-converted restricted stock over the life of the awards.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2020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500" w:type="dxa"/>
            <w:vAlign w:val="bottom"/>
          </w:tcPr>
          <w:p>
            <w:pPr>
              <w:spacing w:after="0"/>
              <w:rPr>
                <w:sz w:val="11"/>
                <w:szCs w:val="1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20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76"/>
        </w:trPr>
        <w:tc>
          <w:tcPr>
            <w:tcW w:w="8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138,504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129,626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weighted average grant date fair value of performance-based restricted shares issued in fiscal 2021 was $18.69, fiscal 2020 was $17.25 and fiscal 2019 was $15.68. We recorded compensation expense on performance-based restricted stock of approximately $2.5 million for fiscal 2021, $ 1.5 million for fiscal 2020 and $1.3 million for fiscal 2019, substantially all of which was recorded in selling, general and administrative (“SG&amp;A”) expense in the Consolidated Statements of Income. The total fair value of performance-based restricted stock units vested was $0.2 million in fiscal 2021, $1.3 million in fiscal 2020 and $1.1 million in fiscal 2019.</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share price. Upon issuance of restricted stock, we record compensation expense over the remaining vesting period using the award date closing price. Unrecognized compensation expense related to non-vested restricted stock and non-vested restricted share units as of March 28, 2021 was $3.0 million and is expected to be recognized over a weighted average period of 1.3 years.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part of their retainer, our non-employee directors receive restricted stock for their Board services.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awards are expensed over a one-year vesting period, based on the market value on the date of grant. The following table represents the Board’s restricted stock activity for fiscal 2020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36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32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16,704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Annual expense related to the value of restricted stock was $0.3 million in fiscal 2021, 2020 and 2019, and was recorded in SG&amp;A expense in the Consolidated Statements of Income. Unrecognized compensation expense related to non-vested restricted stock awards as of March 28, 2021 was $0.1 million and is expected to be recognized over a weighted average period of 0.3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has authorized the repurchase of up to 1,600,000 shares of our outstanding common shares. The shares may be repurchased on the open market or in privately negotiated transactions subject to applicable securities laws and regulations. Upon repurchase of the shares, we reduce our common shares for the par value of the shares with the excess applied against additional paid-in capital. We repurchased 166,088 of common shares at an aggregate purchase price of $4.1 million during fiscal 2021. We repurchased 291,166 of common shares at an aggregate purchase price of $5.9 million during fiscal 2020. We repurchased 216,332 of common shares at an aggregate purchase price of $4.4 million during fiscal 2019. As of March 28, 2021, the number of shares available to be purchased under the share repurchase program was 551,506.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Profit Sharing, Employee Stock Ownership, Employee Stock Purchase and Pension Plans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Company Sponsored Plans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our non-bargaining unit employees are eligible to participate in a company-sponsored profit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sharing plan. Contributions are made at our discretion subject to a maximum amount allowed under the Internal Revenue Code (“IRC”). The profit sharing plan contribution level for each employee depends upon date of hire, and was 2.5% or 5.0% of each employee’s eligible compensation for fiscal 2021, 2020 and 2019. We also have in place a retirement plan covering our collective bargaining unit employees. The retirement plan provides for a contribution of 2.5% or 5.0% of each employee’s eligible annual wages depending on their hire date. In addition to the employer contributions described above, both the profit sharing plan and the retirement plan include a 401(k) plan that allows employees to contribute pre-tax earnings up to the maximum amount allowed under the IRC, with an employer match of up to 5% of the employee’s eligible compensation.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two employee stock ownership plans (“ESOPs”), one covering the majority of our non-bargaining unit employees and the other covering our collective bargaining unit employees. Contributions to the plan covering our non-bargaining unit employees are made at our discretion. Contributions to both plans are subject to a maximum amount allowed under the IRC, and were 2.5% or 5.0% of each employee’s eligible wages, depending on each eligible employee’s hire date, for fiscal 2021, 2020 and 2019.</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 sharing plan contribution or the ESOP contributions described above for that plan year. Our contribution to the nonqualified deferred compensation plan for fiscal 2021, 2020 and 2019 was 10% of each employee’s eligible compensation, subject to the maximum amount allowed under the IRC.</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shares at a discount from market. The number of new shares issued under the ESPP was 88,148 in fiscal 2021, 77,100 in fiscal 2020 and 87,356 in fiscal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contribution expense for these company-sponsored plans for fiscal 2021,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Non-bargaining unit employee plans: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Profit sharing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401(k) matching contributions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r>
      <w:tr>
        <w:trPr>
          <w:trHeight w:val="229"/>
        </w:trPr>
        <w:tc>
          <w:tcPr>
            <w:tcW w:w="5780" w:type="dxa"/>
            <w:vAlign w:val="bottom"/>
          </w:tcPr>
          <w:p>
            <w:pPr>
              <w:ind w:left="180"/>
              <w:spacing w:after="0"/>
              <w:rPr>
                <w:sz w:val="20"/>
                <w:szCs w:val="20"/>
                <w:color w:val="auto"/>
              </w:rPr>
            </w:pPr>
            <w:r>
              <w:rPr>
                <w:rFonts w:ascii="Arial" w:cs="Arial" w:eastAsia="Arial" w:hAnsi="Arial"/>
                <w:sz w:val="18"/>
                <w:szCs w:val="18"/>
                <w:color w:val="auto"/>
              </w:rPr>
              <w:t>ESOP</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Nonqualified deferred compensation plan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Bargaining unit employee plans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ESPP - all employees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Total contribution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2013, we withdrew from a collectively bargained multiemployer pension plan and recorded a liability for our share of the unfunded vested benefits. Payments of $467,000 per year are being made through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As of March 28, 2021, there were no material pending legal proceedings, other than ordinary routine litigation incidental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to which we or any of our subsidiaries are a party or of which any of our property is the subject. Legal fees associated with such matters are expensed as incurred.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We have three leases of land which contain terms that state that at the end of the lease term, we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amount of time to remove the property and buildings. Including available lease extensions, these leases expire in 2023, 2033 and 2044.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certain of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28, 2021. We will continue to monitor the factors surrounding the requirement to record an asset retirement obligation and will recognize the fair value of a liability in the period in which it is incurred and a reasonable estimate can be made.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2021, 2020 and 2019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183"/>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current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current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r>
      <w:tr>
        <w:trPr>
          <w:trHeight w:val="142"/>
        </w:trPr>
        <w:tc>
          <w:tcPr>
            <w:tcW w:w="5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deferred</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deferred</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Total provision</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r>
      <w:tr>
        <w:trPr>
          <w:trHeight w:val="20"/>
        </w:trPr>
        <w:tc>
          <w:tcPr>
            <w:tcW w:w="5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Reconciliations of the provisions for income taxes to the applicable federal statutory income tax rate for fiscal 2021, 2020 and 2019 are listed below.</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gridSpan w:val="2"/>
          </w:tcPr>
          <w:p>
            <w:pPr>
              <w:ind w:left="6540"/>
              <w:spacing w:after="0"/>
              <w:rPr>
                <w:sz w:val="20"/>
                <w:szCs w:val="20"/>
                <w:color w:val="auto"/>
              </w:rPr>
            </w:pPr>
            <w:r>
              <w:rPr>
                <w:rFonts w:ascii="Arial" w:cs="Arial" w:eastAsia="Arial" w:hAnsi="Arial"/>
                <w:sz w:val="14"/>
                <w:szCs w:val="14"/>
                <w:b w:val="1"/>
                <w:bCs w:val="1"/>
                <w:color w:val="auto"/>
              </w:rPr>
              <w:t>2021</w:t>
            </w: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w:t>
            </w:r>
          </w:p>
        </w:tc>
        <w:tc>
          <w:tcPr>
            <w:tcW w:w="9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5.9 %</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Other — net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48"/>
        </w:trPr>
        <w:tc>
          <w:tcPr>
            <w:tcW w:w="5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liability as of March 28, 2021 and March 29, 2020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accruals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Pension withdrawal liability</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Unrealized loss on interest rate swap</w:t>
            </w:r>
          </w:p>
        </w:tc>
        <w:tc>
          <w:tcPr>
            <w:tcW w:w="4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Excess of tax over book depreciation</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ROU asset</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(24,445)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(25,106)</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28, 2021, the Company has determined that it is more likely than not that the deferred tax assets at March 28, 2021 will be realized either through future taxable income or reversals of taxable temporary differences.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1, 2018 are closed to examination by the Internal Revenue Service, and with few exceptions, state and local income tax jurisdictions.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March 28, 2021,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23 years, some of which include options to extend the lease for up to 15 years.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28, 2021 and March 29, 2020, our operating lease components with initial or remaining terms in excess of one year were classified on the consolidated balance sheet within right of use assets, short-term lease liability and long-term lease liability.</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lease expense was $2.8 million for the both twelve months ended March 28, 2021 and March 29, 2020, and includes leases less than 12 months in duration.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facility in Fullerton, California is leased from a party related to Daniel Stauber, one of our Board members. The total amount of lease expense related to this lease in fiscal 2021 was $0.5 million, of which less than $0.1 million was attributable to Mr. Stauber. We have included $5.7 million on our balance sheet as a right-of-use asset, with a corresponding equal amount of lease liabilities, related to this lease.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60" w:type="dxa"/>
            <w:vAlign w:val="bottom"/>
          </w:tcPr>
          <w:p>
            <w:pPr>
              <w:spacing w:after="0"/>
              <w:rPr>
                <w:sz w:val="20"/>
                <w:szCs w:val="20"/>
                <w:color w:val="auto"/>
              </w:rPr>
            </w:pPr>
            <w:r>
              <w:rPr>
                <w:rFonts w:ascii="Arial" w:cs="Arial" w:eastAsia="Arial" w:hAnsi="Arial"/>
                <w:sz w:val="18"/>
                <w:szCs w:val="18"/>
                <w:color w:val="auto"/>
              </w:rPr>
              <w:t>Other information related to our operating leases was as follows: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56"/>
        </w:trPr>
        <w:tc>
          <w:tcPr>
            <w:tcW w:w="7060" w:type="dxa"/>
            <w:vAlign w:val="bottom"/>
          </w:tcPr>
          <w:p>
            <w:pPr>
              <w:spacing w:after="0"/>
              <w:rPr>
                <w:sz w:val="22"/>
                <w:szCs w:val="22"/>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March 29, 2021</w:t>
            </w: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29, 2020</w:t>
            </w:r>
          </w:p>
        </w:tc>
      </w:tr>
      <w:tr>
        <w:trPr>
          <w:trHeight w:val="210"/>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200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70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9"/>
              </w:rPr>
              <w:t>HAWKINS, INC.</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2660" w:type="dxa"/>
            <w:vAlign w:val="bottom"/>
          </w:tcPr>
          <w:p>
            <w:pPr>
              <w:spacing w:after="0"/>
              <w:rPr>
                <w:sz w:val="23"/>
                <w:szCs w:val="23"/>
                <w:color w:val="auto"/>
              </w:rPr>
            </w:pPr>
          </w:p>
        </w:tc>
        <w:tc>
          <w:tcPr>
            <w:tcW w:w="70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
        </w:trPr>
        <w:tc>
          <w:tcPr>
            <w:tcW w:w="266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20"/>
        </w:trPr>
        <w:tc>
          <w:tcPr>
            <w:tcW w:w="9680" w:type="dxa"/>
            <w:vAlign w:val="bottom"/>
            <w:gridSpan w:val="3"/>
          </w:tcPr>
          <w:p>
            <w:pPr>
              <w:spacing w:after="0"/>
              <w:rPr>
                <w:sz w:val="20"/>
                <w:szCs w:val="20"/>
                <w:color w:val="auto"/>
              </w:rPr>
            </w:pPr>
            <w:r>
              <w:rPr>
                <w:rFonts w:ascii="Arial" w:cs="Arial" w:eastAsia="Arial" w:hAnsi="Arial"/>
                <w:sz w:val="18"/>
                <w:szCs w:val="18"/>
                <w:color w:val="auto"/>
              </w:rPr>
              <w:t>Maturities of lease liabilities as of March 28, 2021 were as follows: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96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29"/>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Fiscal 2023</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29"/>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Fiscal 2025</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w:t>
            </w:r>
          </w:p>
        </w:tc>
      </w:tr>
      <w:tr>
        <w:trPr>
          <w:trHeight w:val="229"/>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30"/>
        </w:trPr>
        <w:tc>
          <w:tcPr>
            <w:tcW w:w="9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w:t>
            </w:r>
          </w:p>
        </w:tc>
      </w:tr>
      <w:tr>
        <w:trPr>
          <w:trHeight w:val="223"/>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w:t>
            </w:r>
          </w:p>
        </w:tc>
      </w:tr>
      <w:tr>
        <w:trPr>
          <w:trHeight w:val="230"/>
        </w:trPr>
        <w:tc>
          <w:tcPr>
            <w:tcW w:w="9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Interest</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48"/>
        </w:trPr>
        <w:tc>
          <w:tcPr>
            <w:tcW w:w="9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There are no intersegment sales and no operating segments have been aggregated.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Water</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Health and</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36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Treatment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Nutrition</w:t>
            </w: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28, 2021: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273,361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170,004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153,506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596,871</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123,762</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181,478</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109,761</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166,558</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457,797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Fiscal Year Ended March 29, 2020: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540,198</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100,917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59,246</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shd w:val="clear" w:color="auto" w:fill="CCEEFF"/>
          </w:tcPr>
          <w:p>
            <w:pPr>
              <w:ind w:left="360"/>
              <w:spacing w:after="0" w:line="197" w:lineRule="exact"/>
              <w:rPr>
                <w:sz w:val="20"/>
                <w:szCs w:val="20"/>
                <w:color w:val="auto"/>
              </w:rPr>
            </w:pPr>
            <w:r>
              <w:rPr>
                <w:rFonts w:ascii="Arial" w:cs="Arial" w:eastAsia="Arial" w:hAnsi="Arial"/>
                <w:sz w:val="18"/>
                <w:szCs w:val="18"/>
                <w:color w:val="auto"/>
              </w:rPr>
              <w:t>Identifiable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376,354</w:t>
            </w: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24,549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31, 2019: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281,860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149,490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124,976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556,326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95,936</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59,118</w:t>
            </w: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162,926</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58,274</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146,042</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367,242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firstLine="8"/>
        <w:spacing w:after="0" w:line="261"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8"/>
          <w:szCs w:val="18"/>
          <w:color w:val="auto"/>
        </w:rPr>
        <w:t>Unallocated assets not included, consisting primarily of cash and cash equivalents, investments and prepaid expenses, were $14.8 million at March 28, 2021, $13.0 million at March 29, 2020 and $18.4 million at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28, 2021, based on the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making this assessment as of March 28, 2021, we have excluded the Louisiana water treatment operations acquired from C&amp;L Aqua Professionals, Inc. and LC Blending, Inc. on December 30, 2020. The financial statements of this business comprise 3.5% of total assets and less than 1% of total revenues in our consolidated financial amounts as of and for the year ended March 28, 2021. We have excluded this business because we have not had sufficient time to make an assessment of its internal controls using the COSO criteria in accordance with Section 404 of the Sarbanes-Oxley Act of 2002. In excluding this business from our assessment, we have considered the “Frequently Asked Questions” as set forth by the office of the Chief Accountant and the Division of Corporate Finance on June 24, 2004, as revised on September 24, 2007, which acknowledges that it may not be possible to conduct an assessment of an acquired business’s internal control over financial reporting in the period between the consummation date and the date of management’s assessment and contemplates that such business would be excluded from management’s assessment in the year of acquisition. Based on this assessment, management believes that our internal control over financial reporting was effective as of March 28, 2021.</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28, 2021 which is included in the Report of Independent Registered Public Accounting Firm in Item 8 of this Annual Report on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2021 that has materially affected, or is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III</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July 29, 2021 (the “2021 Proxy Statement”). Except for those portions specifically incorporated in this Form 10-K by reference to the 2021 Proxy Statement, no other portions of the 2021 Proxy Statement are deemed to be filed as part of this Form 10-K.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executive officers, their ages and offices held, are set forth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w:t>
            </w: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6"/>
                <w:szCs w:val="16"/>
                <w:b w:val="1"/>
                <w:bCs w:val="1"/>
                <w:color w:val="auto"/>
              </w:rPr>
              <w:t>Age</w:t>
            </w:r>
          </w:p>
        </w:tc>
        <w:tc>
          <w:tcPr>
            <w:tcW w:w="6360" w:type="dxa"/>
            <w:vAlign w:val="bottom"/>
            <w:gridSpan w:val="3"/>
            <w:shd w:val="clear" w:color="auto" w:fill="CCEEFF"/>
          </w:tcPr>
          <w:p>
            <w:pPr>
              <w:ind w:left="540"/>
              <w:spacing w:after="0"/>
              <w:rPr>
                <w:sz w:val="20"/>
                <w:szCs w:val="20"/>
                <w:color w:val="auto"/>
              </w:rPr>
            </w:pPr>
            <w:r>
              <w:rPr>
                <w:rFonts w:ascii="Arial" w:cs="Arial" w:eastAsia="Arial" w:hAnsi="Arial"/>
                <w:sz w:val="16"/>
                <w:szCs w:val="16"/>
                <w:b w:val="1"/>
                <w:bCs w:val="1"/>
                <w:color w:val="auto"/>
              </w:rPr>
              <w:t>Office</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9"/>
                <w:szCs w:val="19"/>
                <w:color w:val="auto"/>
              </w:rPr>
            </w:pPr>
          </w:p>
        </w:tc>
        <w:tc>
          <w:tcPr>
            <w:tcW w:w="6360" w:type="dxa"/>
            <w:vAlign w:val="bottom"/>
            <w:gridSpan w:val="3"/>
          </w:tcPr>
          <w:p>
            <w:pPr>
              <w:ind w:left="5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P. Oldenkamp</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9"/>
                <w:szCs w:val="19"/>
                <w:color w:val="auto"/>
              </w:rPr>
            </w:pPr>
          </w:p>
        </w:tc>
        <w:tc>
          <w:tcPr>
            <w:tcW w:w="6360" w:type="dxa"/>
            <w:vAlign w:val="bottom"/>
            <w:gridSpan w:val="3"/>
          </w:tcPr>
          <w:p>
            <w:pPr>
              <w:ind w:left="540"/>
              <w:spacing w:after="0"/>
              <w:rPr>
                <w:sz w:val="20"/>
                <w:szCs w:val="20"/>
                <w:color w:val="auto"/>
              </w:rPr>
            </w:pPr>
            <w:r>
              <w:rPr>
                <w:rFonts w:ascii="Arial" w:cs="Arial" w:eastAsia="Arial" w:hAnsi="Arial"/>
                <w:sz w:val="18"/>
                <w:szCs w:val="18"/>
                <w:color w:val="auto"/>
              </w:rPr>
              <w:t>Vice President, General Counsel and Secretary</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Drew M. Grahek</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Vice President — Operations</w:t>
            </w: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Douglas A. Lange</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9"/>
                <w:szCs w:val="19"/>
                <w:color w:val="auto"/>
              </w:rPr>
            </w:pPr>
          </w:p>
        </w:tc>
        <w:tc>
          <w:tcPr>
            <w:tcW w:w="6360" w:type="dxa"/>
            <w:vAlign w:val="bottom"/>
            <w:gridSpan w:val="3"/>
          </w:tcPr>
          <w:p>
            <w:pPr>
              <w:ind w:left="540"/>
              <w:spacing w:after="0"/>
              <w:rPr>
                <w:sz w:val="20"/>
                <w:szCs w:val="20"/>
                <w:color w:val="auto"/>
              </w:rPr>
            </w:pPr>
            <w:r>
              <w:rPr>
                <w:rFonts w:ascii="Arial" w:cs="Arial" w:eastAsia="Arial" w:hAnsi="Arial"/>
                <w:sz w:val="18"/>
                <w:szCs w:val="18"/>
                <w:color w:val="auto"/>
              </w:rPr>
              <w:t>Vice President — Water Treatment Group</w:t>
            </w:r>
          </w:p>
        </w:tc>
      </w:tr>
      <w:tr>
        <w:trPr>
          <w:trHeight w:val="229"/>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Theresa R. Moran</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Vice President — Purchasing, Logistics and Sales Support</w:t>
            </w:r>
          </w:p>
        </w:tc>
      </w:t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19"/>
                <w:szCs w:val="19"/>
                <w:color w:val="auto"/>
              </w:rPr>
            </w:pPr>
          </w:p>
        </w:tc>
        <w:tc>
          <w:tcPr>
            <w:tcW w:w="6360" w:type="dxa"/>
            <w:vAlign w:val="bottom"/>
            <w:gridSpan w:val="3"/>
          </w:tcPr>
          <w:p>
            <w:pPr>
              <w:ind w:left="540"/>
              <w:spacing w:after="0"/>
              <w:rPr>
                <w:sz w:val="20"/>
                <w:szCs w:val="20"/>
                <w:color w:val="auto"/>
              </w:rPr>
            </w:pPr>
            <w:r>
              <w:rPr>
                <w:rFonts w:ascii="Arial" w:cs="Arial" w:eastAsia="Arial" w:hAnsi="Arial"/>
                <w:sz w:val="18"/>
                <w:szCs w:val="18"/>
                <w:color w:val="auto"/>
              </w:rPr>
              <w:t>Vice President — Health and Nutrition</w:t>
            </w:r>
          </w:p>
        </w:tc>
      </w:tr>
      <w:tr>
        <w:trPr>
          <w:trHeight w:val="229"/>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9"/>
                <w:szCs w:val="19"/>
                <w:color w:val="auto"/>
              </w:rPr>
            </w:pPr>
          </w:p>
        </w:tc>
        <w:tc>
          <w:tcPr>
            <w:tcW w:w="63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Vice President — Industrial Group</w:t>
            </w:r>
          </w:p>
        </w:tc>
      </w:tr>
    </w:tbl>
    <w:p>
      <w:pPr>
        <w:spacing w:after="0" w:line="3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Patrick H. Hawkins </w:t>
      </w:r>
      <w:r>
        <w:rPr>
          <w:rFonts w:ascii="Arial" w:cs="Arial" w:eastAsia="Arial" w:hAnsi="Arial"/>
          <w:sz w:val="18"/>
          <w:szCs w:val="18"/>
          <w:color w:val="auto"/>
        </w:rPr>
        <w:t>has been our Chief Executive Officer and President and member of our board since 2011. Mr. Hawkins has held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of President since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has been our Executive Vice President, Chief Financial Officer and Treasurer since October 2021. Mr. Oldenkamp</w:t>
      </w:r>
      <w:r>
        <w:rPr>
          <w:rFonts w:ascii="Arial" w:cs="Arial" w:eastAsia="Arial" w:hAnsi="Arial"/>
          <w:sz w:val="18"/>
          <w:szCs w:val="18"/>
          <w:i w:val="1"/>
          <w:iCs w:val="1"/>
          <w:color w:val="auto"/>
        </w:rPr>
        <w:t xml:space="preserve"> </w:t>
      </w:r>
      <w:r>
        <w:rPr>
          <w:rFonts w:ascii="Arial" w:cs="Arial" w:eastAsia="Arial" w:hAnsi="Arial"/>
          <w:sz w:val="18"/>
          <w:szCs w:val="18"/>
          <w:color w:val="auto"/>
        </w:rPr>
        <w:t>joined Hawkins in May 2017 and assumed the role of Chief Financial Officer, Vice President and Treasurer in June 2017. Prior to joining Hawkins, Mr. Oldenkamp was with MTS Systems Corporation, a supplier of high-performance test systems and sensors, where he served as Chief Financial Officer from 2015 to May 2017 and as Vice President of Finance for the MTS Test business from 2014 to 2015, and with Nilfisk-Advance, Inc., a global manufacturer of professional cleaning equipment, where he served as Americas Operations Chief Financial Officer and Vice President from 2012 to 2014.</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Richard G. Erstad </w:t>
      </w:r>
      <w:r>
        <w:rPr>
          <w:rFonts w:ascii="Arial" w:cs="Arial" w:eastAsia="Arial" w:hAnsi="Arial"/>
          <w:sz w:val="18"/>
          <w:szCs w:val="18"/>
          <w:color w:val="auto"/>
        </w:rPr>
        <w:t>has been our Vice President, General Counsel and Secretary since 2008. Mr. Erstad was General Counsel and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Drew M. Grahek </w:t>
      </w:r>
      <w:r>
        <w:rPr>
          <w:rFonts w:ascii="Arial" w:cs="Arial" w:eastAsia="Arial" w:hAnsi="Arial"/>
          <w:sz w:val="18"/>
          <w:szCs w:val="18"/>
          <w:color w:val="auto"/>
        </w:rPr>
        <w:t>has been our Vice President - Operations since September 2018. Prior to joining Hawkins, Mr. Grahek was Adjunct Faculty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University of Minnesota College of Continuing Education and a Business Administrator in the Archdiocese of St. Paul and Minneapolis from June 2017 to June 2018; Director of Service Operations and Supply Chain with Ulta Beauty, Inc. from April 2016 to June 2017; and Director of Stores with Field and Stream Outdoor Stores, a division of Dick’s Sporting Goods, Inc. from July 2015 to April 2016. Previously, he spent a total of 23 years at Target Corporation in a variety of operations, merchandising and property management positions.</w:t>
      </w:r>
    </w:p>
    <w:p>
      <w:pPr>
        <w:spacing w:after="0" w:line="21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Douglas A. Lange </w:t>
      </w:r>
      <w:r>
        <w:rPr>
          <w:rFonts w:ascii="Arial" w:cs="Arial" w:eastAsia="Arial" w:hAnsi="Arial"/>
          <w:sz w:val="18"/>
          <w:szCs w:val="18"/>
          <w:color w:val="auto"/>
        </w:rPr>
        <w:t>has been our Vice President - Water Treatment Group since June 2020. Prior to attaining this position, Mr. Lange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as General Manager and Product Development Manager for the Water Treatment Group after joining the company in January 2019. Prior to joining the Company, Mr. Lange was with H.B. Fuller Company, a global supplier of special adhesives, where he served as Global Marketing Manager and Product Manager for specialty markets in electronics and wood products from 2011 to January 2019. Mr. Lange served in various roles in the specialty adhesives market for a total of 21 years prior to joining the Company.</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7" w:name="page48"/>
    <w:bookmarkEnd w:id="47"/>
    <w:p>
      <w:pPr>
        <w:jc w:val="both"/>
        <w:spacing w:after="0" w:line="266"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our Vice President - Purchasing, Logistics and Sales Support since June 2017. Since joining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1981, Ms. Moran has served the Company in a variety of positions, including Administration Operations Manager from 1999 to 2007, Director - Process Improvement from 2007 until 2010 and Vice President - Quality and Support from 2010 to June 2017.</w:t>
      </w:r>
    </w:p>
    <w:p>
      <w:pPr>
        <w:spacing w:after="0" w:line="20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Shirley A. Rozeboom </w:t>
      </w:r>
      <w:r>
        <w:rPr>
          <w:rFonts w:ascii="Arial" w:cs="Arial" w:eastAsia="Arial" w:hAnsi="Arial"/>
          <w:sz w:val="18"/>
          <w:szCs w:val="18"/>
          <w:color w:val="auto"/>
        </w:rPr>
        <w:t>was named Vice President - Health and Nutrition in April 2019. Ms. Rozeboom had held the position of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Sales for Stauber since 2012. Previously, she held the positions of Director of Sales at Stauber from 2008 to 2012 and Account Executive from 2000 to 2008.</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2000. Mr. Sevenich was the Business Unit Manager of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1998 to 2000 and was a Sales Representative with the Company from 1989 to 1998. Mr. Sevenich has announced his intent to retire from all positions in June 2021.</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disclosure under the headings “Election of Directors,” “Corporate Governance,” and, if applicable, “Delinquent Section 16(a) Reports” of the 2021 Proxy Statement is incorporated herein by reference.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disclosure under the heading “Compensation of Executive Officers and Directors” in the 2021 Proxy Statement is incorporated herein by reference.</w:t>
      </w:r>
    </w:p>
    <w:p>
      <w:pPr>
        <w:spacing w:after="0" w:line="25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disclosure under the headings “Security Ownership of Management and Beneficial Ownership” and “Equity Compensation Plan Information” in the 2021 Proxy Statement is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disclosure under the headings “Election of Directors” and “Related Party Transactions” of the 2021 Proxy Statement is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disclosure under the heading “Independent Registered Public Accounting Firm’s Fees” of the 2021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ind w:left="528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7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at March 28, 2021 and March 29, 2020.</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Income for the fiscal years ended March 28, 2021, March 29, 2020 and March 31, 2019.</w:t>
      </w:r>
    </w:p>
    <w:p>
      <w:pPr>
        <w:spacing w:after="0" w:line="77" w:lineRule="exact"/>
        <w:rPr>
          <w:sz w:val="20"/>
          <w:szCs w:val="20"/>
          <w:color w:val="auto"/>
        </w:rPr>
      </w:pPr>
    </w:p>
    <w:p>
      <w:pPr>
        <w:ind w:left="1340" w:right="540"/>
        <w:spacing w:after="0" w:line="227" w:lineRule="auto"/>
        <w:rPr>
          <w:sz w:val="20"/>
          <w:szCs w:val="20"/>
          <w:color w:val="auto"/>
        </w:rPr>
      </w:pPr>
      <w:r>
        <w:rPr>
          <w:rFonts w:ascii="Arial" w:cs="Arial" w:eastAsia="Arial" w:hAnsi="Arial"/>
          <w:sz w:val="18"/>
          <w:szCs w:val="18"/>
          <w:color w:val="auto"/>
        </w:rPr>
        <w:t>Consolidated Statements of Comprehensive Income for the fiscal years ended March 28, 2021, March 29, 2020 and March 31, 2019.</w:t>
      </w:r>
    </w:p>
    <w:p>
      <w:pPr>
        <w:spacing w:after="0" w:line="67" w:lineRule="exact"/>
        <w:rPr>
          <w:sz w:val="20"/>
          <w:szCs w:val="20"/>
          <w:color w:val="auto"/>
        </w:rPr>
      </w:pPr>
    </w:p>
    <w:p>
      <w:pPr>
        <w:ind w:left="1340" w:right="740"/>
        <w:spacing w:after="0" w:line="227" w:lineRule="auto"/>
        <w:rPr>
          <w:sz w:val="20"/>
          <w:szCs w:val="20"/>
          <w:color w:val="auto"/>
        </w:rPr>
      </w:pPr>
      <w:r>
        <w:rPr>
          <w:rFonts w:ascii="Arial" w:cs="Arial" w:eastAsia="Arial" w:hAnsi="Arial"/>
          <w:sz w:val="18"/>
          <w:szCs w:val="18"/>
          <w:color w:val="auto"/>
        </w:rPr>
        <w:t>Consolidated Statements of Shareholders’ Equity for the fiscal years ended March 28, 2021, March 29, 2020, and March 31, 2019.</w:t>
      </w:r>
    </w:p>
    <w:p>
      <w:pPr>
        <w:spacing w:after="0" w:line="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fiscal years ended March 28, 2021, March 29, 2020, and March 31, 2019.</w:t>
      </w:r>
    </w:p>
    <w:p>
      <w:pPr>
        <w:spacing w:after="0" w:line="1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77" w:lineRule="exact"/>
        <w:rPr>
          <w:sz w:val="20"/>
          <w:szCs w:val="20"/>
          <w:color w:val="auto"/>
        </w:rPr>
      </w:pPr>
    </w:p>
    <w:p>
      <w:pPr>
        <w:jc w:val="both"/>
        <w:ind w:left="1340"/>
        <w:spacing w:after="0" w:line="215"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financial statement schedule for the fiscal years 2021, 2020 and 2019.</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II — Valuation and Qualifying Accounts.</w:t>
      </w:r>
    </w:p>
    <w:p>
      <w:pPr>
        <w:spacing w:after="0" w:line="7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49" w:name="page50"/>
    <w:bookmarkEnd w:id="49"/>
    <w:p>
      <w:pPr>
        <w:jc w:val="center"/>
        <w:ind w:right="34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9860"/>
          </w:cols>
          <w:pgMar w:left="1180" w:top="927" w:right="859" w:bottom="1440" w:gutter="0" w:footer="0" w:header="0"/>
        </w:sect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Exhibit</w:t>
            </w:r>
          </w:p>
        </w:tc>
        <w:tc>
          <w:tcPr>
            <w:tcW w:w="662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6620" w:type="dxa"/>
            <w:vAlign w:val="bottom"/>
            <w:gridSpan w:val="14"/>
          </w:tcPr>
          <w:p>
            <w:pPr>
              <w:spacing w:after="0"/>
              <w:rPr>
                <w:rFonts w:ascii="Arial" w:cs="Arial" w:eastAsia="Arial" w:hAnsi="Arial"/>
                <w:sz w:val="18"/>
                <w:szCs w:val="18"/>
                <w:color w:val="0000FF"/>
              </w:rPr>
            </w:pPr>
            <w:hyperlink r:id="rId74">
              <w:r>
                <w:rPr>
                  <w:rFonts w:ascii="Arial" w:cs="Arial" w:eastAsia="Arial" w:hAnsi="Arial"/>
                  <w:sz w:val="18"/>
                  <w:szCs w:val="18"/>
                  <w:color w:val="0000FF"/>
                </w:rPr>
                <w:t>Restated Articles of Incorporation.(1)</w:t>
              </w:r>
            </w:hyperlink>
          </w:p>
        </w:tc>
        <w:tc>
          <w:tcPr>
            <w:tcW w:w="0" w:type="dxa"/>
            <w:vAlign w:val="bottom"/>
          </w:tcPr>
          <w:p>
            <w:pPr>
              <w:spacing w:after="0"/>
              <w:rPr>
                <w:sz w:val="1"/>
                <w:szCs w:val="1"/>
                <w:color w:val="auto"/>
              </w:rPr>
            </w:pPr>
          </w:p>
        </w:tc>
      </w:tr>
      <w:tr>
        <w:trPr>
          <w:trHeight w:val="264"/>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2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Amended and Restated By-Laws.(2)</w:t>
              </w:r>
            </w:hyperlink>
          </w:p>
        </w:tc>
        <w:tc>
          <w:tcPr>
            <w:tcW w:w="20" w:type="dxa"/>
            <w:vAlign w:val="bottom"/>
            <w:tcBorders>
              <w:top w:val="single" w:sz="8" w:color="0000FF"/>
            </w:tcBorders>
          </w:tcPr>
          <w:p>
            <w:pPr>
              <w:spacing w:after="0"/>
              <w:rPr>
                <w:sz w:val="22"/>
                <w:szCs w:val="22"/>
                <w:color w:val="auto"/>
              </w:rPr>
            </w:pPr>
          </w:p>
        </w:tc>
        <w:tc>
          <w:tcPr>
            <w:tcW w:w="370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6620" w:type="dxa"/>
            <w:vAlign w:val="bottom"/>
            <w:gridSpan w:val="1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3740" w:type="dxa"/>
            <w:vAlign w:val="bottom"/>
            <w:tcBorders>
              <w:bottom w:val="single" w:sz="8" w:color="0000FF"/>
            </w:tcBorders>
            <w:gridSpan w:val="8"/>
          </w:tcPr>
          <w:p>
            <w:pPr>
              <w:spacing w:after="0"/>
              <w:rPr>
                <w:rFonts w:ascii="Arial" w:cs="Arial" w:eastAsia="Arial" w:hAnsi="Arial"/>
                <w:sz w:val="18"/>
                <w:szCs w:val="18"/>
                <w:color w:val="0000FF"/>
                <w:w w:val="99"/>
              </w:rPr>
            </w:pPr>
            <w:hyperlink r:id="rId76">
              <w:r>
                <w:rPr>
                  <w:rFonts w:ascii="Arial" w:cs="Arial" w:eastAsia="Arial" w:hAnsi="Arial"/>
                  <w:sz w:val="18"/>
                  <w:szCs w:val="18"/>
                  <w:color w:val="0000FF"/>
                  <w:w w:val="99"/>
                </w:rPr>
                <w:t>Hawkins, Inc. 2010 Omnibus Incentive Plan.(3)</w:t>
              </w:r>
            </w:hyperlink>
          </w:p>
        </w:tc>
        <w:tc>
          <w:tcPr>
            <w:tcW w:w="28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2"/>
                <w:szCs w:val="22"/>
                <w:color w:val="auto"/>
              </w:rPr>
            </w:pPr>
          </w:p>
        </w:tc>
        <w:tc>
          <w:tcPr>
            <w:tcW w:w="6620" w:type="dxa"/>
            <w:vAlign w:val="bottom"/>
            <w:gridSpan w:val="14"/>
          </w:tcPr>
          <w:p>
            <w:pPr>
              <w:spacing w:after="0"/>
              <w:rPr>
                <w:rFonts w:ascii="Arial" w:cs="Arial" w:eastAsia="Arial" w:hAnsi="Arial"/>
                <w:sz w:val="18"/>
                <w:szCs w:val="18"/>
                <w:color w:val="0000FF"/>
              </w:rPr>
            </w:pPr>
            <w:hyperlink r:id="rId77">
              <w:r>
                <w:rPr>
                  <w:rFonts w:ascii="Arial" w:cs="Arial" w:eastAsia="Arial" w:hAnsi="Arial"/>
                  <w:sz w:val="18"/>
                  <w:szCs w:val="18"/>
                  <w:color w:val="0000FF"/>
                </w:rPr>
                <w:t>Hawkins, Inc. Executive Severance Plan.(</w:t>
              </w:r>
            </w:hyperlink>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2"/>
                <w:szCs w:val="22"/>
                <w:color w:val="auto"/>
              </w:rPr>
            </w:pPr>
          </w:p>
        </w:tc>
        <w:tc>
          <w:tcPr>
            <w:tcW w:w="6620" w:type="dxa"/>
            <w:vAlign w:val="bottom"/>
            <w:gridSpan w:val="14"/>
          </w:tcPr>
          <w:p>
            <w:pPr>
              <w:spacing w:after="0"/>
              <w:rPr>
                <w:rFonts w:ascii="Arial" w:cs="Arial" w:eastAsia="Arial" w:hAnsi="Arial"/>
                <w:sz w:val="18"/>
                <w:szCs w:val="18"/>
                <w:color w:val="0000FF"/>
              </w:rPr>
            </w:pPr>
            <w:hyperlink r:id="rId78">
              <w:r>
                <w:rPr>
                  <w:rFonts w:ascii="Arial" w:cs="Arial" w:eastAsia="Arial" w:hAnsi="Arial"/>
                  <w:sz w:val="18"/>
                  <w:szCs w:val="18"/>
                  <w:color w:val="0000FF"/>
                </w:rPr>
                <w:t xml:space="preserve">Employee Stock Purchase Plan, as amended. </w:t>
              </w:r>
            </w:hyperlink>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6620" w:type="dxa"/>
            <w:vAlign w:val="bottom"/>
            <w:tcBorders>
              <w:bottom w:val="single" w:sz="8" w:color="0000FF"/>
            </w:tcBorders>
            <w:gridSpan w:val="14"/>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Amended and Restated Credit Agreement, dated as of November 30, 2018, among</w:t>
              </w:r>
            </w:hyperlink>
          </w:p>
        </w:tc>
        <w:tc>
          <w:tcPr>
            <w:tcW w:w="0" w:type="dxa"/>
            <w:vAlign w:val="bottom"/>
          </w:tcPr>
          <w:p>
            <w:pPr>
              <w:spacing w:after="0"/>
              <w:rPr>
                <w:sz w:val="1"/>
                <w:szCs w:val="1"/>
                <w:color w:val="auto"/>
              </w:rPr>
            </w:pPr>
          </w:p>
        </w:tc>
      </w:tr>
      <w:tr>
        <w:trPr>
          <w:trHeight w:val="102"/>
        </w:trPr>
        <w:tc>
          <w:tcPr>
            <w:tcW w:w="4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620" w:type="dxa"/>
            <w:vAlign w:val="bottom"/>
            <w:gridSpan w:val="14"/>
            <w:vMerge w:val="restart"/>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the Company, U.S. Bank National Association, and certain financial institutions. (6)</w:t>
              </w:r>
            </w:hyperlink>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2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2"/>
                <w:szCs w:val="22"/>
                <w:color w:val="auto"/>
              </w:rPr>
            </w:pPr>
          </w:p>
        </w:tc>
        <w:tc>
          <w:tcPr>
            <w:tcW w:w="6560" w:type="dxa"/>
            <w:vAlign w:val="bottom"/>
            <w:tcBorders>
              <w:top w:val="single" w:sz="8" w:color="0000FF"/>
            </w:tcBorders>
            <w:gridSpan w:val="13"/>
          </w:tcPr>
          <w:p>
            <w:pPr>
              <w:spacing w:after="0"/>
              <w:rPr>
                <w:rFonts w:ascii="Arial" w:cs="Arial" w:eastAsia="Arial" w:hAnsi="Arial"/>
                <w:sz w:val="18"/>
                <w:szCs w:val="18"/>
                <w:color w:val="0000FF"/>
              </w:rPr>
            </w:pPr>
            <w:hyperlink r:id="rId80">
              <w:r>
                <w:rPr>
                  <w:rFonts w:ascii="Arial" w:cs="Arial" w:eastAsia="Arial" w:hAnsi="Arial"/>
                  <w:sz w:val="18"/>
                  <w:szCs w:val="18"/>
                  <w:color w:val="0000FF"/>
                </w:rPr>
                <w:t xml:space="preserve">Hawkins, Inc. 2019 Equity Incentive Plan. </w:t>
              </w:r>
            </w:hyperlink>
            <w:r>
              <w:rPr>
                <w:rFonts w:ascii="Arial" w:cs="Arial" w:eastAsia="Arial" w:hAnsi="Arial"/>
                <w:sz w:val="18"/>
                <w:szCs w:val="18"/>
                <w:color w:val="0000FF"/>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2"/>
                <w:szCs w:val="22"/>
                <w:color w:val="auto"/>
              </w:rPr>
            </w:pPr>
          </w:p>
        </w:tc>
        <w:tc>
          <w:tcPr>
            <w:tcW w:w="6620" w:type="dxa"/>
            <w:vAlign w:val="bottom"/>
            <w:gridSpan w:val="14"/>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Performance Stock Unit Award Notice and Restricted Stock Agreement</w:t>
              </w:r>
            </w:hyperlink>
          </w:p>
        </w:tc>
        <w:tc>
          <w:tcPr>
            <w:tcW w:w="0" w:type="dxa"/>
            <w:vAlign w:val="bottom"/>
          </w:tcPr>
          <w:p>
            <w:pPr>
              <w:spacing w:after="0"/>
              <w:rPr>
                <w:sz w:val="1"/>
                <w:szCs w:val="1"/>
                <w:color w:val="auto"/>
              </w:rPr>
            </w:pPr>
          </w:p>
        </w:tc>
      </w:tr>
      <w:tr>
        <w:trPr>
          <w:trHeight w:val="102"/>
        </w:trPr>
        <w:tc>
          <w:tcPr>
            <w:tcW w:w="4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320" w:type="dxa"/>
            <w:vAlign w:val="bottom"/>
            <w:tcBorders>
              <w:top w:val="single" w:sz="8" w:color="0000FF"/>
            </w:tcBorders>
            <w:gridSpan w:val="12"/>
            <w:vMerge w:val="restart"/>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under the Company’s 2019 Equity Incentive Plan. (8)</w:t>
              </w:r>
            </w:hyperlink>
          </w:p>
        </w:tc>
        <w:tc>
          <w:tcPr>
            <w:tcW w:w="30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320" w:type="dxa"/>
            <w:vAlign w:val="bottom"/>
            <w:gridSpan w:val="1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2"/>
                <w:szCs w:val="22"/>
                <w:color w:val="auto"/>
              </w:rPr>
            </w:pPr>
          </w:p>
        </w:tc>
        <w:tc>
          <w:tcPr>
            <w:tcW w:w="30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w:anchor="page56">
              <w:r>
                <w:rPr>
                  <w:rFonts w:ascii="Arial" w:cs="Arial" w:eastAsia="Arial" w:hAnsi="Arial"/>
                  <w:sz w:val="18"/>
                  <w:szCs w:val="18"/>
                  <w:color w:val="0000FF"/>
                  <w:w w:val="98"/>
                </w:rPr>
                <w:t>Nine Year LTI with Shirley Rozeboom.</w:t>
              </w:r>
            </w:hyperlink>
          </w:p>
        </w:tc>
        <w:tc>
          <w:tcPr>
            <w:tcW w:w="1180" w:type="dxa"/>
            <w:vAlign w:val="bottom"/>
            <w:tcBorders>
              <w:top w:val="single" w:sz="8" w:color="0000FF"/>
            </w:tcBorders>
            <w:gridSpan w:val="5"/>
          </w:tcPr>
          <w:p>
            <w:pPr>
              <w:spacing w:after="0"/>
              <w:rPr>
                <w:sz w:val="22"/>
                <w:szCs w:val="22"/>
                <w:color w:val="auto"/>
              </w:rPr>
            </w:pPr>
          </w:p>
        </w:tc>
        <w:tc>
          <w:tcPr>
            <w:tcW w:w="24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2"/>
                <w:szCs w:val="22"/>
                <w:color w:val="auto"/>
              </w:rPr>
            </w:pPr>
          </w:p>
        </w:tc>
        <w:tc>
          <w:tcPr>
            <w:tcW w:w="6620" w:type="dxa"/>
            <w:vAlign w:val="bottom"/>
            <w:gridSpan w:val="14"/>
          </w:tcPr>
          <w:p>
            <w:pPr>
              <w:spacing w:after="0"/>
              <w:rPr>
                <w:rFonts w:ascii="Arial" w:cs="Arial" w:eastAsia="Arial" w:hAnsi="Arial"/>
                <w:sz w:val="18"/>
                <w:szCs w:val="18"/>
                <w:color w:val="0000FF"/>
              </w:rPr>
            </w:pPr>
            <w:hyperlink r:id="rId82">
              <w:r>
                <w:rPr>
                  <w:rFonts w:ascii="Arial" w:cs="Arial" w:eastAsia="Arial" w:hAnsi="Arial"/>
                  <w:sz w:val="18"/>
                  <w:szCs w:val="18"/>
                  <w:color w:val="0000FF"/>
                </w:rPr>
                <w:t>Correspondence from KPMG LLP dated February 11, 2020. (9)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 w:right="4240" w:firstLine="141"/>
        <w:spacing w:after="0" w:line="328" w:lineRule="auto"/>
        <w:tabs>
          <w:tab w:leader="none" w:pos="728" w:val="left"/>
        </w:tabs>
        <w:numPr>
          <w:ilvl w:val="0"/>
          <w:numId w:val="8"/>
        </w:numPr>
        <w:rPr>
          <w:rFonts w:ascii="Arial" w:cs="Arial" w:eastAsia="Arial" w:hAnsi="Arial"/>
          <w:sz w:val="18"/>
          <w:szCs w:val="18"/>
          <w:color w:val="000000"/>
        </w:rPr>
      </w:pPr>
      <w:hyperlink w:anchor="page57">
        <w:r>
          <w:rPr>
            <w:rFonts w:ascii="Arial" w:cs="Arial" w:eastAsia="Arial" w:hAnsi="Arial"/>
            <w:sz w:val="18"/>
            <w:szCs w:val="18"/>
            <w:u w:val="single" w:color="auto"/>
            <w:color w:val="0000FF"/>
          </w:rPr>
          <w:t>Subsidiaries of the registrant.</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23.1 </w:t>
      </w:r>
      <w:hyperlink w:anchor="page58">
        <w:r>
          <w:rPr>
            <w:rFonts w:ascii="Arial" w:cs="Arial" w:eastAsia="Arial" w:hAnsi="Arial"/>
            <w:sz w:val="18"/>
            <w:szCs w:val="18"/>
            <w:u w:val="single" w:color="auto"/>
            <w:color w:val="0000FF"/>
          </w:rPr>
          <w:t>Consent of Grant Thornton LLP.</w:t>
        </w:r>
      </w:hyperlink>
    </w:p>
    <w:p>
      <w:pPr>
        <w:spacing w:after="0" w:line="1" w:lineRule="exact"/>
        <w:rPr>
          <w:rFonts w:ascii="Arial" w:cs="Arial" w:eastAsia="Arial" w:hAnsi="Arial"/>
          <w:sz w:val="18"/>
          <w:szCs w:val="18"/>
          <w:color w:val="000000"/>
        </w:rPr>
      </w:pPr>
    </w:p>
    <w:p>
      <w:pPr>
        <w:ind w:left="80"/>
        <w:spacing w:after="0"/>
        <w:rPr>
          <w:rFonts w:ascii="Arial" w:cs="Arial" w:eastAsia="Arial" w:hAnsi="Arial"/>
          <w:sz w:val="18"/>
          <w:szCs w:val="18"/>
          <w:color w:val="auto"/>
        </w:rPr>
      </w:pPr>
      <w:r>
        <w:rPr>
          <w:rFonts w:ascii="Arial" w:cs="Arial" w:eastAsia="Arial" w:hAnsi="Arial"/>
          <w:sz w:val="18"/>
          <w:szCs w:val="18"/>
          <w:color w:val="auto"/>
        </w:rPr>
        <w:t xml:space="preserve">23.2   </w:t>
      </w:r>
      <w:hyperlink w:anchor="page59">
        <w:r>
          <w:rPr>
            <w:rFonts w:ascii="Arial" w:cs="Arial" w:eastAsia="Arial" w:hAnsi="Arial"/>
            <w:sz w:val="18"/>
            <w:szCs w:val="18"/>
            <w:u w:val="single" w:color="auto"/>
            <w:color w:val="0000FF"/>
          </w:rPr>
          <w:t>Consent of KPMG LLP.</w:t>
        </w:r>
      </w:hyperlink>
    </w:p>
    <w:p>
      <w:pPr>
        <w:spacing w:after="0" w:line="7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xml:space="preserve">24.1   </w:t>
      </w:r>
      <w:hyperlink w:anchor="page60">
        <w:r>
          <w:rPr>
            <w:rFonts w:ascii="Arial" w:cs="Arial" w:eastAsia="Arial" w:hAnsi="Arial"/>
            <w:sz w:val="18"/>
            <w:szCs w:val="18"/>
            <w:u w:val="single" w:color="auto"/>
            <w:color w:val="0000FF"/>
          </w:rPr>
          <w:t>Powers of Attorney.</w:t>
        </w:r>
      </w:hyperlink>
    </w:p>
    <w:p>
      <w:pPr>
        <w:spacing w:after="0" w:line="46" w:lineRule="exact"/>
        <w:rPr>
          <w:rFonts w:ascii="Arial" w:cs="Arial" w:eastAsia="Arial" w:hAnsi="Arial"/>
          <w:sz w:val="18"/>
          <w:szCs w:val="18"/>
          <w:color w:val="000000"/>
        </w:rPr>
      </w:pPr>
    </w:p>
    <w:tbl>
      <w:tblPr>
        <w:tblLayout w:type="fixed"/>
        <w:tblInd w:w="80" w:type="dxa"/>
        <w:tblCellMar>
          <w:top w:w="0" w:type="dxa"/>
          <w:left w:w="0" w:type="dxa"/>
          <w:bottom w:w="0" w:type="dxa"/>
          <w:right w:w="0" w:type="dxa"/>
        </w:tblCellMar>
      </w:tblPr>
      <w:tr>
        <w:trPr>
          <w:trHeight w:val="207"/>
        </w:trPr>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w w:val="91"/>
              </w:rPr>
              <w:t>31.1</w:t>
            </w:r>
          </w:p>
        </w:tc>
        <w:tc>
          <w:tcPr>
            <w:tcW w:w="656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Certification by Chief Certification by Chief Executive Officer pursuant to Rule 13a-</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40" w:type="dxa"/>
            <w:vAlign w:val="bottom"/>
            <w:vMerge w:val="continue"/>
          </w:tcPr>
          <w:p>
            <w:pPr>
              <w:spacing w:after="0"/>
              <w:rPr>
                <w:sz w:val="8"/>
                <w:szCs w:val="8"/>
                <w:color w:val="auto"/>
              </w:rPr>
            </w:pPr>
          </w:p>
        </w:tc>
        <w:tc>
          <w:tcPr>
            <w:tcW w:w="6620" w:type="dxa"/>
            <w:vAlign w:val="bottom"/>
            <w:gridSpan w:val="6"/>
            <w:vMerge w:val="restart"/>
          </w:tcPr>
          <w:p>
            <w:pPr>
              <w:spacing w:after="0" w:line="156" w:lineRule="exact"/>
              <w:rPr>
                <w:rFonts w:ascii="Arial" w:cs="Arial" w:eastAsia="Arial" w:hAnsi="Arial"/>
                <w:sz w:val="18"/>
                <w:szCs w:val="18"/>
                <w:color w:val="0000FF"/>
                <w:w w:val="99"/>
              </w:rPr>
            </w:pPr>
            <w:hyperlink w:anchor="page66">
              <w:r>
                <w:rPr>
                  <w:rFonts w:ascii="Arial" w:cs="Arial" w:eastAsia="Arial" w:hAnsi="Arial"/>
                  <w:sz w:val="18"/>
                  <w:szCs w:val="18"/>
                  <w:color w:val="0000FF"/>
                  <w:w w:val="99"/>
                </w:rPr>
                <w:t>14(a) of the Exchange Act. Officer pursuant to Rule 13a-14(a) of the Exchange Act.</w:t>
              </w:r>
            </w:hyperlink>
          </w:p>
        </w:tc>
        <w:tc>
          <w:tcPr>
            <w:tcW w:w="0" w:type="dxa"/>
            <w:vAlign w:val="bottom"/>
          </w:tcPr>
          <w:p>
            <w:pPr>
              <w:spacing w:after="0"/>
              <w:rPr>
                <w:sz w:val="1"/>
                <w:szCs w:val="1"/>
                <w:color w:val="auto"/>
              </w:rPr>
            </w:pPr>
          </w:p>
        </w:tc>
      </w:tr>
      <w:tr>
        <w:trPr>
          <w:trHeight w:val="59"/>
        </w:trPr>
        <w:tc>
          <w:tcPr>
            <w:tcW w:w="640" w:type="dxa"/>
            <w:vAlign w:val="bottom"/>
          </w:tcPr>
          <w:p>
            <w:pPr>
              <w:spacing w:after="0"/>
              <w:rPr>
                <w:sz w:val="4"/>
                <w:szCs w:val="4"/>
                <w:color w:val="auto"/>
              </w:rPr>
            </w:pPr>
          </w:p>
        </w:tc>
        <w:tc>
          <w:tcPr>
            <w:tcW w:w="6620" w:type="dxa"/>
            <w:vAlign w:val="bottom"/>
            <w:tcBorders>
              <w:bottom w:val="single" w:sz="8" w:color="0000FF"/>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w w:val="91"/>
              </w:rPr>
              <w:t>31.2</w:t>
            </w:r>
          </w:p>
        </w:tc>
        <w:tc>
          <w:tcPr>
            <w:tcW w:w="6620" w:type="dxa"/>
            <w:vAlign w:val="bottom"/>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by Chief Financial Officer pursuant to Rule 13a-14(a) of the Exchange</w:t>
              </w:r>
            </w:hyperlink>
          </w:p>
        </w:tc>
        <w:tc>
          <w:tcPr>
            <w:tcW w:w="0" w:type="dxa"/>
            <w:vAlign w:val="bottom"/>
          </w:tcPr>
          <w:p>
            <w:pPr>
              <w:spacing w:after="0"/>
              <w:rPr>
                <w:sz w:val="1"/>
                <w:szCs w:val="1"/>
                <w:color w:val="auto"/>
              </w:rPr>
            </w:pPr>
          </w:p>
        </w:tc>
      </w:tr>
      <w:tr>
        <w:trPr>
          <w:trHeight w:val="102"/>
        </w:trPr>
        <w:tc>
          <w:tcPr>
            <w:tcW w:w="640" w:type="dxa"/>
            <w:vAlign w:val="bottom"/>
            <w:vMerge w:val="continue"/>
          </w:tcPr>
          <w:p>
            <w:pPr>
              <w:spacing w:after="0"/>
              <w:rPr>
                <w:sz w:val="8"/>
                <w:szCs w:val="8"/>
                <w:color w:val="auto"/>
              </w:rPr>
            </w:pPr>
          </w:p>
        </w:tc>
        <w:tc>
          <w:tcPr>
            <w:tcW w:w="1080" w:type="dxa"/>
            <w:vAlign w:val="bottom"/>
            <w:tcBorders>
              <w:top w:val="single" w:sz="8" w:color="0000FF"/>
            </w:tcBorders>
            <w:gridSpan w:val="2"/>
            <w:vMerge w:val="restart"/>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Act.</w:t>
              </w:r>
            </w:hyperlink>
          </w:p>
        </w:tc>
        <w:tc>
          <w:tcPr>
            <w:tcW w:w="30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36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060" w:type="dxa"/>
            <w:vAlign w:val="bottom"/>
          </w:tcPr>
          <w:p>
            <w:pPr>
              <w:spacing w:after="0"/>
              <w:rPr>
                <w:sz w:val="4"/>
                <w:szCs w:val="4"/>
                <w:color w:val="auto"/>
              </w:rPr>
            </w:pPr>
          </w:p>
        </w:tc>
        <w:tc>
          <w:tcPr>
            <w:tcW w:w="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32.1</w:t>
            </w:r>
          </w:p>
        </w:tc>
        <w:tc>
          <w:tcPr>
            <w:tcW w:w="1080" w:type="dxa"/>
            <w:vAlign w:val="bottom"/>
            <w:gridSpan w:val="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Section 1350</w:t>
              </w:r>
            </w:hyperlink>
          </w:p>
        </w:tc>
        <w:tc>
          <w:tcPr>
            <w:tcW w:w="5540" w:type="dxa"/>
            <w:vAlign w:val="bottom"/>
            <w:gridSpan w:val="4"/>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by Chief Executive Officer.</w:t>
              </w:r>
            </w:hyperlink>
          </w:p>
        </w:tc>
        <w:tc>
          <w:tcPr>
            <w:tcW w:w="0" w:type="dxa"/>
            <w:vAlign w:val="bottom"/>
          </w:tcPr>
          <w:p>
            <w:pPr>
              <w:spacing w:after="0"/>
              <w:rPr>
                <w:sz w:val="1"/>
                <w:szCs w:val="1"/>
                <w:color w:val="auto"/>
              </w:rPr>
            </w:pPr>
          </w:p>
        </w:tc>
      </w:tr>
      <w:tr>
        <w:trPr>
          <w:trHeight w:val="263"/>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32.2</w:t>
            </w:r>
          </w:p>
        </w:tc>
        <w:tc>
          <w:tcPr>
            <w:tcW w:w="1080" w:type="dxa"/>
            <w:vAlign w:val="bottom"/>
            <w:tcBorders>
              <w:top w:val="single" w:sz="8" w:color="0000FF"/>
            </w:tcBorders>
            <w:gridSpan w:val="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Section 1350</w:t>
              </w:r>
            </w:hyperlink>
          </w:p>
        </w:tc>
        <w:tc>
          <w:tcPr>
            <w:tcW w:w="3120" w:type="dxa"/>
            <w:vAlign w:val="bottom"/>
            <w:tcBorders>
              <w:top w:val="single" w:sz="8" w:color="0000FF"/>
            </w:tcBorders>
            <w:gridSpan w:val="2"/>
          </w:tcPr>
          <w:p>
            <w:pPr>
              <w:ind w:left="20"/>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by Chief Financial Officer.</w:t>
              </w:r>
            </w:hyperlink>
          </w:p>
        </w:tc>
        <w:tc>
          <w:tcPr>
            <w:tcW w:w="24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20"/>
        <w:spacing w:after="0" w:line="215" w:lineRule="auto"/>
        <w:rPr>
          <w:sz w:val="20"/>
          <w:szCs w:val="20"/>
          <w:color w:val="auto"/>
        </w:rPr>
      </w:pPr>
      <w:r>
        <w:rPr>
          <w:rFonts w:ascii="Arial" w:cs="Arial" w:eastAsia="Arial" w:hAnsi="Arial"/>
          <w:sz w:val="17"/>
          <w:szCs w:val="17"/>
          <w:color w:val="auto"/>
        </w:rPr>
        <w:t>Financial statements from the Annual Report on Form 10-K of Hawkins, Inc. for the period ended March 28, 2021, filed with the SEC on May 20, 2021, formatted in Inline Extensible Business Reporting Language (iXBRL): (i) the Consolidated Balance Sheets at March 28, 2021 and March 29, 2020 (ii) the Consolidated Statements of Income for the fiscal years ended March 28, 2021, March 29, 2020, and March 31,</w:t>
      </w:r>
    </w:p>
    <w:p>
      <w:pPr>
        <w:spacing w:after="0" w:line="2" w:lineRule="exact"/>
        <w:rPr>
          <w:sz w:val="20"/>
          <w:szCs w:val="20"/>
          <w:color w:val="auto"/>
        </w:rPr>
      </w:pPr>
    </w:p>
    <w:p>
      <w:pPr>
        <w:ind w:left="720" w:hanging="599"/>
        <w:spacing w:after="0" w:line="20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2019, (iii) the Consolidated Statements of Comprehensive Income for the fiscal years ended March 28, 2021, March 29, 2020, and March 31, 2019, (iv) the Consolidated Statements of Shareholders’ Equity for the fiscal years ended March 28, 2021, March 29, 2020, and March 31, 2019 (v) Consolidated Statements of Cash Flows for the fiscal years ended March 28, 2021, March 29, 2020, and March 31, 2019, and</w:t>
      </w:r>
    </w:p>
    <w:p>
      <w:pPr>
        <w:spacing w:after="0" w:line="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(iv) Notes to Consolidated Financial Statements.</w:t>
      </w:r>
    </w:p>
    <w:p>
      <w:pPr>
        <w:spacing w:after="0" w:line="77"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799465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94" w:lineRule="exact"/>
        <w:rPr>
          <w:sz w:val="20"/>
          <w:szCs w:val="20"/>
          <w:color w:val="auto"/>
        </w:rPr>
      </w:pPr>
    </w:p>
    <w:p>
      <w:pPr>
        <w:spacing w:after="0" w:line="331" w:lineRule="auto"/>
        <w:rPr>
          <w:sz w:val="20"/>
          <w:szCs w:val="20"/>
          <w:color w:val="auto"/>
        </w:rPr>
      </w:pPr>
      <w:r>
        <w:rPr>
          <w:rFonts w:ascii="Arial" w:cs="Arial" w:eastAsia="Arial" w:hAnsi="Arial"/>
          <w:sz w:val="18"/>
          <w:szCs w:val="18"/>
          <w:color w:val="auto"/>
        </w:rPr>
        <w:t>Incorporated by Reference Incorporated by Reference Filed Electronically Incorporated by Reference Incorporated by Reference Incorporated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w:t>
      </w:r>
    </w:p>
    <w:p>
      <w:pPr>
        <w:spacing w:after="0" w:line="171" w:lineRule="exact"/>
        <w:rPr>
          <w:sz w:val="20"/>
          <w:szCs w:val="20"/>
          <w:color w:val="auto"/>
        </w:rPr>
      </w:pPr>
    </w:p>
    <w:p>
      <w:pPr>
        <w:spacing w:after="0" w:line="328" w:lineRule="auto"/>
        <w:rPr>
          <w:sz w:val="20"/>
          <w:szCs w:val="20"/>
          <w:color w:val="auto"/>
        </w:rPr>
      </w:pPr>
      <w:r>
        <w:rPr>
          <w:rFonts w:ascii="Arial" w:cs="Arial" w:eastAsia="Arial" w:hAnsi="Arial"/>
          <w:sz w:val="18"/>
          <w:szCs w:val="18"/>
          <w:color w:val="auto"/>
        </w:rPr>
        <w:t>Filed Electronically Incorporated by Reference Filed Electronically Filed Electronically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ectPr>
          <w:pgSz w:w="11900" w:h="16838" w:orient="portrait"/>
          <w:cols w:equalWidth="0" w:num="2">
            <w:col w:w="7500" w:space="220"/>
            <w:col w:w="2140"/>
          </w:cols>
          <w:pgMar w:left="1180" w:top="927" w:right="859" w:bottom="1440" w:gutter="0" w:footer="0" w:header="0"/>
          <w:type w:val="continuous"/>
        </w:sectPr>
      </w:pPr>
    </w:p>
    <w:bookmarkStart w:id="50" w:name="page51"/>
    <w:bookmarkEnd w:id="50"/>
    <w:p>
      <w:pPr>
        <w:ind w:left="680" w:hanging="65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t>Management contract or compensation plan or arrangement required to be filed as an exhibit to this Annual Report on Form 10-K.</w:t>
      </w:r>
    </w:p>
    <w:p>
      <w:pPr>
        <w:spacing w:after="0" w:line="360" w:lineRule="exact"/>
        <w:rPr>
          <w:rFonts w:ascii="Arial" w:cs="Arial" w:eastAsia="Arial" w:hAnsi="Arial"/>
          <w:sz w:val="18"/>
          <w:szCs w:val="18"/>
          <w:color w:val="auto"/>
        </w:rPr>
      </w:pPr>
    </w:p>
    <w:p>
      <w:pPr>
        <w:ind w:left="580" w:right="460" w:hanging="329"/>
        <w:spacing w:after="0" w:line="261" w:lineRule="auto"/>
        <w:tabs>
          <w:tab w:leader="none" w:pos="5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dated February 26, 2021 and filed March March 2, 2021.</w:t>
      </w:r>
    </w:p>
    <w:p>
      <w:pPr>
        <w:spacing w:after="0" w:line="143" w:lineRule="exact"/>
        <w:rPr>
          <w:rFonts w:ascii="Arial" w:cs="Arial" w:eastAsia="Arial" w:hAnsi="Arial"/>
          <w:sz w:val="18"/>
          <w:szCs w:val="18"/>
          <w:color w:val="auto"/>
        </w:rPr>
      </w:pPr>
    </w:p>
    <w:p>
      <w:pPr>
        <w:ind w:left="580" w:hanging="329"/>
        <w:spacing w:after="0" w:line="261" w:lineRule="auto"/>
        <w:tabs>
          <w:tab w:leader="none" w:pos="5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w:t>
      </w:r>
    </w:p>
    <w:p>
      <w:pPr>
        <w:spacing w:after="0" w:line="143" w:lineRule="exact"/>
        <w:rPr>
          <w:rFonts w:ascii="Arial" w:cs="Arial" w:eastAsia="Arial" w:hAnsi="Arial"/>
          <w:sz w:val="18"/>
          <w:szCs w:val="18"/>
          <w:color w:val="auto"/>
        </w:rPr>
      </w:pPr>
    </w:p>
    <w:p>
      <w:pPr>
        <w:ind w:left="600" w:hanging="349"/>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Registration Statement on Form S-8 filed June 6, 2011.</w:t>
      </w:r>
    </w:p>
    <w:p>
      <w:pPr>
        <w:spacing w:after="0" w:line="171" w:lineRule="exact"/>
        <w:rPr>
          <w:rFonts w:ascii="Arial" w:cs="Arial" w:eastAsia="Arial" w:hAnsi="Arial"/>
          <w:sz w:val="18"/>
          <w:szCs w:val="18"/>
          <w:color w:val="auto"/>
        </w:rPr>
      </w:pPr>
    </w:p>
    <w:p>
      <w:pPr>
        <w:ind w:left="580" w:right="420" w:hanging="329"/>
        <w:spacing w:after="0" w:line="261" w:lineRule="auto"/>
        <w:tabs>
          <w:tab w:leader="none" w:pos="5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quarterly period ended July 3, 2011.</w:t>
      </w:r>
    </w:p>
    <w:p>
      <w:pPr>
        <w:spacing w:after="0" w:line="143" w:lineRule="exact"/>
        <w:rPr>
          <w:rFonts w:ascii="Arial" w:cs="Arial" w:eastAsia="Arial" w:hAnsi="Arial"/>
          <w:sz w:val="18"/>
          <w:szCs w:val="18"/>
          <w:color w:val="auto"/>
        </w:rPr>
      </w:pPr>
    </w:p>
    <w:p>
      <w:pPr>
        <w:ind w:left="600" w:hanging="349"/>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99.1 to the Company’s Registration Statement on Form S-8 filed November 2, 2018.</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Registration Statement on Form 8-K filed December 3, 2018.</w:t>
      </w:r>
    </w:p>
    <w:p>
      <w:pPr>
        <w:spacing w:after="0" w:line="171" w:lineRule="exact"/>
        <w:rPr>
          <w:rFonts w:ascii="Arial" w:cs="Arial" w:eastAsia="Arial" w:hAnsi="Arial"/>
          <w:sz w:val="18"/>
          <w:szCs w:val="18"/>
          <w:color w:val="auto"/>
        </w:rPr>
      </w:pPr>
    </w:p>
    <w:p>
      <w:pPr>
        <w:ind w:left="580" w:right="60" w:hanging="329"/>
        <w:spacing w:after="0" w:line="261" w:lineRule="auto"/>
        <w:tabs>
          <w:tab w:leader="none" w:pos="5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for the quarterly period ended September 29, 2019.</w:t>
      </w:r>
    </w:p>
    <w:p>
      <w:pPr>
        <w:spacing w:after="0" w:line="143" w:lineRule="exact"/>
        <w:rPr>
          <w:rFonts w:ascii="Arial" w:cs="Arial" w:eastAsia="Arial" w:hAnsi="Arial"/>
          <w:sz w:val="18"/>
          <w:szCs w:val="18"/>
          <w:color w:val="auto"/>
        </w:rPr>
      </w:pPr>
    </w:p>
    <w:p>
      <w:pPr>
        <w:ind w:left="600" w:hanging="349"/>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10.10 to the Company’s Annual Report on Form 10-K filed May 20,2020.</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16.1 to the Company’s Current Report on Form 8-K dated February 11, 2020.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3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HAWKINS, INC.</w:t>
      </w:r>
    </w:p>
    <w:p>
      <w:pPr>
        <w:spacing w:after="0" w:line="293" w:lineRule="exact"/>
        <w:rPr>
          <w:sz w:val="20"/>
          <w:szCs w:val="20"/>
          <w:color w:val="auto"/>
        </w:rPr>
      </w:pPr>
    </w:p>
    <w:tbl>
      <w:tblPr>
        <w:tblLayout w:type="fixed"/>
        <w:tblInd w:w="6100" w:type="dxa"/>
        <w:tblCellMar>
          <w:top w:w="0" w:type="dxa"/>
          <w:left w:w="0" w:type="dxa"/>
          <w:bottom w:w="0" w:type="dxa"/>
          <w:right w:w="0" w:type="dxa"/>
        </w:tblCellMar>
      </w:tblP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H. Hawkins</w:t>
            </w:r>
          </w:p>
        </w:tc>
      </w:tr>
      <w:tr>
        <w:trPr>
          <w:trHeight w:val="182"/>
        </w:trPr>
        <w:tc>
          <w:tcPr>
            <w:tcW w:w="680" w:type="dxa"/>
            <w:vAlign w:val="bottom"/>
          </w:tcPr>
          <w:p>
            <w:pPr>
              <w:spacing w:after="0"/>
              <w:rPr>
                <w:sz w:val="15"/>
                <w:szCs w:val="15"/>
                <w:color w:val="auto"/>
              </w:rPr>
            </w:pPr>
          </w:p>
        </w:tc>
        <w:tc>
          <w:tcPr>
            <w:tcW w:w="3940" w:type="dxa"/>
            <w:vAlign w:val="bottom"/>
          </w:tcPr>
          <w:p>
            <w:pPr>
              <w:ind w:left="20"/>
              <w:spacing w:after="0" w:line="182" w:lineRule="exact"/>
              <w:rPr>
                <w:sz w:val="20"/>
                <w:szCs w:val="20"/>
                <w:color w:val="auto"/>
              </w:rPr>
            </w:pPr>
            <w:r>
              <w:rPr>
                <w:rFonts w:ascii="Arial" w:cs="Arial" w:eastAsia="Arial" w:hAnsi="Arial"/>
                <w:sz w:val="18"/>
                <w:szCs w:val="18"/>
                <w:color w:val="auto"/>
              </w:rPr>
              <w:t>Patrick H. Hawkins</w:t>
            </w:r>
          </w:p>
        </w:tc>
      </w:tr>
      <w:tr>
        <w:trPr>
          <w:trHeight w:val="217"/>
        </w:trPr>
        <w:tc>
          <w:tcPr>
            <w:tcW w:w="6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bl>
    <w:p>
      <w:pPr>
        <w:spacing w:after="0" w:line="1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Dated:</w:t>
        <w:tab/>
        <w:t>June 2, 2021</w:t>
      </w:r>
    </w:p>
    <w:p>
      <w:pPr>
        <w:spacing w:after="0" w:line="36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18"/>
                <w:szCs w:val="18"/>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20"/>
                <w:szCs w:val="20"/>
                <w:color w:val="auto"/>
              </w:rPr>
            </w:pPr>
            <w:r>
              <w:rPr>
                <w:rFonts w:ascii="Arial" w:cs="Arial" w:eastAsia="Arial" w:hAnsi="Arial"/>
                <w:sz w:val="18"/>
                <w:szCs w:val="18"/>
                <w:color w:val="auto"/>
              </w:rPr>
              <w:t>Date</w:t>
            </w:r>
          </w:p>
        </w:tc>
      </w:tr>
      <w:tr>
        <w:trPr>
          <w:trHeight w:val="466"/>
        </w:trPr>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Patrick H. Hawkins</w:t>
            </w:r>
          </w:p>
        </w:tc>
        <w:tc>
          <w:tcPr>
            <w:tcW w:w="240" w:type="dxa"/>
            <w:vAlign w:val="bottom"/>
          </w:tcPr>
          <w:p>
            <w:pPr>
              <w:spacing w:after="0"/>
              <w:rPr>
                <w:sz w:val="24"/>
                <w:szCs w:val="24"/>
                <w:color w:val="auto"/>
              </w:rPr>
            </w:pPr>
          </w:p>
        </w:tc>
        <w:tc>
          <w:tcPr>
            <w:tcW w:w="5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Patrick H. Hawkins</w:t>
            </w:r>
          </w:p>
        </w:tc>
        <w:tc>
          <w:tcPr>
            <w:tcW w:w="240" w:type="dxa"/>
            <w:vAlign w:val="bottom"/>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640" w:type="dxa"/>
            <w:vAlign w:val="bottom"/>
          </w:tcPr>
          <w:p>
            <w:pPr>
              <w:spacing w:after="0"/>
              <w:rPr>
                <w:sz w:val="19"/>
                <w:szCs w:val="19"/>
                <w:color w:val="auto"/>
              </w:rPr>
            </w:pPr>
          </w:p>
        </w:tc>
      </w:tr>
      <w:tr>
        <w:trPr>
          <w:trHeight w:val="229"/>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Oldenkamp</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Jeffrey P. Oldenkamp</w:t>
            </w:r>
          </w:p>
        </w:tc>
        <w:tc>
          <w:tcPr>
            <w:tcW w:w="240" w:type="dxa"/>
            <w:vAlign w:val="bottom"/>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640" w:type="dxa"/>
            <w:vAlign w:val="bottom"/>
          </w:tcPr>
          <w:p>
            <w:pPr>
              <w:spacing w:after="0"/>
              <w:rPr>
                <w:sz w:val="19"/>
                <w:szCs w:val="19"/>
                <w:color w:val="auto"/>
              </w:rPr>
            </w:pPr>
          </w:p>
        </w:tc>
      </w:tr>
      <w:tr>
        <w:trPr>
          <w:trHeight w:val="229"/>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James A. Faulconbridge</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Mary J. Schumacher</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Daniel J. Stauber</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Yi "Faith" Tang</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James T. Thompson</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8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40" w:type="dxa"/>
            <w:vAlign w:val="bottom"/>
          </w:tcPr>
          <w:p>
            <w:pPr>
              <w:spacing w:after="0"/>
              <w:rPr>
                <w:sz w:val="20"/>
                <w:szCs w:val="20"/>
                <w:color w:val="auto"/>
              </w:rPr>
            </w:pPr>
            <w:r>
              <w:rPr>
                <w:rFonts w:ascii="Arial" w:cs="Arial" w:eastAsia="Arial" w:hAnsi="Arial"/>
                <w:sz w:val="18"/>
                <w:szCs w:val="18"/>
                <w:color w:val="auto"/>
              </w:rPr>
              <w:t>June 2, 2021</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Jeffrey L. Wright</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15" w:lineRule="exact"/>
        <w:rPr>
          <w:sz w:val="20"/>
          <w:szCs w:val="20"/>
          <w:color w:val="auto"/>
        </w:rPr>
      </w:pPr>
    </w:p>
    <w:p>
      <w:pPr>
        <w:ind w:right="260" w:firstLine="8"/>
        <w:spacing w:after="0" w:line="219" w:lineRule="auto"/>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Patrick H. Hawkins, by signing his name hereto, does hereby sign this document on behalf of each of the above-named directors of the registrant pursuant to Powers of Attorney duly executed by such persons.</w:t>
      </w:r>
    </w:p>
    <w:p>
      <w:pPr>
        <w:spacing w:after="0" w:line="2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6350</wp:posOffset>
            </wp:positionV>
            <wp:extent cx="3077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27" w:right="47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VALUATION AND QUALIFYING ACCOUNTS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YEARS ENDED March 28, 2021, March 29, 2020 AND March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259"/>
              <w:spacing w:after="0" w:line="142" w:lineRule="exact"/>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2"/>
                <w:szCs w:val="12"/>
                <w:color w:val="auto"/>
              </w:rPr>
            </w:pPr>
          </w:p>
        </w:tc>
        <w:tc>
          <w:tcPr>
            <w:tcW w:w="1180" w:type="dxa"/>
            <w:vAlign w:val="bottom"/>
          </w:tcPr>
          <w:p>
            <w:pPr>
              <w:jc w:val="center"/>
              <w:ind w:right="140"/>
              <w:spacing w:after="0" w:line="142" w:lineRule="exact"/>
              <w:rPr>
                <w:sz w:val="20"/>
                <w:szCs w:val="20"/>
                <w:color w:val="auto"/>
              </w:rPr>
            </w:pPr>
            <w:r>
              <w:rPr>
                <w:rFonts w:ascii="Arial" w:cs="Arial" w:eastAsia="Arial" w:hAnsi="Arial"/>
                <w:sz w:val="14"/>
                <w:szCs w:val="14"/>
                <w:b w:val="1"/>
                <w:bCs w:val="1"/>
                <w:color w:val="auto"/>
              </w:rPr>
              <w:t>Charged to</w:t>
            </w:r>
          </w:p>
        </w:tc>
        <w:tc>
          <w:tcPr>
            <w:tcW w:w="260" w:type="dxa"/>
            <w:vAlign w:val="bottom"/>
          </w:tcPr>
          <w:p>
            <w:pPr>
              <w:spacing w:after="0"/>
              <w:rPr>
                <w:sz w:val="12"/>
                <w:szCs w:val="12"/>
                <w:color w:val="auto"/>
              </w:rPr>
            </w:pPr>
          </w:p>
        </w:tc>
        <w:tc>
          <w:tcPr>
            <w:tcW w:w="1220" w:type="dxa"/>
            <w:vAlign w:val="bottom"/>
          </w:tcPr>
          <w:p>
            <w:pPr>
              <w:jc w:val="center"/>
              <w:ind w:right="100"/>
              <w:spacing w:after="0" w:line="142" w:lineRule="exact"/>
              <w:rPr>
                <w:sz w:val="20"/>
                <w:szCs w:val="20"/>
                <w:color w:val="auto"/>
              </w:rPr>
            </w:pPr>
            <w:r>
              <w:rPr>
                <w:rFonts w:ascii="Arial" w:cs="Arial" w:eastAsia="Arial" w:hAnsi="Arial"/>
                <w:sz w:val="14"/>
                <w:szCs w:val="14"/>
                <w:b w:val="1"/>
                <w:bCs w:val="1"/>
                <w:color w:val="auto"/>
              </w:rPr>
              <w:t>Charged to</w:t>
            </w:r>
          </w:p>
        </w:tc>
        <w:tc>
          <w:tcPr>
            <w:tcW w:w="320" w:type="dxa"/>
            <w:vAlign w:val="bottom"/>
          </w:tcPr>
          <w:p>
            <w:pPr>
              <w:spacing w:after="0"/>
              <w:rPr>
                <w:sz w:val="12"/>
                <w:szCs w:val="12"/>
                <w:color w:val="auto"/>
              </w:rPr>
            </w:pPr>
          </w:p>
        </w:tc>
        <w:tc>
          <w:tcPr>
            <w:tcW w:w="12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1"/>
                <w:szCs w:val="11"/>
                <w:color w:val="auto"/>
              </w:rPr>
            </w:pPr>
          </w:p>
        </w:tc>
        <w:tc>
          <w:tcPr>
            <w:tcW w:w="118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rPr>
              <w:t>Costs and</w:t>
            </w:r>
          </w:p>
        </w:tc>
        <w:tc>
          <w:tcPr>
            <w:tcW w:w="260" w:type="dxa"/>
            <w:vAlign w:val="bottom"/>
          </w:tcPr>
          <w:p>
            <w:pPr>
              <w:spacing w:after="0"/>
              <w:rPr>
                <w:sz w:val="11"/>
                <w:szCs w:val="11"/>
                <w:color w:val="auto"/>
              </w:rPr>
            </w:pPr>
          </w:p>
        </w:tc>
        <w:tc>
          <w:tcPr>
            <w:tcW w:w="122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rPr>
              <w:t>of Year</w:t>
            </w:r>
          </w:p>
        </w:tc>
        <w:tc>
          <w:tcPr>
            <w:tcW w:w="220" w:type="dxa"/>
            <w:vAlign w:val="bottom"/>
          </w:tcPr>
          <w:p>
            <w:pPr>
              <w:spacing w:after="0"/>
              <w:rPr>
                <w:sz w:val="12"/>
                <w:szCs w:val="12"/>
                <w:color w:val="auto"/>
              </w:rPr>
            </w:pPr>
          </w:p>
        </w:tc>
        <w:tc>
          <w:tcPr>
            <w:tcW w:w="11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Accounts</w:t>
            </w:r>
          </w:p>
        </w:tc>
        <w:tc>
          <w:tcPr>
            <w:tcW w:w="320" w:type="dxa"/>
            <w:vAlign w:val="bottom"/>
          </w:tcPr>
          <w:p>
            <w:pPr>
              <w:spacing w:after="0"/>
              <w:rPr>
                <w:sz w:val="12"/>
                <w:szCs w:val="12"/>
                <w:color w:val="auto"/>
              </w:rPr>
            </w:pPr>
          </w:p>
        </w:tc>
        <w:tc>
          <w:tcPr>
            <w:tcW w:w="122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Write-Offs</w:t>
            </w:r>
          </w:p>
        </w:tc>
        <w:tc>
          <w:tcPr>
            <w:tcW w:w="280" w:type="dxa"/>
            <w:vAlign w:val="bottom"/>
          </w:tcPr>
          <w:p>
            <w:pPr>
              <w:spacing w:after="0"/>
              <w:rPr>
                <w:sz w:val="12"/>
                <w:szCs w:val="12"/>
                <w:color w:val="auto"/>
              </w:rPr>
            </w:pPr>
          </w:p>
        </w:tc>
        <w:tc>
          <w:tcPr>
            <w:tcW w:w="120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60" w:type="dxa"/>
            <w:vAlign w:val="bottom"/>
            <w:gridSpan w:val="2"/>
          </w:tcPr>
          <w:p>
            <w:pPr>
              <w:spacing w:after="0" w:line="187" w:lineRule="exact"/>
              <w:rPr>
                <w:sz w:val="20"/>
                <w:szCs w:val="20"/>
                <w:color w:val="auto"/>
              </w:rPr>
            </w:pPr>
            <w:r>
              <w:rPr>
                <w:rFonts w:ascii="Arial" w:cs="Arial" w:eastAsia="Arial" w:hAnsi="Arial"/>
                <w:sz w:val="18"/>
                <w:szCs w:val="18"/>
                <w:color w:val="auto"/>
              </w:rPr>
              <w:t>Reserve deducted from asset to which it</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Arial" w:cs="Arial" w:eastAsia="Arial" w:hAnsi="Arial"/>
                <w:sz w:val="18"/>
                <w:szCs w:val="18"/>
                <w:color w:val="auto"/>
              </w:rPr>
              <w:t>applies: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spacing w:after="0"/>
              <w:rPr>
                <w:sz w:val="20"/>
                <w:szCs w:val="20"/>
                <w:color w:val="auto"/>
              </w:rPr>
            </w:pPr>
            <w:r>
              <w:rPr>
                <w:rFonts w:ascii="Arial" w:cs="Arial" w:eastAsia="Arial" w:hAnsi="Arial"/>
                <w:sz w:val="18"/>
                <w:szCs w:val="18"/>
                <w:color w:val="auto"/>
              </w:rPr>
              <w:t>Fiscal Year Ended March 28, 2021: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784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Fiscal Year Ended March 29, 2020: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6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620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448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Fiscal Year Ended March 31, 2019:</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942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bl>
    <w:p>
      <w:pPr>
        <w:sectPr>
          <w:pgSz w:w="11900" w:h="16838" w:orient="portrait"/>
          <w:cols w:equalWidth="0" w:num="1">
            <w:col w:w="11160"/>
          </w:cols>
          <w:pgMar w:left="340" w:top="927"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description of the common shares of Hawkins, Inc. (the “Company”) does not purport to be complete and is subject to and qualified by reference to the Company’s Amended and Restated Articles of Incorporation (the “Articles”) and Amended and Restated By</w:t>
      </w:r>
      <w:r>
        <w:rPr>
          <w:rFonts w:ascii="MS PGothic" w:cs="MS PGothic" w:eastAsia="MS PGothic" w:hAnsi="MS PGothic"/>
          <w:sz w:val="18"/>
          <w:szCs w:val="18"/>
          <w:color w:val="auto"/>
        </w:rPr>
        <w:t>‑</w:t>
      </w:r>
      <w:r>
        <w:rPr>
          <w:rFonts w:ascii="Arial" w:cs="Arial" w:eastAsia="Arial" w:hAnsi="Arial"/>
          <w:sz w:val="18"/>
          <w:szCs w:val="18"/>
          <w:color w:val="auto"/>
        </w:rPr>
        <w:t>Laws (the “Bylaws”) and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authorized to issue up to 60,000,000 shares, with a par value of $0.01 per share (the “common shares”). The common shares may be allotted as and when the Company’s Board of Directors (the “Board”) shall determine, and, under and pursuant to the laws of the State of Minnesota, the Board has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common share entitles the holder to one vote for all purposes and cumulative voting is not permitted in the election of directors. Significant corporate transactions, such as amendments to the Articles, mergers, sales of assets and dissolution or liquidation, require approval by the affirmative vote of the majority of the outstanding common shares. Other matters to be voted upon by the holders of common shares normally require the affirmative vote of a majority of the shares present at the particular shareholders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Holders of the common shares are entitled to receive dividends in the form of cash, property or shares of capital stock of the Company, when and as declared by the Board, provided there are sufficient earnings or surplus legally available for that purpose. All of the issued and outstanding common shares are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Rights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are no preemptive, subscription, conversion, redemption or sinking fund rights pertaining to the common shares. The absence of preemptive rights could result in a dilution of the interest of investors should additional common shares be issued.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Common shares are entitled to share ratably in all of the Company’s assets available for distribution upon liquidation, dissolution or winding up of the affairs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provisions of Minnesota law described below could have anti-takeover effects. These provisions are intended to provide management flexibility and to enhance the likelihood of continuity and stability in the composition of the Board and in the policies formulated by the Board and to discourage an unsolicited takeover of the Company, if the Board determines that such a takeover is not in the best interests of the Company and its shareholders. However, these provisions could have the effect of discouraging certain attempts to acquire the Company that could deprive shareholders of opportunities to sell their common shares at prices higher than prevailing market prices.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Section 302A.671 of the Minnesota Business Corporation Act applies, with certain exceptions, to any acquisition of the Company’s voting stock (from a person other than the Company and other than in connection with certain mergers and exchanges to which the Company is a party) resulting in the acquiring person owning 20% or more of its voting stock then outstanding. Section 302A.671 requires approval of any such acquisitions by a majority vote of the Company’s shareholders prior to consummation. In general, shares acquired in the absence of such approval are denied voting rights and are redeemable at their then fair market value by the Company within thirty days after the acquiring person has failed to give a timely information statement to the Company or the date the shareholders voted not to grant voting rights to the acquiring person’s shares.</w:t>
      </w:r>
    </w:p>
    <w:p>
      <w:pPr>
        <w:sectPr>
          <w:pgSz w:w="11900" w:h="16838" w:orient="portrait"/>
          <w:cols w:equalWidth="0" w:num="1">
            <w:col w:w="11240"/>
          </w:cols>
          <w:pgMar w:left="320" w:top="886" w:right="339" w:bottom="1440" w:gutter="0" w:footer="0" w:header="0"/>
        </w:sectPr>
      </w:pPr>
    </w:p>
    <w:bookmarkStart w:id="54" w:name="page55"/>
    <w:bookmarkEnd w:id="54"/>
    <w:p>
      <w:pPr>
        <w:jc w:val="both"/>
        <w:spacing w:after="0" w:line="254" w:lineRule="auto"/>
        <w:rPr>
          <w:sz w:val="20"/>
          <w:szCs w:val="20"/>
          <w:color w:val="auto"/>
        </w:rPr>
      </w:pPr>
      <w:r>
        <w:rPr>
          <w:rFonts w:ascii="Arial" w:cs="Arial" w:eastAsia="Arial" w:hAnsi="Arial"/>
          <w:sz w:val="18"/>
          <w:szCs w:val="18"/>
          <w:color w:val="auto"/>
        </w:rPr>
        <w:t>Section 302A.673 of the Minnesota Business Corporation Act generally prohibits the Company or any of its subsidiaries from entering into any transaction with a shareholder under which the shareholder purchases 10% or more of the Company’s voting shares (an “interested shareholder”) within four years following the date the person became an interested shareholder, unless the transaction is approved by a committee of all of the disinterested members of the Board serving before the interested shareholder acquires the shares.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the various Minnesota statutory provisions described above, certain provisions in the Articles and Bylaws could have an anti-takeover effect. The Articles provide that the holders of the common shares do not have cumulative voting rights. For the shareholders to call a special meeting, the Bylaws require that at least 10% of the voting power of the shareholders must join in the request and at least 25% of the voting power of the shareholders must join in the request for a special meeting in the case of a special meeting called for the purpose of considering any action to directly or indirectly effect a business combination, including any action to change or otherwise affect the composition of the Board for that purpose. Furthermore, the Board has the power to issue any or all of the shares of undesignated common shares, including the authority to establish one or more series and to fix the powers, preferences, rights and limitations of such class or series, without seeking shareholder approval, and the right to fill vacancies of the Board (including a vacancy created by an increase in the Board).</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Bylaws include an advance notice procedure for shareholder proposals to be brought before an annual meeting of shareholders, including proposed nominations of candidates for election to the Board. Shareholders at an annual meeting will only be able to consider proposals or nominations specified in the notice of meeting or brought before the meeting by or at the direction of the Board, or by a shareholder that has delivered timely written notice in proper form to the Company’s secretary of the business to be brought before the meeting. These provisions could have the effect of delaying shareholder actions that may be favored by the holders of a majority of the Company’s outstanding voting securities until the next shareholder meeting, or may discourage or deter a potential acquirer from conducting a solicitation of proxies to elect its own slate of directors or otherwise attempt to obtain control of the Company.</w:t>
      </w:r>
    </w:p>
    <w:p>
      <w:pPr>
        <w:sectPr>
          <w:pgSz w:w="11900" w:h="16838" w:orient="portrait"/>
          <w:cols w:equalWidth="0" w:num="1">
            <w:col w:w="11240"/>
          </w:cols>
          <w:pgMar w:left="320" w:top="90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10.7</w:t>
      </w:r>
    </w:p>
    <w:p>
      <w:pPr>
        <w:spacing w:after="0" w:line="28" w:lineRule="exact"/>
        <w:rPr>
          <w:sz w:val="20"/>
          <w:szCs w:val="20"/>
          <w:color w:val="auto"/>
        </w:rPr>
      </w:pPr>
    </w:p>
    <w:p>
      <w:pPr>
        <w:jc w:val="center"/>
        <w:ind w:right="150"/>
        <w:spacing w:after="0"/>
        <w:rPr>
          <w:sz w:val="20"/>
          <w:szCs w:val="20"/>
          <w:color w:val="auto"/>
        </w:rPr>
      </w:pPr>
      <w:r>
        <w:rPr>
          <w:rFonts w:ascii="Arial" w:cs="Arial" w:eastAsia="Arial" w:hAnsi="Arial"/>
          <w:sz w:val="20"/>
          <w:szCs w:val="20"/>
          <w:b w:val="1"/>
          <w:bCs w:val="1"/>
          <w:color w:val="auto"/>
        </w:rPr>
        <w:t>Nine Year LTI with Shirley Rozeboom</w:t>
      </w:r>
    </w:p>
    <w:p>
      <w:pPr>
        <w:spacing w:after="0" w:line="23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 ELIGIBILITY:</w:t>
      </w:r>
    </w:p>
    <w:p>
      <w:pPr>
        <w:spacing w:after="0" w:line="139" w:lineRule="exact"/>
        <w:rPr>
          <w:sz w:val="20"/>
          <w:szCs w:val="20"/>
          <w:color w:val="auto"/>
        </w:rPr>
      </w:pPr>
    </w:p>
    <w:p>
      <w:pPr>
        <w:ind w:left="650"/>
        <w:spacing w:after="0"/>
        <w:rPr>
          <w:sz w:val="20"/>
          <w:szCs w:val="20"/>
          <w:color w:val="auto"/>
        </w:rPr>
      </w:pPr>
      <w:r>
        <w:rPr>
          <w:rFonts w:ascii="Arial" w:cs="Arial" w:eastAsia="Arial" w:hAnsi="Arial"/>
          <w:sz w:val="18"/>
          <w:szCs w:val="18"/>
          <w:color w:val="auto"/>
        </w:rPr>
        <w:t>Shirley Rozeboom, SVP Sales and Marketing</w:t>
      </w:r>
    </w:p>
    <w:p>
      <w:pPr>
        <w:spacing w:after="0" w:line="203" w:lineRule="exact"/>
        <w:rPr>
          <w:sz w:val="20"/>
          <w:szCs w:val="20"/>
          <w:color w:val="auto"/>
        </w:rPr>
      </w:pPr>
    </w:p>
    <w:p>
      <w:pPr>
        <w:ind w:left="650" w:right="8300" w:hanging="650"/>
        <w:spacing w:after="0" w:line="412" w:lineRule="auto"/>
        <w:tabs>
          <w:tab w:leader="none" w:pos="20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PROGRAM EFFECTIVE DATE: </w:t>
      </w:r>
      <w:r>
        <w:rPr>
          <w:rFonts w:ascii="Arial" w:cs="Arial" w:eastAsia="Arial" w:hAnsi="Arial"/>
          <w:sz w:val="18"/>
          <w:szCs w:val="18"/>
          <w:color w:val="auto"/>
        </w:rPr>
        <w:t>September 2016</w:t>
      </w:r>
    </w:p>
    <w:p>
      <w:pPr>
        <w:spacing w:after="0" w:line="4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III. INDIVIDUAL COMPENSATION DESIGN SUMMARY</w:t>
      </w:r>
    </w:p>
    <w:p>
      <w:pPr>
        <w:sectPr>
          <w:pgSz w:w="11900" w:h="16838" w:orient="portrait"/>
          <w:cols w:equalWidth="0" w:num="1">
            <w:col w:w="11070"/>
          </w:cols>
          <w:pgMar w:left="490" w:top="886" w:right="339" w:bottom="1440" w:gutter="0" w:footer="0" w:header="0"/>
        </w:sectPr>
      </w:pPr>
    </w:p>
    <w:p>
      <w:pPr>
        <w:spacing w:after="0" w:line="139" w:lineRule="exact"/>
        <w:rPr>
          <w:sz w:val="20"/>
          <w:szCs w:val="20"/>
          <w:color w:val="auto"/>
        </w:rPr>
      </w:pPr>
    </w:p>
    <w:p>
      <w:pPr>
        <w:ind w:left="650"/>
        <w:spacing w:after="0"/>
        <w:rPr>
          <w:sz w:val="20"/>
          <w:szCs w:val="20"/>
          <w:color w:val="auto"/>
        </w:rPr>
      </w:pPr>
      <w:r>
        <w:rPr>
          <w:rFonts w:ascii="Arial" w:cs="Arial" w:eastAsia="Arial" w:hAnsi="Arial"/>
          <w:sz w:val="17"/>
          <w:szCs w:val="17"/>
          <w:color w:val="auto"/>
        </w:rPr>
        <w:t>Shirley Rozeboom</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Compensation</w:t>
      </w:r>
    </w:p>
    <w:p>
      <w:pPr>
        <w:spacing w:after="0" w:line="129" w:lineRule="exact"/>
        <w:rPr>
          <w:sz w:val="20"/>
          <w:szCs w:val="20"/>
          <w:color w:val="auto"/>
        </w:rPr>
      </w:pPr>
    </w:p>
    <w:p>
      <w:pPr>
        <w:sectPr>
          <w:pgSz w:w="11900" w:h="16838" w:orient="portrait"/>
          <w:cols w:equalWidth="0" w:num="2">
            <w:col w:w="2110" w:space="460"/>
            <w:col w:w="8500"/>
          </w:cols>
          <w:pgMar w:left="490" w:top="886" w:right="339" w:bottom="1440" w:gutter="0" w:footer="0" w:header="0"/>
          <w:type w:val="continuous"/>
        </w:sectPr>
      </w:pPr>
    </w:p>
    <w:p>
      <w:pPr>
        <w:ind w:left="650"/>
        <w:spacing w:after="0"/>
        <w:rPr>
          <w:sz w:val="20"/>
          <w:szCs w:val="20"/>
          <w:color w:val="auto"/>
        </w:rPr>
      </w:pPr>
      <w:r>
        <w:rPr>
          <w:rFonts w:ascii="Arial" w:cs="Arial" w:eastAsia="Arial" w:hAnsi="Arial"/>
          <w:sz w:val="17"/>
          <w:szCs w:val="17"/>
          <w:color w:val="auto"/>
        </w:rPr>
        <w:t>9 Year Retention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$500,000</w:t>
      </w:r>
    </w:p>
    <w:p>
      <w:pPr>
        <w:spacing w:after="0" w:line="200" w:lineRule="exact"/>
        <w:rPr>
          <w:sz w:val="20"/>
          <w:szCs w:val="20"/>
          <w:color w:val="auto"/>
        </w:rPr>
      </w:pPr>
    </w:p>
    <w:p>
      <w:pPr>
        <w:sectPr>
          <w:pgSz w:w="11900" w:h="16838" w:orient="portrait"/>
          <w:cols w:equalWidth="0" w:num="2">
            <w:col w:w="2770" w:space="400"/>
            <w:col w:w="7900"/>
          </w:cols>
          <w:pgMar w:left="490" w:top="886" w:right="339" w:bottom="1440" w:gutter="0" w:footer="0" w:header="0"/>
          <w:type w:val="continuous"/>
        </w:sectPr>
      </w:pPr>
    </w:p>
    <w:p>
      <w:pPr>
        <w:spacing w:after="0" w:line="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IV. PAYOUT OPPORTUNITY FOR LTIP:</w:t>
      </w:r>
    </w:p>
    <w:p>
      <w:pPr>
        <w:spacing w:after="0" w:line="139" w:lineRule="exact"/>
        <w:rPr>
          <w:sz w:val="20"/>
          <w:szCs w:val="20"/>
          <w:color w:val="auto"/>
        </w:rPr>
      </w:pPr>
    </w:p>
    <w:p>
      <w:pPr>
        <w:ind w:left="650"/>
        <w:spacing w:after="0"/>
        <w:rPr>
          <w:sz w:val="20"/>
          <w:szCs w:val="20"/>
          <w:color w:val="auto"/>
        </w:rPr>
      </w:pPr>
      <w:r>
        <w:rPr>
          <w:rFonts w:ascii="Arial" w:cs="Arial" w:eastAsia="Arial" w:hAnsi="Arial"/>
          <w:sz w:val="18"/>
          <w:szCs w:val="18"/>
          <w:color w:val="auto"/>
        </w:rPr>
        <w:t>$500,000 lump sum payment upon reaching 63rd birthday</w:t>
      </w:r>
    </w:p>
    <w:p>
      <w:pPr>
        <w:spacing w:after="0" w:line="117" w:lineRule="exact"/>
        <w:rPr>
          <w:sz w:val="20"/>
          <w:szCs w:val="20"/>
          <w:color w:val="auto"/>
        </w:rPr>
      </w:pPr>
    </w:p>
    <w:p>
      <w:pPr>
        <w:ind w:left="1110" w:hanging="381"/>
        <w:spacing w:after="0"/>
        <w:tabs>
          <w:tab w:leader="none" w:pos="111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Cash payment at end of nine year period (must be employed at end of period)</w:t>
      </w:r>
    </w:p>
    <w:p>
      <w:pPr>
        <w:spacing w:after="0" w:line="117" w:lineRule="exact"/>
        <w:rPr>
          <w:rFonts w:ascii="Arial" w:cs="Arial" w:eastAsia="Arial" w:hAnsi="Arial"/>
          <w:sz w:val="18"/>
          <w:szCs w:val="18"/>
          <w:color w:val="auto"/>
        </w:rPr>
      </w:pPr>
    </w:p>
    <w:p>
      <w:pPr>
        <w:ind w:left="1110" w:hanging="381"/>
        <w:spacing w:after="0"/>
        <w:tabs>
          <w:tab w:leader="none" w:pos="1110" w:val="left"/>
        </w:tabs>
        <w:numPr>
          <w:ilvl w:val="2"/>
          <w:numId w:val="13"/>
        </w:numPr>
        <w:rPr>
          <w:rFonts w:ascii="Arial" w:cs="Arial" w:eastAsia="Arial" w:hAnsi="Arial"/>
          <w:sz w:val="18"/>
          <w:szCs w:val="18"/>
          <w:color w:val="auto"/>
        </w:rPr>
      </w:pPr>
      <w:r>
        <w:rPr>
          <w:rFonts w:ascii="Arial" w:cs="Arial" w:eastAsia="Arial" w:hAnsi="Arial"/>
          <w:sz w:val="18"/>
          <w:szCs w:val="18"/>
          <w:color w:val="auto"/>
        </w:rPr>
        <w:t>Payout based on your employment in good standing on your 63rd birthday</w:t>
      </w:r>
    </w:p>
    <w:p>
      <w:pPr>
        <w:spacing w:after="0" w:line="203"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b w:val="1"/>
          <w:bCs w:val="1"/>
          <w:color w:val="auto"/>
        </w:rPr>
        <w:t>V. MISCELLANEOUS:</w:t>
      </w:r>
    </w:p>
    <w:p>
      <w:pPr>
        <w:spacing w:after="0" w:line="139" w:lineRule="exact"/>
        <w:rPr>
          <w:rFonts w:ascii="Arial" w:cs="Arial" w:eastAsia="Arial" w:hAnsi="Arial"/>
          <w:sz w:val="18"/>
          <w:szCs w:val="18"/>
          <w:color w:val="auto"/>
        </w:rPr>
      </w:pPr>
    </w:p>
    <w:p>
      <w:pPr>
        <w:ind w:left="770" w:hanging="203"/>
        <w:spacing w:after="0"/>
        <w:tabs>
          <w:tab w:leader="none" w:pos="7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case of death/disability or termination without cause the cash payment will be pro-rated through the last day worked.</w:t>
      </w:r>
    </w:p>
    <w:p>
      <w:pPr>
        <w:spacing w:after="0" w:line="117" w:lineRule="exact"/>
        <w:rPr>
          <w:rFonts w:ascii="Arial" w:cs="Arial" w:eastAsia="Arial" w:hAnsi="Arial"/>
          <w:sz w:val="18"/>
          <w:szCs w:val="18"/>
          <w:color w:val="auto"/>
        </w:rPr>
      </w:pPr>
    </w:p>
    <w:p>
      <w:pPr>
        <w:ind w:left="810" w:right="120" w:hanging="243"/>
        <w:spacing w:after="0" w:line="261" w:lineRule="auto"/>
        <w:tabs>
          <w:tab w:leader="none" w:pos="7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Payments will be treated as income for tax purposes and will be subject to supplemental, federal, state and local tax withholding requirements.</w:t>
      </w:r>
    </w:p>
    <w:p>
      <w:pPr>
        <w:spacing w:after="0" w:line="89" w:lineRule="exact"/>
        <w:rPr>
          <w:rFonts w:ascii="Arial" w:cs="Arial" w:eastAsia="Arial" w:hAnsi="Arial"/>
          <w:sz w:val="18"/>
          <w:szCs w:val="18"/>
          <w:color w:val="auto"/>
        </w:rPr>
      </w:pPr>
    </w:p>
    <w:p>
      <w:pPr>
        <w:ind w:left="810" w:right="700" w:hanging="243"/>
        <w:spacing w:after="0" w:line="261" w:lineRule="auto"/>
        <w:tabs>
          <w:tab w:leader="none" w:pos="7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event that the Company makes an overpayment to a participant in excess of the amount to which the participant is entitled, these payments will be considered overpayments and must be paid back to the Company.</w:t>
      </w:r>
    </w:p>
    <w:p>
      <w:pPr>
        <w:spacing w:after="0" w:line="89" w:lineRule="exact"/>
        <w:rPr>
          <w:rFonts w:ascii="Arial" w:cs="Arial" w:eastAsia="Arial" w:hAnsi="Arial"/>
          <w:sz w:val="18"/>
          <w:szCs w:val="18"/>
          <w:color w:val="auto"/>
        </w:rPr>
      </w:pPr>
    </w:p>
    <w:p>
      <w:pPr>
        <w:ind w:left="810" w:right="680" w:hanging="243"/>
        <w:spacing w:after="0" w:line="261" w:lineRule="auto"/>
        <w:tabs>
          <w:tab w:leader="none" w:pos="7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Nothing in the noted guidelines shall be construed to confer upon any employee the right to continue in the employ of the Company or affect the right of the Company to terminate his/her employment at any time.</w:t>
      </w:r>
    </w:p>
    <w:p>
      <w:pPr>
        <w:sectPr>
          <w:pgSz w:w="11900" w:h="16838" w:orient="portrait"/>
          <w:cols w:equalWidth="0" w:num="1">
            <w:col w:w="11070"/>
          </w:cols>
          <w:pgMar w:left="490" w:top="886"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7940" w:type="dxa"/>
            <w:vAlign w:val="bottom"/>
            <w:vMerge w:val="restart"/>
          </w:tcPr>
          <w:p>
            <w:pPr>
              <w:ind w:left="3520"/>
              <w:spacing w:after="0"/>
              <w:rPr>
                <w:sz w:val="20"/>
                <w:szCs w:val="20"/>
                <w:color w:val="auto"/>
              </w:rPr>
            </w:pPr>
            <w:r>
              <w:rPr>
                <w:rFonts w:ascii="Arial" w:cs="Arial" w:eastAsia="Arial" w:hAnsi="Arial"/>
                <w:sz w:val="18"/>
                <w:szCs w:val="18"/>
                <w:b w:val="1"/>
                <w:bCs w:val="1"/>
                <w:color w:val="auto"/>
              </w:rPr>
              <w:t>Subsidiaries of Hawkins, Inc.</w:t>
            </w:r>
          </w:p>
        </w:tc>
        <w:tc>
          <w:tcPr>
            <w:tcW w:w="2440" w:type="dxa"/>
            <w:vAlign w:val="bottom"/>
            <w:gridSpan w:val="2"/>
          </w:tcPr>
          <w:p>
            <w:pPr>
              <w:ind w:left="1600"/>
              <w:spacing w:after="0"/>
              <w:rPr>
                <w:sz w:val="20"/>
                <w:szCs w:val="20"/>
                <w:color w:val="auto"/>
              </w:rPr>
            </w:pPr>
            <w:r>
              <w:rPr>
                <w:rFonts w:ascii="Arial" w:cs="Arial" w:eastAsia="Arial" w:hAnsi="Arial"/>
                <w:sz w:val="18"/>
                <w:szCs w:val="18"/>
                <w:b w:val="1"/>
                <w:bCs w:val="1"/>
                <w:color w:val="auto"/>
                <w:w w:val="96"/>
              </w:rPr>
              <w:t>Exhibit 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87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2440" w:type="dxa"/>
            <w:vAlign w:val="bottom"/>
            <w:gridSpan w:val="2"/>
          </w:tcPr>
          <w:p>
            <w:pPr>
              <w:spacing w:after="0"/>
              <w:rPr>
                <w:sz w:val="20"/>
                <w:szCs w:val="20"/>
                <w:color w:val="auto"/>
              </w:rPr>
            </w:pPr>
            <w:r>
              <w:rPr>
                <w:rFonts w:ascii="Arial" w:cs="Arial" w:eastAsia="Arial" w:hAnsi="Arial"/>
                <w:sz w:val="18"/>
                <w:szCs w:val="18"/>
                <w:color w:val="auto"/>
              </w:rPr>
              <w:t>State of Organization</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gridSpan w:val="2"/>
          </w:tcPr>
          <w:p>
            <w:pPr>
              <w:spacing w:after="0"/>
              <w:rPr>
                <w:sz w:val="20"/>
                <w:szCs w:val="20"/>
                <w:color w:val="auto"/>
              </w:rPr>
            </w:pPr>
            <w:r>
              <w:rPr>
                <w:rFonts w:ascii="Arial" w:cs="Arial" w:eastAsia="Arial" w:hAnsi="Arial"/>
                <w:sz w:val="18"/>
                <w:szCs w:val="18"/>
                <w:color w:val="auto"/>
              </w:rPr>
              <w:t>Stauber Holdings,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Stauber Performance Ingredients, Inc., a subsidiary of Stauber Holdings,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C &amp; L Aqua Professionals,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5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have issued our reports dated June 2, 2021, with respect to the consolidated financial statements and internal control over financial reporting included in the Annual Report of Hawkins, Inc. on Form 10-K for the year ended March 28, 2021. We consent to the incorporation by reference of said reports in the Registration Statements of Hawkins, Inc. on Forms S-8 (File Nos. 333-87582, 333-123080, 333-172761, 333-174735, 333-228128 and 333-234432).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2021</w:t>
      </w:r>
    </w:p>
    <w:p>
      <w:pPr>
        <w:sectPr>
          <w:pgSz w:w="11900" w:h="16838" w:orient="portrait"/>
          <w:cols w:equalWidth="0" w:num="1">
            <w:col w:w="11240"/>
          </w:cols>
          <w:pgMar w:left="320" w:top="88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consent to the incorporation by reference in the registration statements (No. 333-87582, 333-123080, 333-172761, 333-174735, 333-228128 and 333-234432) on Form S-8 of Hawkins, Inc. of our report dated May 20, 2020, except as to the stock split and par value adjustment as described in Note 1, which are as of June 2, 2021, with respect to the consolidated balance sheet of Hawkins, Inc. as of March 29, 2020 and the related consolidated statements of income, comprehensive income, shareholders’ equity, and cash flows for each of the years in the two-year period ended March 29,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report dated May 20, 2020 refers to a change to the method of accounting for leases.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2021</w:t>
      </w:r>
    </w:p>
    <w:p>
      <w:pPr>
        <w:sectPr>
          <w:pgSz w:w="11900" w:h="16838" w:orient="portrait"/>
          <w:cols w:equalWidth="0" w:num="1">
            <w:col w:w="11240"/>
          </w:cols>
          <w:pgMar w:left="320" w:top="886" w:right="339" w:bottom="1440" w:gutter="0" w:footer="0" w:header="0"/>
        </w:sectPr>
      </w:pPr>
    </w:p>
    <w:bookmarkStart w:id="59" w:name="page60"/>
    <w:bookmarkEnd w:id="59"/>
    <w:p>
      <w:pPr>
        <w:ind w:left="4900"/>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5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28, 2021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091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A. Faulconbridge</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20, 2021</w:t>
      </w:r>
    </w:p>
    <w:p>
      <w:pPr>
        <w:sectPr>
          <w:pgSz w:w="11900" w:h="16838" w:orient="portrait"/>
          <w:cols w:equalWidth="0" w:num="1">
            <w:col w:w="11240"/>
          </w:cols>
          <w:pgMar w:left="320" w:top="1408" w:right="339" w:bottom="1440" w:gutter="0" w:footer="0" w:header="0"/>
        </w:sectPr>
      </w:pPr>
    </w:p>
    <w:bookmarkStart w:id="60" w:name="page61"/>
    <w:bookmarkEnd w:id="60"/>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5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28, 2021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091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Mary J. Schumacher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20, 2021</w:t>
      </w:r>
    </w:p>
    <w:p>
      <w:pPr>
        <w:sectPr>
          <w:pgSz w:w="11900" w:h="16838" w:orient="portrait"/>
          <w:cols w:equalWidth="0" w:num="1">
            <w:col w:w="11240"/>
          </w:cols>
          <w:pgMar w:left="320" w:top="1408" w:right="339" w:bottom="1440" w:gutter="0" w:footer="0" w:header="0"/>
        </w:sectPr>
      </w:pPr>
    </w:p>
    <w:bookmarkStart w:id="61" w:name="page62"/>
    <w:bookmarkEnd w:id="61"/>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5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28, 2021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091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Daniel J. Stauber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20, 2021</w:t>
      </w:r>
    </w:p>
    <w:p>
      <w:pPr>
        <w:sectPr>
          <w:pgSz w:w="11900" w:h="16838" w:orient="portrait"/>
          <w:cols w:equalWidth="0" w:num="1">
            <w:col w:w="11240"/>
          </w:cols>
          <w:pgMar w:left="320" w:top="1408" w:right="339" w:bottom="1440" w:gutter="0" w:footer="0" w:header="0"/>
        </w:sectPr>
      </w:pPr>
    </w:p>
    <w:bookmarkStart w:id="62" w:name="page63"/>
    <w:bookmarkEnd w:id="62"/>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5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28, 2021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Yi “Faith”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091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Yi “Faith” Tang</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20, 2021</w:t>
      </w:r>
    </w:p>
    <w:p>
      <w:pPr>
        <w:sectPr>
          <w:pgSz w:w="11900" w:h="16838" w:orient="portrait"/>
          <w:cols w:equalWidth="0" w:num="1">
            <w:col w:w="11240"/>
          </w:cols>
          <w:pgMar w:left="320" w:top="1408" w:right="339" w:bottom="1440" w:gutter="0" w:footer="0" w:header="0"/>
        </w:sectPr>
      </w:pPr>
    </w:p>
    <w:bookmarkStart w:id="63" w:name="page64"/>
    <w:bookmarkEnd w:id="63"/>
    <w:p>
      <w:pPr>
        <w:ind w:left="4900"/>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5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28, 2021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3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091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Thompson</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20, 2021</w:t>
      </w:r>
    </w:p>
    <w:p>
      <w:pPr>
        <w:sectPr>
          <w:pgSz w:w="11900" w:h="16838" w:orient="portrait"/>
          <w:cols w:equalWidth="0" w:num="1">
            <w:col w:w="11240"/>
          </w:cols>
          <w:pgMar w:left="320" w:top="1408" w:right="339" w:bottom="1440" w:gutter="0" w:footer="0" w:header="0"/>
        </w:sectPr>
      </w:pPr>
    </w:p>
    <w:bookmarkStart w:id="64" w:name="page65"/>
    <w:bookmarkEnd w:id="64"/>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56"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28, 2021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09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Jeffrey L. Wright</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20, 2021</w:t>
      </w:r>
    </w:p>
    <w:p>
      <w:pPr>
        <w:sectPr>
          <w:pgSz w:w="11900" w:h="16838" w:orient="portrait"/>
          <w:cols w:equalWidth="0" w:num="1">
            <w:col w:w="11240"/>
          </w:cols>
          <w:pgMar w:left="320" w:top="140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6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ind w:left="660" w:right="80" w:hanging="328"/>
        <w:spacing w:after="0"/>
        <w:tabs>
          <w:tab w:leader="none" w:pos="6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660" w:right="120" w:hanging="328"/>
        <w:spacing w:after="0"/>
        <w:tabs>
          <w:tab w:leader="none" w:pos="6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660" w:right="120" w:hanging="328"/>
        <w:spacing w:after="0"/>
        <w:tabs>
          <w:tab w:leader="none" w:pos="6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300" w:right="20" w:hanging="320"/>
        <w:spacing w:after="0"/>
        <w:tabs>
          <w:tab w:leader="none" w:pos="13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300" w:right="20" w:hanging="320"/>
        <w:spacing w:after="0"/>
        <w:tabs>
          <w:tab w:leader="none" w:pos="12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300" w:right="300" w:hanging="320"/>
        <w:spacing w:after="0"/>
        <w:tabs>
          <w:tab w:leader="none" w:pos="13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300" w:right="60" w:hanging="320"/>
        <w:spacing w:after="0"/>
        <w:tabs>
          <w:tab w:leader="none" w:pos="12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660" w:right="340" w:hanging="328"/>
        <w:spacing w:after="0"/>
        <w:tabs>
          <w:tab w:leader="none" w:pos="6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jc w:val="both"/>
        <w:ind w:left="1300" w:right="440" w:hanging="320"/>
        <w:spacing w:after="0"/>
        <w:tabs>
          <w:tab w:leader="none" w:pos="13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300" w:right="800" w:hanging="320"/>
        <w:spacing w:after="0" w:line="246" w:lineRule="auto"/>
        <w:tabs>
          <w:tab w:leader="none" w:pos="12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2021</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03" w:lineRule="exact"/>
        <w:rPr>
          <w:rFonts w:ascii="Arial" w:cs="Arial" w:eastAsia="Arial" w:hAnsi="Arial"/>
          <w:sz w:val="18"/>
          <w:szCs w:val="18"/>
          <w:color w:val="auto"/>
        </w:rPr>
      </w:pPr>
    </w:p>
    <w:p>
      <w:pPr>
        <w:ind w:left="660" w:right="80" w:hanging="328"/>
        <w:spacing w:after="0"/>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660" w:right="120" w:hanging="328"/>
        <w:spacing w:after="0"/>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660" w:right="120" w:hanging="328"/>
        <w:spacing w:after="0"/>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300" w:right="20" w:hanging="320"/>
        <w:spacing w:after="0"/>
        <w:tabs>
          <w:tab w:leader="none" w:pos="13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300" w:right="20" w:hanging="320"/>
        <w:spacing w:after="0"/>
        <w:tabs>
          <w:tab w:leader="none" w:pos="12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300" w:right="300" w:hanging="320"/>
        <w:spacing w:after="0"/>
        <w:tabs>
          <w:tab w:leader="none" w:pos="13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300" w:right="60" w:hanging="320"/>
        <w:spacing w:after="0"/>
        <w:tabs>
          <w:tab w:leader="none" w:pos="12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660" w:right="340" w:hanging="328"/>
        <w:spacing w:after="0"/>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jc w:val="both"/>
        <w:ind w:left="1300" w:right="440" w:hanging="320"/>
        <w:spacing w:after="0"/>
        <w:tabs>
          <w:tab w:leader="none" w:pos="13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300" w:right="800" w:hanging="320"/>
        <w:spacing w:after="0" w:line="246" w:lineRule="auto"/>
        <w:tabs>
          <w:tab w:leader="none" w:pos="12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2021</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u w:val="single" w:color="auto"/>
          <w:color w:val="auto"/>
        </w:rPr>
        <w:t>/s/ 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63"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In connection with the Annual Report of Hawkins, Inc. (the Company) on Form 10-K for the period ended March 28, 2021,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 2021</w:t>
      </w:r>
    </w:p>
    <w:p>
      <w:pPr>
        <w:sectPr>
          <w:pgSz w:w="11900" w:h="16838" w:orient="portrait"/>
          <w:cols w:equalWidth="0" w:num="1">
            <w:col w:w="11240"/>
          </w:cols>
          <w:pgMar w:left="320" w:top="88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connection with the Annual Report of Hawkins, Inc. (the Company) on Form 10-K for the period ended March 28, 2021,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Jeffrey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21"/>
    </w:lvl>
  </w:abstractNum>
  <w:abstractNum w:abstractNumId="8">
    <w:nsid w:val="3352255A"/>
    <w:multiLevelType w:val="hybridMultilevel"/>
    <w:lvl w:ilvl="0">
      <w:lvlJc w:val="left"/>
      <w:lvlText w:val="%1"/>
      <w:numFmt w:val="decimal"/>
      <w:start w:val="101"/>
    </w:lvl>
  </w:abstractNum>
  <w:abstractNum w:abstractNumId="9">
    <w:nsid w:val="109CF92E"/>
    <w:multiLevelType w:val="hybridMultilevel"/>
    <w:lvl w:ilvl="0">
      <w:lvlJc w:val="left"/>
      <w:lvlText w:val="*"/>
      <w:numFmt w:val="bullet"/>
      <w:start w:val="1"/>
    </w:lvl>
    <w:lvl w:ilvl="1">
      <w:lvlJc w:val="left"/>
      <w:lvlText w:val="(%2)"/>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upperLetter"/>
      <w:start w:val="35"/>
    </w:lvl>
  </w:abstractNum>
  <w:abstractNum w:abstractNumId="12">
    <w:nsid w:val="1BEFD79F"/>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74" Type="http://schemas.openxmlformats.org/officeDocument/2006/relationships/hyperlink" Target="http://www.sec.gov/Archives/edgar/data/46250/000004625021000012/exhibit32.htm" TargetMode="External"/><Relationship Id="rId75" Type="http://schemas.openxmlformats.org/officeDocument/2006/relationships/hyperlink" Target="http://www.sec.gov/Archives/edgar/data/46250/000089710109002205/hawkins095018_ex3-1.htm" TargetMode="External"/><Relationship Id="rId76" Type="http://schemas.openxmlformats.org/officeDocument/2006/relationships/hyperlink" Target="http://www.sec.gov/Archives/edgar/data/46250/000095012311056962/c65009exv10w1.htm" TargetMode="External"/><Relationship Id="rId77" Type="http://schemas.openxmlformats.org/officeDocument/2006/relationships/hyperlink" Target="http://www.sec.gov/Archives/edgar/data/46250/000095012311073038/c64584exv10w1.htm" TargetMode="External"/><Relationship Id="rId78" Type="http://schemas.openxmlformats.org/officeDocument/2006/relationships/hyperlink" Target="http://www.sec.gov/Archives/edgar/data/46250/000119312518316437/d643918dex991.htm" TargetMode="External"/><Relationship Id="rId79" Type="http://schemas.openxmlformats.org/officeDocument/2006/relationships/hyperlink" Target="http://www.sec.gov/Archives/edgar/data/46250/000119312518341125/d656770dex101.htm" TargetMode="External"/><Relationship Id="rId80" Type="http://schemas.openxmlformats.org/officeDocument/2006/relationships/hyperlink" Target="https://www.sec.gov/Archives/edgar/data/46250/000004625019000039/hawkins10qq2092919ex103.htm" TargetMode="External"/><Relationship Id="rId81" Type="http://schemas.openxmlformats.org/officeDocument/2006/relationships/hyperlink" Target="http://www.sec.gov/Archives/edgar/data/46250/000004625020000027/hwkn10k2020exhibit1010.htm" TargetMode="External"/><Relationship Id="rId82" Type="http://schemas.openxmlformats.org/officeDocument/2006/relationships/hyperlink" Target="http://www.sec.gov/Archives/edgar/data/46250/000004625020000016/exhibit161kpmg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2021-06-02T15:19:24Z</dcterms:created>
  <dcterms:modified xsi:type="dcterms:W3CDTF">2021-06-02T15:19:24Z</dcterms:modified>
</cp:coreProperties>
</file>